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39"/>
        <w:tblW w:w="9200" w:type="dxa"/>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
      <w:tblGrid>
        <w:gridCol w:w="2164"/>
        <w:gridCol w:w="358"/>
        <w:gridCol w:w="1987"/>
        <w:gridCol w:w="288"/>
        <w:gridCol w:w="1263"/>
        <w:gridCol w:w="794"/>
        <w:gridCol w:w="1276"/>
        <w:gridCol w:w="1070"/>
      </w:tblGrid>
      <w:tr w14:paraId="00104DF9">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PrEx>
        <w:trPr>
          <w:cantSplit/>
          <w:trHeight w:val="1321" w:hRule="atLeast"/>
          <w:jc w:val="center"/>
        </w:trPr>
        <w:tc>
          <w:tcPr>
            <w:tcW w:w="2522" w:type="dxa"/>
            <w:gridSpan w:val="2"/>
            <w:tcBorders>
              <w:top w:val="double" w:color="auto" w:sz="4" w:space="0"/>
              <w:left w:val="double" w:color="auto" w:sz="4" w:space="0"/>
              <w:bottom w:val="single" w:color="auto" w:sz="4" w:space="0"/>
              <w:right w:val="single" w:color="auto" w:sz="4" w:space="0"/>
            </w:tcBorders>
            <w:vAlign w:val="center"/>
          </w:tcPr>
          <w:p w14:paraId="2D6D1535">
            <w:pPr>
              <w:pStyle w:val="5"/>
              <w:spacing w:line="360" w:lineRule="auto"/>
              <w:rPr>
                <w:rFonts w:asciiTheme="minorEastAsia" w:hAnsiTheme="minorEastAsia" w:eastAsiaTheme="minorEastAsia"/>
                <w:b w:val="0"/>
              </w:rPr>
            </w:pPr>
            <w:r>
              <w:rPr>
                <w:rFonts w:hint="eastAsia" w:asciiTheme="minorEastAsia" w:hAnsiTheme="minorEastAsia" w:eastAsiaTheme="minorEastAsia"/>
                <w:b w:val="0"/>
              </w:rPr>
              <w:t>中通客车股份有限公司</w:t>
            </w:r>
          </w:p>
        </w:tc>
        <w:tc>
          <w:tcPr>
            <w:tcW w:w="5608" w:type="dxa"/>
            <w:gridSpan w:val="5"/>
            <w:tcBorders>
              <w:top w:val="double" w:color="auto" w:sz="4" w:space="0"/>
              <w:left w:val="single" w:color="auto" w:sz="4" w:space="0"/>
              <w:bottom w:val="single" w:color="auto" w:sz="4" w:space="0"/>
              <w:right w:val="single" w:color="auto" w:sz="4" w:space="0"/>
            </w:tcBorders>
            <w:vAlign w:val="center"/>
          </w:tcPr>
          <w:p w14:paraId="7ED5980A">
            <w:pPr>
              <w:pStyle w:val="16"/>
              <w:spacing w:line="360" w:lineRule="auto"/>
              <w:ind w:left="0" w:firstLine="0"/>
              <w:jc w:val="center"/>
              <w:rPr>
                <w:rFonts w:asciiTheme="minorEastAsia" w:hAnsiTheme="minorEastAsia" w:eastAsiaTheme="minorEastAsia"/>
                <w:sz w:val="44"/>
                <w:szCs w:val="44"/>
              </w:rPr>
            </w:pPr>
            <w:r>
              <w:rPr>
                <w:rFonts w:hint="eastAsia" w:ascii="仿宋" w:hAnsi="仿宋" w:eastAsia="仿宋"/>
                <w:b/>
                <w:sz w:val="44"/>
                <w:szCs w:val="44"/>
                <w:lang w:val="en-US" w:eastAsia="zh-CN"/>
              </w:rPr>
              <w:t>35KV变压器及配套设施升级改造项目</w:t>
            </w:r>
          </w:p>
        </w:tc>
        <w:tc>
          <w:tcPr>
            <w:tcW w:w="1070" w:type="dxa"/>
            <w:tcBorders>
              <w:top w:val="double" w:color="auto" w:sz="4" w:space="0"/>
              <w:left w:val="single" w:color="auto" w:sz="4" w:space="0"/>
              <w:bottom w:val="single" w:color="auto" w:sz="4" w:space="0"/>
              <w:right w:val="double" w:color="auto" w:sz="4" w:space="0"/>
            </w:tcBorders>
            <w:vAlign w:val="center"/>
          </w:tcPr>
          <w:p w14:paraId="758C104F">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版次</w:t>
            </w:r>
          </w:p>
          <w:p w14:paraId="338526B8">
            <w:pPr>
              <w:spacing w:line="360" w:lineRule="auto"/>
              <w:jc w:val="center"/>
              <w:rPr>
                <w:rFonts w:asciiTheme="minorEastAsia" w:hAnsiTheme="minorEastAsia" w:eastAsiaTheme="minorEastAsia"/>
              </w:rPr>
            </w:pPr>
            <w:r>
              <w:rPr>
                <w:rFonts w:hint="eastAsia" w:asciiTheme="minorEastAsia" w:hAnsiTheme="minorEastAsia" w:eastAsiaTheme="minorEastAsia"/>
              </w:rPr>
              <w:t>A</w:t>
            </w:r>
          </w:p>
        </w:tc>
      </w:tr>
      <w:tr w14:paraId="0A11F55A">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108" w:type="dxa"/>
            <w:bottom w:w="0" w:type="dxa"/>
            <w:right w:w="108" w:type="dxa"/>
          </w:tblCellMar>
        </w:tblPrEx>
        <w:trPr>
          <w:cantSplit/>
          <w:trHeight w:val="192" w:hRule="atLeast"/>
          <w:jc w:val="center"/>
        </w:trPr>
        <w:tc>
          <w:tcPr>
            <w:tcW w:w="4797" w:type="dxa"/>
            <w:gridSpan w:val="4"/>
            <w:tcBorders>
              <w:top w:val="nil"/>
              <w:left w:val="double" w:color="auto" w:sz="4" w:space="0"/>
              <w:bottom w:val="single" w:color="auto" w:sz="4" w:space="0"/>
              <w:right w:val="single" w:color="auto" w:sz="4" w:space="0"/>
            </w:tcBorders>
            <w:vAlign w:val="center"/>
          </w:tcPr>
          <w:p w14:paraId="0D7603D0">
            <w:pPr>
              <w:pStyle w:val="5"/>
              <w:spacing w:line="360" w:lineRule="auto"/>
              <w:rPr>
                <w:rFonts w:asciiTheme="minorEastAsia" w:hAnsiTheme="minorEastAsia" w:eastAsiaTheme="minorEastAsia"/>
                <w:b w:val="0"/>
              </w:rPr>
            </w:pPr>
          </w:p>
        </w:tc>
        <w:tc>
          <w:tcPr>
            <w:tcW w:w="1263" w:type="dxa"/>
            <w:tcBorders>
              <w:top w:val="nil"/>
              <w:left w:val="single" w:color="auto" w:sz="4" w:space="0"/>
              <w:bottom w:val="single" w:color="auto" w:sz="4" w:space="0"/>
              <w:right w:val="single" w:color="auto" w:sz="4" w:space="0"/>
            </w:tcBorders>
            <w:vAlign w:val="center"/>
          </w:tcPr>
          <w:p w14:paraId="00C361F4">
            <w:pPr>
              <w:pStyle w:val="16"/>
              <w:spacing w:line="360" w:lineRule="auto"/>
              <w:ind w:left="0" w:firstLine="0"/>
              <w:jc w:val="center"/>
              <w:rPr>
                <w:rFonts w:asciiTheme="minorEastAsia" w:hAnsiTheme="minorEastAsia" w:eastAsiaTheme="minorEastAsia"/>
                <w:sz w:val="30"/>
              </w:rPr>
            </w:pPr>
            <w:r>
              <w:rPr>
                <w:rFonts w:hint="eastAsia" w:asciiTheme="minorEastAsia" w:hAnsiTheme="minorEastAsia" w:eastAsiaTheme="minorEastAsia"/>
                <w:sz w:val="30"/>
              </w:rPr>
              <w:t>编号</w:t>
            </w:r>
          </w:p>
        </w:tc>
        <w:tc>
          <w:tcPr>
            <w:tcW w:w="3140" w:type="dxa"/>
            <w:gridSpan w:val="3"/>
            <w:tcBorders>
              <w:top w:val="nil"/>
              <w:left w:val="single" w:color="auto" w:sz="4" w:space="0"/>
              <w:bottom w:val="single" w:color="auto" w:sz="4" w:space="0"/>
              <w:right w:val="double" w:color="auto" w:sz="4" w:space="0"/>
            </w:tcBorders>
            <w:vAlign w:val="center"/>
          </w:tcPr>
          <w:p w14:paraId="097DD6EC">
            <w:pPr>
              <w:widowControl/>
              <w:spacing w:line="360" w:lineRule="auto"/>
              <w:jc w:val="center"/>
              <w:rPr>
                <w:rFonts w:asciiTheme="minorEastAsia" w:hAnsiTheme="minorEastAsia" w:eastAsiaTheme="minorEastAsia"/>
              </w:rPr>
            </w:pPr>
          </w:p>
        </w:tc>
      </w:tr>
      <w:tr w14:paraId="6D2B1D90">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108" w:type="dxa"/>
            <w:bottom w:w="0" w:type="dxa"/>
            <w:right w:w="108" w:type="dxa"/>
          </w:tblCellMar>
        </w:tblPrEx>
        <w:trPr>
          <w:cantSplit/>
          <w:trHeight w:val="3014" w:hRule="atLeast"/>
          <w:jc w:val="center"/>
        </w:trPr>
        <w:tc>
          <w:tcPr>
            <w:tcW w:w="9200" w:type="dxa"/>
            <w:gridSpan w:val="8"/>
            <w:tcBorders>
              <w:top w:val="single" w:color="auto" w:sz="4" w:space="0"/>
              <w:left w:val="double" w:color="auto" w:sz="4" w:space="0"/>
              <w:bottom w:val="nil"/>
              <w:right w:val="double" w:color="auto" w:sz="4" w:space="0"/>
            </w:tcBorders>
          </w:tcPr>
          <w:p w14:paraId="1D7AE13E">
            <w:pPr>
              <w:spacing w:line="360" w:lineRule="auto"/>
              <w:ind w:firstLine="1477"/>
              <w:rPr>
                <w:rFonts w:asciiTheme="minorEastAsia" w:hAnsiTheme="minorEastAsia" w:eastAsiaTheme="minorEastAsia"/>
                <w:sz w:val="32"/>
              </w:rPr>
            </w:pPr>
          </w:p>
          <w:p w14:paraId="722D29E1">
            <w:pPr>
              <w:spacing w:line="360" w:lineRule="auto"/>
              <w:jc w:val="center"/>
              <w:rPr>
                <w:rFonts w:hint="eastAsia" w:asciiTheme="minorEastAsia" w:hAnsiTheme="minorEastAsia" w:eastAsiaTheme="minorEastAsia"/>
                <w:sz w:val="32"/>
                <w:lang w:eastAsia="zh-CN"/>
              </w:rPr>
            </w:pPr>
            <w:r>
              <w:rPr>
                <w:rFonts w:hint="eastAsia" w:asciiTheme="minorEastAsia" w:hAnsiTheme="minorEastAsia" w:eastAsiaTheme="minorEastAsia"/>
                <w:sz w:val="32"/>
              </w:rPr>
              <w:t>项目名称：中</w:t>
            </w:r>
            <w:r>
              <w:rPr>
                <w:rFonts w:hint="eastAsia" w:asciiTheme="minorEastAsia" w:hAnsiTheme="minorEastAsia" w:eastAsiaTheme="minorEastAsia"/>
                <w:sz w:val="32"/>
                <w:lang w:val="en-US" w:eastAsia="zh-CN"/>
              </w:rPr>
              <w:t>通</w:t>
            </w:r>
            <w:r>
              <w:rPr>
                <w:rFonts w:hint="eastAsia" w:asciiTheme="minorEastAsia" w:hAnsiTheme="minorEastAsia" w:eastAsiaTheme="minorEastAsia"/>
                <w:sz w:val="32"/>
              </w:rPr>
              <w:t>客</w:t>
            </w:r>
            <w:r>
              <w:rPr>
                <w:rFonts w:hint="eastAsia" w:asciiTheme="minorEastAsia" w:hAnsiTheme="minorEastAsia" w:eastAsiaTheme="minorEastAsia"/>
                <w:sz w:val="32"/>
                <w:lang w:val="en-US" w:eastAsia="zh-CN"/>
              </w:rPr>
              <w:t>车35KV变压器及配套设施升级改造项目</w:t>
            </w:r>
          </w:p>
          <w:p w14:paraId="08CE0A7C">
            <w:pPr>
              <w:spacing w:line="360" w:lineRule="auto"/>
              <w:jc w:val="center"/>
              <w:rPr>
                <w:rFonts w:asciiTheme="minorEastAsia" w:hAnsiTheme="minorEastAsia" w:eastAsiaTheme="minorEastAsia"/>
                <w:sz w:val="32"/>
              </w:rPr>
            </w:pPr>
          </w:p>
          <w:p w14:paraId="52B0300B">
            <w:pPr>
              <w:spacing w:line="360" w:lineRule="auto"/>
              <w:jc w:val="center"/>
              <w:rPr>
                <w:rFonts w:asciiTheme="minorEastAsia" w:hAnsiTheme="minorEastAsia" w:eastAsiaTheme="minorEastAsia"/>
                <w:sz w:val="72"/>
              </w:rPr>
            </w:pPr>
            <w:r>
              <w:rPr>
                <w:rFonts w:hint="eastAsia" w:asciiTheme="minorEastAsia" w:hAnsiTheme="minorEastAsia" w:eastAsiaTheme="minorEastAsia"/>
                <w:sz w:val="72"/>
              </w:rPr>
              <w:t>技 术 条 件</w:t>
            </w:r>
          </w:p>
          <w:p w14:paraId="5416296A">
            <w:pPr>
              <w:spacing w:line="360" w:lineRule="auto"/>
              <w:rPr>
                <w:rFonts w:asciiTheme="minorEastAsia" w:hAnsiTheme="minorEastAsia" w:eastAsiaTheme="minorEastAsia"/>
                <w:sz w:val="28"/>
              </w:rPr>
            </w:pPr>
          </w:p>
          <w:p w14:paraId="04AEB674">
            <w:pPr>
              <w:spacing w:line="360" w:lineRule="auto"/>
              <w:ind w:firstLine="3080" w:firstLineChars="1100"/>
              <w:rPr>
                <w:rFonts w:hint="eastAsia" w:asciiTheme="minorEastAsia" w:hAnsiTheme="minorEastAsia" w:eastAsiaTheme="minorEastAsia"/>
                <w:sz w:val="28"/>
                <w:lang w:val="en-US" w:eastAsia="zh-CN"/>
              </w:rPr>
            </w:pPr>
            <w:r>
              <w:rPr>
                <w:rFonts w:hint="eastAsia" w:asciiTheme="minorEastAsia" w:hAnsiTheme="minorEastAsia" w:eastAsiaTheme="minorEastAsia"/>
                <w:sz w:val="28"/>
              </w:rPr>
              <w:t>编制：</w:t>
            </w:r>
            <w:r>
              <w:rPr>
                <w:rFonts w:hint="eastAsia" w:asciiTheme="minorEastAsia" w:hAnsiTheme="minorEastAsia" w:eastAsiaTheme="minorEastAsia"/>
                <w:sz w:val="28"/>
                <w:lang w:val="en-US" w:eastAsia="zh-CN"/>
              </w:rPr>
              <w:t>周书光</w:t>
            </w:r>
          </w:p>
          <w:p w14:paraId="63A07743">
            <w:pPr>
              <w:spacing w:line="360" w:lineRule="auto"/>
              <w:ind w:firstLine="3080" w:firstLineChars="1100"/>
              <w:rPr>
                <w:rFonts w:asciiTheme="minorEastAsia" w:hAnsiTheme="minorEastAsia" w:eastAsiaTheme="minorEastAsia"/>
                <w:sz w:val="28"/>
              </w:rPr>
            </w:pPr>
          </w:p>
          <w:p w14:paraId="0004630E">
            <w:pPr>
              <w:spacing w:line="360" w:lineRule="auto"/>
              <w:ind w:firstLine="3080" w:firstLineChars="1100"/>
              <w:rPr>
                <w:rFonts w:asciiTheme="minorEastAsia" w:hAnsiTheme="minorEastAsia" w:eastAsiaTheme="minorEastAsia"/>
                <w:sz w:val="28"/>
              </w:rPr>
            </w:pPr>
            <w:r>
              <w:rPr>
                <w:rFonts w:hint="eastAsia" w:asciiTheme="minorEastAsia" w:hAnsiTheme="minorEastAsia" w:eastAsiaTheme="minorEastAsia"/>
                <w:sz w:val="28"/>
              </w:rPr>
              <w:t>审核：</w:t>
            </w:r>
            <w:r>
              <w:rPr>
                <w:rFonts w:hint="eastAsia" w:asciiTheme="minorEastAsia" w:hAnsiTheme="minorEastAsia" w:eastAsiaTheme="minorEastAsia"/>
                <w:sz w:val="28"/>
                <w:lang w:val="en-US" w:eastAsia="zh-CN"/>
              </w:rPr>
              <w:t>周凯</w:t>
            </w:r>
            <w:r>
              <w:rPr>
                <w:rFonts w:hint="eastAsia" w:asciiTheme="minorEastAsia" w:hAnsiTheme="minorEastAsia" w:eastAsiaTheme="minorEastAsia"/>
                <w:sz w:val="28"/>
              </w:rPr>
              <w:t xml:space="preserve"> </w:t>
            </w:r>
          </w:p>
          <w:p w14:paraId="5DBB164E">
            <w:pPr>
              <w:spacing w:line="360" w:lineRule="auto"/>
              <w:rPr>
                <w:rFonts w:asciiTheme="minorEastAsia" w:hAnsiTheme="minorEastAsia" w:eastAsiaTheme="minorEastAsia"/>
                <w:sz w:val="28"/>
              </w:rPr>
            </w:pPr>
          </w:p>
          <w:p w14:paraId="5F15E257">
            <w:pPr>
              <w:spacing w:line="360" w:lineRule="auto"/>
              <w:ind w:firstLine="3122" w:firstLineChars="1115"/>
              <w:rPr>
                <w:rFonts w:hint="default" w:asciiTheme="minorEastAsia" w:hAnsiTheme="minorEastAsia" w:eastAsiaTheme="minorEastAsia"/>
                <w:sz w:val="28"/>
                <w:lang w:val="en-US" w:eastAsia="zh-CN"/>
              </w:rPr>
            </w:pPr>
            <w:r>
              <w:rPr>
                <w:rFonts w:hint="eastAsia" w:asciiTheme="minorEastAsia" w:hAnsiTheme="minorEastAsia" w:eastAsiaTheme="minorEastAsia"/>
                <w:sz w:val="28"/>
              </w:rPr>
              <w:t xml:space="preserve">会签： </w:t>
            </w:r>
            <w:r>
              <w:rPr>
                <w:rFonts w:hint="eastAsia" w:asciiTheme="minorEastAsia" w:hAnsiTheme="minorEastAsia" w:eastAsiaTheme="minorEastAsia"/>
                <w:sz w:val="28"/>
                <w:lang w:val="en-US" w:eastAsia="zh-CN"/>
              </w:rPr>
              <w:t>张东、张安志、刘国斌</w:t>
            </w:r>
          </w:p>
          <w:p w14:paraId="3E219DE3">
            <w:pPr>
              <w:spacing w:line="360" w:lineRule="auto"/>
              <w:ind w:firstLine="2842"/>
              <w:rPr>
                <w:rFonts w:asciiTheme="minorEastAsia" w:hAnsiTheme="minorEastAsia" w:eastAsiaTheme="minorEastAsia"/>
                <w:sz w:val="28"/>
              </w:rPr>
            </w:pPr>
          </w:p>
          <w:p w14:paraId="5CD1DFE7">
            <w:pPr>
              <w:spacing w:line="360" w:lineRule="auto"/>
              <w:ind w:firstLine="3122" w:firstLineChars="1115"/>
              <w:rPr>
                <w:rFonts w:hint="eastAsia" w:asciiTheme="minorEastAsia" w:hAnsiTheme="minorEastAsia" w:eastAsiaTheme="minorEastAsia"/>
                <w:sz w:val="28"/>
                <w:lang w:val="en-US" w:eastAsia="zh-CN"/>
              </w:rPr>
            </w:pPr>
            <w:r>
              <w:rPr>
                <w:rFonts w:hint="eastAsia" w:asciiTheme="minorEastAsia" w:hAnsiTheme="minorEastAsia" w:eastAsiaTheme="minorEastAsia"/>
                <w:sz w:val="28"/>
              </w:rPr>
              <w:t>批准：</w:t>
            </w:r>
            <w:r>
              <w:rPr>
                <w:rFonts w:hint="eastAsia" w:asciiTheme="minorEastAsia" w:hAnsiTheme="minorEastAsia" w:eastAsiaTheme="minorEastAsia"/>
                <w:sz w:val="28"/>
                <w:lang w:val="en-US" w:eastAsia="zh-CN"/>
              </w:rPr>
              <w:t>吕萌</w:t>
            </w:r>
          </w:p>
          <w:p w14:paraId="037DAC82">
            <w:pPr>
              <w:spacing w:line="360" w:lineRule="auto"/>
              <w:ind w:firstLine="2842"/>
              <w:rPr>
                <w:rFonts w:asciiTheme="minorEastAsia" w:hAnsiTheme="minorEastAsia" w:eastAsiaTheme="minorEastAsia"/>
                <w:sz w:val="28"/>
              </w:rPr>
            </w:pPr>
          </w:p>
          <w:p w14:paraId="1CBA4190">
            <w:pPr>
              <w:spacing w:line="360" w:lineRule="auto"/>
              <w:jc w:val="center"/>
              <w:rPr>
                <w:rFonts w:asciiTheme="minorEastAsia" w:hAnsiTheme="minorEastAsia" w:eastAsiaTheme="minorEastAsia"/>
                <w:sz w:val="28"/>
              </w:rPr>
            </w:pPr>
          </w:p>
        </w:tc>
      </w:tr>
      <w:tr w14:paraId="2B978D92">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108" w:type="dxa"/>
            <w:bottom w:w="0" w:type="dxa"/>
            <w:right w:w="108" w:type="dxa"/>
          </w:tblCellMar>
        </w:tblPrEx>
        <w:trPr>
          <w:cantSplit/>
          <w:trHeight w:val="1404" w:hRule="atLeast"/>
          <w:jc w:val="center"/>
        </w:trPr>
        <w:tc>
          <w:tcPr>
            <w:tcW w:w="2164" w:type="dxa"/>
            <w:vMerge w:val="restart"/>
            <w:tcBorders>
              <w:top w:val="nil"/>
              <w:left w:val="double" w:color="auto" w:sz="4" w:space="0"/>
              <w:right w:val="nil"/>
            </w:tcBorders>
          </w:tcPr>
          <w:p w14:paraId="4916F9D3">
            <w:pPr>
              <w:spacing w:line="360" w:lineRule="auto"/>
              <w:jc w:val="center"/>
              <w:rPr>
                <w:rFonts w:asciiTheme="minorEastAsia" w:hAnsiTheme="minorEastAsia" w:eastAsiaTheme="minorEastAsia"/>
              </w:rPr>
            </w:pPr>
          </w:p>
        </w:tc>
        <w:tc>
          <w:tcPr>
            <w:tcW w:w="2345" w:type="dxa"/>
            <w:gridSpan w:val="2"/>
            <w:tcBorders>
              <w:top w:val="nil"/>
              <w:left w:val="nil"/>
              <w:bottom w:val="nil"/>
              <w:right w:val="nil"/>
            </w:tcBorders>
          </w:tcPr>
          <w:p w14:paraId="4454AFDC">
            <w:pPr>
              <w:spacing w:line="360" w:lineRule="auto"/>
              <w:jc w:val="center"/>
              <w:rPr>
                <w:rFonts w:asciiTheme="minorEastAsia" w:hAnsiTheme="minorEastAsia" w:eastAsiaTheme="minorEastAsia"/>
              </w:rPr>
            </w:pPr>
          </w:p>
        </w:tc>
        <w:tc>
          <w:tcPr>
            <w:tcW w:w="2345" w:type="dxa"/>
            <w:gridSpan w:val="3"/>
            <w:tcBorders>
              <w:top w:val="nil"/>
              <w:left w:val="nil"/>
              <w:right w:val="nil"/>
            </w:tcBorders>
          </w:tcPr>
          <w:p w14:paraId="14447EDF">
            <w:pPr>
              <w:spacing w:line="360" w:lineRule="auto"/>
              <w:jc w:val="center"/>
              <w:rPr>
                <w:rFonts w:asciiTheme="minorEastAsia" w:hAnsiTheme="minorEastAsia" w:eastAsiaTheme="minorEastAsia"/>
              </w:rPr>
            </w:pPr>
          </w:p>
        </w:tc>
        <w:tc>
          <w:tcPr>
            <w:tcW w:w="2346" w:type="dxa"/>
            <w:gridSpan w:val="2"/>
            <w:tcBorders>
              <w:top w:val="nil"/>
              <w:left w:val="nil"/>
              <w:right w:val="double" w:color="auto" w:sz="4" w:space="0"/>
            </w:tcBorders>
          </w:tcPr>
          <w:p w14:paraId="4C14D242">
            <w:pPr>
              <w:spacing w:line="360" w:lineRule="auto"/>
              <w:jc w:val="center"/>
              <w:rPr>
                <w:rFonts w:asciiTheme="minorEastAsia" w:hAnsiTheme="minorEastAsia" w:eastAsiaTheme="minorEastAsia"/>
              </w:rPr>
            </w:pPr>
          </w:p>
        </w:tc>
      </w:tr>
      <w:tr w14:paraId="375B6C84">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108" w:type="dxa"/>
            <w:bottom w:w="0" w:type="dxa"/>
            <w:right w:w="108" w:type="dxa"/>
          </w:tblCellMar>
        </w:tblPrEx>
        <w:trPr>
          <w:cantSplit/>
          <w:trHeight w:val="817" w:hRule="atLeast"/>
          <w:jc w:val="center"/>
        </w:trPr>
        <w:tc>
          <w:tcPr>
            <w:tcW w:w="2164" w:type="dxa"/>
            <w:vMerge w:val="continue"/>
            <w:tcBorders>
              <w:left w:val="double" w:color="auto" w:sz="4" w:space="0"/>
              <w:bottom w:val="double" w:color="auto" w:sz="4" w:space="0"/>
              <w:right w:val="nil"/>
            </w:tcBorders>
            <w:vAlign w:val="center"/>
          </w:tcPr>
          <w:p w14:paraId="67C8FC87">
            <w:pPr>
              <w:spacing w:line="360" w:lineRule="auto"/>
              <w:jc w:val="center"/>
              <w:rPr>
                <w:rFonts w:asciiTheme="minorEastAsia" w:hAnsiTheme="minorEastAsia" w:eastAsiaTheme="minorEastAsia"/>
              </w:rPr>
            </w:pPr>
          </w:p>
        </w:tc>
        <w:tc>
          <w:tcPr>
            <w:tcW w:w="7036" w:type="dxa"/>
            <w:gridSpan w:val="7"/>
            <w:tcBorders>
              <w:top w:val="nil"/>
              <w:left w:val="nil"/>
              <w:bottom w:val="double" w:color="auto" w:sz="4" w:space="0"/>
              <w:right w:val="double" w:color="auto" w:sz="4" w:space="0"/>
            </w:tcBorders>
            <w:vAlign w:val="center"/>
          </w:tcPr>
          <w:p w14:paraId="17918930">
            <w:pPr>
              <w:spacing w:line="360" w:lineRule="auto"/>
              <w:jc w:val="center"/>
              <w:rPr>
                <w:rFonts w:asciiTheme="minorEastAsia" w:hAnsiTheme="minorEastAsia" w:eastAsiaTheme="minorEastAsia"/>
              </w:rPr>
            </w:pPr>
          </w:p>
        </w:tc>
      </w:tr>
    </w:tbl>
    <w:p w14:paraId="709E1ECB">
      <w:pPr>
        <w:pStyle w:val="3"/>
        <w:keepNext w:val="0"/>
        <w:keepLines w:val="0"/>
        <w:numPr>
          <w:ilvl w:val="0"/>
          <w:numId w:val="0"/>
        </w:numPr>
        <w:spacing w:beforeLines="50" w:after="0" w:line="360" w:lineRule="auto"/>
        <w:ind w:left="357"/>
        <w:rPr>
          <w:rFonts w:asciiTheme="minorEastAsia" w:hAnsiTheme="minorEastAsia" w:eastAsiaTheme="minorEastAsia"/>
          <w:bCs w:val="0"/>
          <w:kern w:val="2"/>
          <w:sz w:val="24"/>
          <w:szCs w:val="20"/>
        </w:rPr>
      </w:pPr>
      <w:bookmarkStart w:id="0" w:name="_Toc501375833"/>
      <w:bookmarkStart w:id="1" w:name="_Toc308704197"/>
      <w:bookmarkStart w:id="2" w:name="_Toc6907121"/>
    </w:p>
    <w:p w14:paraId="03C3960B">
      <w:pPr>
        <w:pStyle w:val="3"/>
        <w:keepNext w:val="0"/>
        <w:keepLines w:val="0"/>
        <w:numPr>
          <w:ilvl w:val="0"/>
          <w:numId w:val="6"/>
        </w:numPr>
        <w:spacing w:beforeLines="50" w:after="0" w:line="360" w:lineRule="auto"/>
        <w:ind w:left="357" w:hanging="357"/>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项目概述</w:t>
      </w:r>
      <w:bookmarkEnd w:id="0"/>
      <w:bookmarkEnd w:id="1"/>
      <w:bookmarkEnd w:id="2"/>
    </w:p>
    <w:p w14:paraId="0D10A4D5">
      <w:pPr>
        <w:pStyle w:val="3"/>
        <w:keepNext w:val="0"/>
        <w:keepLines w:val="0"/>
        <w:numPr>
          <w:ilvl w:val="1"/>
          <w:numId w:val="6"/>
        </w:numPr>
        <w:spacing w:before="0" w:after="0" w:line="360" w:lineRule="auto"/>
        <w:ind w:left="357" w:hanging="357"/>
        <w:rPr>
          <w:rFonts w:asciiTheme="minorEastAsia" w:hAnsiTheme="minorEastAsia" w:eastAsiaTheme="minorEastAsia"/>
          <w:bCs w:val="0"/>
          <w:kern w:val="2"/>
          <w:sz w:val="24"/>
          <w:szCs w:val="20"/>
        </w:rPr>
      </w:pPr>
      <w:bookmarkStart w:id="3" w:name="_Toc501375834"/>
      <w:bookmarkStart w:id="4" w:name="_Toc6907122"/>
      <w:bookmarkStart w:id="5" w:name="_Toc308704198"/>
      <w:r>
        <w:rPr>
          <w:rFonts w:hint="eastAsia" w:asciiTheme="minorEastAsia" w:hAnsiTheme="minorEastAsia" w:eastAsiaTheme="minorEastAsia"/>
          <w:bCs w:val="0"/>
          <w:kern w:val="2"/>
          <w:sz w:val="24"/>
          <w:szCs w:val="20"/>
        </w:rPr>
        <w:t>项目名称、项目地点</w:t>
      </w:r>
      <w:bookmarkEnd w:id="3"/>
      <w:bookmarkEnd w:id="4"/>
      <w:bookmarkEnd w:id="5"/>
    </w:p>
    <w:p w14:paraId="3E173FF5">
      <w:pPr>
        <w:pStyle w:val="61"/>
        <w:numPr>
          <w:ilvl w:val="2"/>
          <w:numId w:val="7"/>
        </w:numPr>
        <w:spacing w:line="360" w:lineRule="auto"/>
        <w:ind w:firstLineChars="0"/>
        <w:rPr>
          <w:rFonts w:asciiTheme="minorEastAsia" w:hAnsiTheme="minorEastAsia" w:eastAsiaTheme="minorEastAsia"/>
          <w:sz w:val="24"/>
        </w:rPr>
      </w:pPr>
      <w:r>
        <w:rPr>
          <w:rFonts w:hint="eastAsia" w:asciiTheme="minorEastAsia" w:hAnsiTheme="minorEastAsia" w:eastAsiaTheme="minorEastAsia"/>
          <w:sz w:val="24"/>
        </w:rPr>
        <w:t>项目名称：</w:t>
      </w:r>
      <w:r>
        <w:rPr>
          <w:rFonts w:hint="eastAsia" w:asciiTheme="minorEastAsia" w:hAnsiTheme="minorEastAsia" w:eastAsiaTheme="minorEastAsia"/>
          <w:b/>
          <w:bCs/>
          <w:sz w:val="24"/>
        </w:rPr>
        <w:t>35KV变压器及配套设施升级改造项目</w:t>
      </w:r>
      <w:r>
        <w:rPr>
          <w:rFonts w:hint="eastAsia" w:asciiTheme="minorEastAsia" w:hAnsiTheme="minorEastAsia" w:eastAsiaTheme="minorEastAsia"/>
          <w:sz w:val="24"/>
        </w:rPr>
        <w:t>。</w:t>
      </w:r>
    </w:p>
    <w:p w14:paraId="49E6E863">
      <w:pPr>
        <w:pStyle w:val="61"/>
        <w:numPr>
          <w:ilvl w:val="2"/>
          <w:numId w:val="7"/>
        </w:numPr>
        <w:spacing w:line="360" w:lineRule="auto"/>
        <w:ind w:firstLineChars="0"/>
        <w:rPr>
          <w:rFonts w:asciiTheme="minorEastAsia" w:hAnsiTheme="minorEastAsia" w:eastAsiaTheme="minorEastAsia"/>
          <w:sz w:val="24"/>
        </w:rPr>
      </w:pPr>
      <w:r>
        <w:rPr>
          <w:rFonts w:hint="eastAsia" w:asciiTheme="minorEastAsia" w:hAnsiTheme="minorEastAsia" w:eastAsiaTheme="minorEastAsia"/>
          <w:sz w:val="24"/>
        </w:rPr>
        <w:t>项目地点：</w:t>
      </w:r>
      <w:r>
        <w:rPr>
          <w:rFonts w:hint="eastAsia" w:asciiTheme="minorEastAsia" w:hAnsiTheme="minorEastAsia" w:eastAsiaTheme="minorEastAsia"/>
          <w:b w:val="0"/>
          <w:bCs w:val="0"/>
          <w:sz w:val="24"/>
        </w:rPr>
        <w:t>中</w:t>
      </w:r>
      <w:r>
        <w:rPr>
          <w:rFonts w:hint="eastAsia" w:asciiTheme="minorEastAsia" w:hAnsiTheme="minorEastAsia" w:eastAsiaTheme="minorEastAsia"/>
          <w:b w:val="0"/>
          <w:bCs w:val="0"/>
          <w:sz w:val="24"/>
          <w:lang w:val="en-US" w:eastAsia="zh-CN"/>
        </w:rPr>
        <w:t>通</w:t>
      </w:r>
      <w:r>
        <w:rPr>
          <w:rFonts w:hint="eastAsia" w:asciiTheme="minorEastAsia" w:hAnsiTheme="minorEastAsia" w:eastAsiaTheme="minorEastAsia"/>
          <w:b w:val="0"/>
          <w:bCs w:val="0"/>
          <w:sz w:val="24"/>
        </w:rPr>
        <w:t>客</w:t>
      </w:r>
      <w:r>
        <w:rPr>
          <w:rFonts w:hint="eastAsia" w:asciiTheme="minorEastAsia" w:hAnsiTheme="minorEastAsia" w:eastAsiaTheme="minorEastAsia"/>
          <w:b w:val="0"/>
          <w:bCs w:val="0"/>
          <w:sz w:val="24"/>
          <w:lang w:val="en-US" w:eastAsia="zh-CN"/>
        </w:rPr>
        <w:t>车35KV变电站</w:t>
      </w:r>
      <w:r>
        <w:rPr>
          <w:rFonts w:hint="eastAsia" w:asciiTheme="minorEastAsia" w:hAnsiTheme="minorEastAsia" w:eastAsiaTheme="minorEastAsia"/>
          <w:sz w:val="24"/>
        </w:rPr>
        <w:t>。</w:t>
      </w:r>
    </w:p>
    <w:p w14:paraId="02BF61EE">
      <w:pPr>
        <w:pStyle w:val="3"/>
        <w:keepNext w:val="0"/>
        <w:keepLines w:val="0"/>
        <w:numPr>
          <w:ilvl w:val="1"/>
          <w:numId w:val="6"/>
        </w:numPr>
        <w:spacing w:before="0" w:after="0" w:line="360" w:lineRule="auto"/>
        <w:ind w:left="357" w:hanging="357"/>
        <w:rPr>
          <w:rFonts w:asciiTheme="minorEastAsia" w:hAnsiTheme="minorEastAsia" w:eastAsiaTheme="minorEastAsia"/>
          <w:bCs w:val="0"/>
          <w:kern w:val="2"/>
          <w:sz w:val="24"/>
          <w:szCs w:val="20"/>
        </w:rPr>
      </w:pPr>
      <w:bookmarkStart w:id="6" w:name="_Toc6907123"/>
      <w:bookmarkStart w:id="7" w:name="_Toc501375835"/>
      <w:r>
        <w:rPr>
          <w:rFonts w:hint="eastAsia" w:asciiTheme="minorEastAsia" w:hAnsiTheme="minorEastAsia" w:eastAsiaTheme="minorEastAsia"/>
          <w:bCs w:val="0"/>
          <w:kern w:val="2"/>
          <w:sz w:val="24"/>
          <w:szCs w:val="20"/>
        </w:rPr>
        <w:t>项目信息</w:t>
      </w:r>
      <w:bookmarkEnd w:id="6"/>
      <w:bookmarkEnd w:id="7"/>
    </w:p>
    <w:p w14:paraId="62863E34">
      <w:pPr>
        <w:pStyle w:val="84"/>
        <w:numPr>
          <w:ilvl w:val="1"/>
          <w:numId w:val="7"/>
        </w:numPr>
        <w:spacing w:line="360" w:lineRule="auto"/>
        <w:ind w:firstLineChars="0"/>
        <w:rPr>
          <w:rFonts w:asciiTheme="minorEastAsia" w:hAnsiTheme="minorEastAsia" w:eastAsiaTheme="minorEastAsia"/>
          <w:vanish/>
          <w:sz w:val="24"/>
        </w:rPr>
      </w:pPr>
    </w:p>
    <w:p w14:paraId="56FAF1B6">
      <w:pPr>
        <w:spacing w:line="360" w:lineRule="auto"/>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b/>
          <w:bCs/>
          <w:color w:val="000000" w:themeColor="text1"/>
          <w:sz w:val="24"/>
          <w14:textFill>
            <w14:solidFill>
              <w14:schemeClr w14:val="tx1"/>
            </w14:solidFill>
          </w14:textFill>
        </w:rPr>
        <w:t>1.2.2</w:t>
      </w:r>
      <w:r>
        <w:rPr>
          <w:rFonts w:asciiTheme="minorEastAsia" w:hAnsiTheme="minorEastAsia" w:eastAsiaTheme="minorEastAsia"/>
          <w:b/>
          <w:bCs/>
          <w:color w:val="000000" w:themeColor="text1"/>
          <w:sz w:val="24"/>
          <w14:textFill>
            <w14:solidFill>
              <w14:schemeClr w14:val="tx1"/>
            </w14:solidFill>
          </w14:textFill>
        </w:rPr>
        <w:t>项目背景</w:t>
      </w:r>
    </w:p>
    <w:p w14:paraId="041F9704">
      <w:pPr>
        <w:adjustRightInd w:val="0"/>
        <w:snapToGrid w:val="0"/>
        <w:spacing w:line="360" w:lineRule="auto"/>
        <w:jc w:val="left"/>
        <w:rPr>
          <w:rFonts w:hint="default" w:asciiTheme="minorEastAsia" w:hAnsiTheme="minorEastAsia" w:eastAsiaTheme="minorEastAsia"/>
          <w:color w:val="000000" w:themeColor="text1"/>
          <w:sz w:val="24"/>
          <w:szCs w:val="24"/>
          <w:lang w:val="en-US"/>
          <w14:textFill>
            <w14:solidFill>
              <w14:schemeClr w14:val="tx1"/>
            </w14:solidFill>
          </w14:textFill>
        </w:rPr>
      </w:pPr>
      <w:bookmarkStart w:id="8" w:name="_Toc14532"/>
      <w:r>
        <w:rPr>
          <w:rFonts w:hint="eastAsia"/>
        </w:rPr>
        <w:t xml:space="preserve">    </w:t>
      </w:r>
      <w:r>
        <w:rPr>
          <w:sz w:val="24"/>
          <w:szCs w:val="24"/>
        </w:rPr>
        <w:t>本项目为</w:t>
      </w:r>
      <w:r>
        <w:rPr>
          <w:rFonts w:hint="eastAsia" w:asciiTheme="minorEastAsia" w:hAnsiTheme="minorEastAsia" w:eastAsiaTheme="minorEastAsia"/>
          <w:b/>
          <w:bCs/>
          <w:sz w:val="24"/>
        </w:rPr>
        <w:t>35KV变压器及配套设施升级改造项目</w:t>
      </w:r>
      <w:r>
        <w:rPr>
          <w:sz w:val="24"/>
          <w:szCs w:val="24"/>
        </w:rPr>
        <w:t>，</w:t>
      </w:r>
      <w:bookmarkEnd w:id="8"/>
      <w:r>
        <w:rPr>
          <w:rFonts w:hint="eastAsia"/>
          <w:sz w:val="24"/>
          <w:szCs w:val="24"/>
          <w:lang w:eastAsia="zh-CN"/>
        </w:rPr>
        <w:t>公司原备用</w:t>
      </w:r>
      <w:r>
        <w:rPr>
          <w:rFonts w:hint="eastAsia"/>
          <w:sz w:val="24"/>
          <w:szCs w:val="24"/>
          <w:lang w:val="en-US" w:eastAsia="zh-CN"/>
        </w:rPr>
        <w:t>1台</w:t>
      </w:r>
      <w:r>
        <w:rPr>
          <w:rFonts w:hint="eastAsia"/>
          <w:sz w:val="24"/>
          <w:szCs w:val="24"/>
          <w:lang w:eastAsia="zh-CN"/>
        </w:rPr>
        <w:t>容量为</w:t>
      </w:r>
      <w:r>
        <w:rPr>
          <w:rFonts w:hint="eastAsia" w:asciiTheme="minorEastAsia" w:hAnsiTheme="minorEastAsia" w:eastAsiaTheme="minorEastAsia" w:cstheme="minorEastAsia"/>
          <w:sz w:val="24"/>
          <w:szCs w:val="24"/>
          <w:lang w:val="en-US" w:eastAsia="zh-CN"/>
        </w:rPr>
        <w:t>10000KVA/</w:t>
      </w:r>
      <w:r>
        <w:rPr>
          <w:rFonts w:hint="eastAsia"/>
          <w:sz w:val="24"/>
          <w:szCs w:val="24"/>
          <w:lang w:val="en-US" w:eastAsia="zh-CN"/>
        </w:rPr>
        <w:t>3</w:t>
      </w:r>
      <w:r>
        <w:rPr>
          <w:rFonts w:hint="eastAsia" w:asciiTheme="minorEastAsia" w:hAnsiTheme="minorEastAsia" w:eastAsiaTheme="minorEastAsia" w:cstheme="minorEastAsia"/>
          <w:sz w:val="24"/>
          <w:szCs w:val="24"/>
          <w:lang w:val="en-US" w:eastAsia="zh-CN"/>
        </w:rPr>
        <w:t>5KV的变压器规格型号为SZ11，已不符合现法律法规运行要求。</w:t>
      </w:r>
      <w:r>
        <w:rPr>
          <w:rFonts w:hint="eastAsia" w:asciiTheme="minorEastAsia" w:hAnsiTheme="minorEastAsia" w:eastAsiaTheme="minorEastAsia" w:cstheme="minorEastAsia"/>
          <w:sz w:val="24"/>
          <w:szCs w:val="24"/>
        </w:rPr>
        <w:t>要求通过</w:t>
      </w:r>
      <w:r>
        <w:rPr>
          <w:rFonts w:hint="eastAsia" w:asciiTheme="minorEastAsia" w:hAnsiTheme="minorEastAsia" w:eastAsiaTheme="minorEastAsia" w:cstheme="minorEastAsia"/>
          <w:sz w:val="24"/>
          <w:szCs w:val="24"/>
          <w:lang w:eastAsia="zh-CN"/>
        </w:rPr>
        <w:t>对</w:t>
      </w:r>
      <w:r>
        <w:rPr>
          <w:rFonts w:hint="eastAsia" w:asciiTheme="minorEastAsia" w:hAnsiTheme="minorEastAsia" w:eastAsiaTheme="minorEastAsia" w:cstheme="minorEastAsia"/>
          <w:sz w:val="24"/>
          <w:szCs w:val="24"/>
          <w:lang w:val="en-US" w:eastAsia="zh-CN"/>
        </w:rPr>
        <w:t>变压器改造升级，使其</w:t>
      </w:r>
      <w:r>
        <w:rPr>
          <w:rFonts w:hint="eastAsia" w:asciiTheme="minorEastAsia" w:hAnsiTheme="minorEastAsia" w:eastAsiaTheme="minorEastAsia" w:cstheme="minorEastAsia"/>
          <w:sz w:val="24"/>
          <w:szCs w:val="24"/>
          <w:lang w:val="en-US" w:eastAsia="zh-CN" w:bidi="ar"/>
        </w:rPr>
        <w:t>符合《电力变压器能效限定值及能效等级GB20052-2024》规定2级能耗以上，变压器规格型号为升级为SZ20，增容审核通过。</w:t>
      </w:r>
      <w:r>
        <w:rPr>
          <w:rFonts w:hint="eastAsia" w:asciiTheme="minorEastAsia" w:hAnsiTheme="minorEastAsia" w:eastAsiaTheme="minorEastAsia" w:cstheme="minorEastAsia"/>
          <w:sz w:val="24"/>
          <w:szCs w:val="24"/>
          <w:highlight w:val="none"/>
          <w:lang w:val="en-US" w:eastAsia="zh-CN" w:bidi="ar"/>
        </w:rPr>
        <w:t>与变压器配套供电设施已使用10余年，部分功能已不适应现在供电及运行监控要求，需要进行升级改造。</w:t>
      </w:r>
    </w:p>
    <w:p w14:paraId="029ACE6B">
      <w:pPr>
        <w:pStyle w:val="3"/>
        <w:keepNext w:val="0"/>
        <w:keepLines w:val="0"/>
        <w:numPr>
          <w:ilvl w:val="1"/>
          <w:numId w:val="6"/>
        </w:numPr>
        <w:spacing w:before="0" w:after="0" w:line="360" w:lineRule="auto"/>
        <w:ind w:left="357" w:hanging="357"/>
        <w:rPr>
          <w:rFonts w:asciiTheme="minorEastAsia" w:hAnsiTheme="minorEastAsia" w:eastAsiaTheme="minorEastAsia"/>
          <w:bCs w:val="0"/>
          <w:kern w:val="2"/>
          <w:sz w:val="24"/>
          <w:szCs w:val="20"/>
        </w:rPr>
      </w:pPr>
      <w:bookmarkStart w:id="9" w:name="_Toc6907126"/>
      <w:bookmarkStart w:id="10" w:name="_Toc501375837"/>
      <w:r>
        <w:rPr>
          <w:rFonts w:hint="eastAsia" w:asciiTheme="minorEastAsia" w:hAnsiTheme="minorEastAsia" w:eastAsiaTheme="minorEastAsia"/>
          <w:bCs w:val="0"/>
          <w:kern w:val="2"/>
          <w:sz w:val="24"/>
          <w:szCs w:val="20"/>
        </w:rPr>
        <w:t>项目内容</w:t>
      </w:r>
      <w:bookmarkEnd w:id="9"/>
      <w:bookmarkEnd w:id="10"/>
    </w:p>
    <w:p w14:paraId="671A7179">
      <w:pPr>
        <w:spacing w:line="360" w:lineRule="auto"/>
        <w:ind w:firstLine="480" w:firstLineChars="200"/>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项目为交钥匙工程，包含中通客车</w:t>
      </w:r>
      <w:r>
        <w:rPr>
          <w:rFonts w:hint="eastAsia" w:asciiTheme="minorEastAsia" w:hAnsiTheme="minorEastAsia" w:eastAsiaTheme="minorEastAsia"/>
          <w:b w:val="0"/>
          <w:bCs w:val="0"/>
          <w:sz w:val="24"/>
        </w:rPr>
        <w:t>35KV10000KVA变压器</w:t>
      </w:r>
      <w:r>
        <w:rPr>
          <w:rFonts w:hint="eastAsia" w:asciiTheme="minorEastAsia" w:hAnsiTheme="minorEastAsia" w:eastAsiaTheme="minorEastAsia"/>
          <w:b w:val="0"/>
          <w:bCs w:val="0"/>
          <w:sz w:val="24"/>
          <w:lang w:val="en-US" w:eastAsia="zh-CN"/>
        </w:rPr>
        <w:t>升级改造、配套设施改造及电气试验</w:t>
      </w:r>
      <w:r>
        <w:rPr>
          <w:rFonts w:hint="eastAsia" w:asciiTheme="minorEastAsia" w:hAnsiTheme="minorEastAsia" w:eastAsiaTheme="minorEastAsia"/>
          <w:sz w:val="24"/>
        </w:rPr>
        <w:t>及相关附件的订货、制造、采购</w:t>
      </w:r>
      <w:r>
        <w:rPr>
          <w:rFonts w:asciiTheme="minorEastAsia" w:hAnsiTheme="minorEastAsia" w:eastAsiaTheme="minorEastAsia"/>
          <w:sz w:val="24"/>
        </w:rPr>
        <w:t>、</w:t>
      </w:r>
      <w:r>
        <w:rPr>
          <w:rFonts w:hint="eastAsia" w:asciiTheme="minorEastAsia" w:hAnsiTheme="minorEastAsia" w:eastAsiaTheme="minorEastAsia"/>
          <w:sz w:val="24"/>
        </w:rPr>
        <w:t>包装运输、卸货</w:t>
      </w:r>
      <w:r>
        <w:rPr>
          <w:rFonts w:asciiTheme="minorEastAsia" w:hAnsiTheme="minorEastAsia" w:eastAsiaTheme="minorEastAsia"/>
          <w:sz w:val="24"/>
        </w:rPr>
        <w:t>、</w:t>
      </w:r>
      <w:r>
        <w:rPr>
          <w:rFonts w:hint="eastAsia" w:asciiTheme="minorEastAsia" w:hAnsiTheme="minorEastAsia" w:eastAsiaTheme="minorEastAsia"/>
          <w:sz w:val="24"/>
        </w:rPr>
        <w:t>保险、安装、调试、培训和</w:t>
      </w:r>
      <w:r>
        <w:rPr>
          <w:rFonts w:asciiTheme="minorEastAsia" w:hAnsiTheme="minorEastAsia" w:eastAsiaTheme="minorEastAsia"/>
          <w:sz w:val="24"/>
        </w:rPr>
        <w:t>售后服务</w:t>
      </w:r>
      <w:r>
        <w:rPr>
          <w:rFonts w:hint="eastAsia" w:asciiTheme="minorEastAsia" w:hAnsiTheme="minorEastAsia" w:eastAsiaTheme="minorEastAsia"/>
          <w:sz w:val="24"/>
        </w:rPr>
        <w:t>等</w:t>
      </w:r>
      <w:r>
        <w:rPr>
          <w:rFonts w:hint="eastAsia" w:asciiTheme="minorEastAsia" w:hAnsiTheme="minorEastAsia" w:eastAsiaTheme="minorEastAsia"/>
          <w:sz w:val="24"/>
          <w:lang w:eastAsia="zh-CN"/>
        </w:rPr>
        <w:t>；确保通过国家电网委托的第三方检测并成功送电。</w:t>
      </w:r>
    </w:p>
    <w:p w14:paraId="1B8CF42B">
      <w:pPr>
        <w:pStyle w:val="84"/>
        <w:numPr>
          <w:ilvl w:val="1"/>
          <w:numId w:val="7"/>
        </w:numPr>
        <w:spacing w:line="360" w:lineRule="auto"/>
        <w:ind w:firstLineChars="0"/>
        <w:rPr>
          <w:rFonts w:asciiTheme="minorEastAsia" w:hAnsiTheme="minorEastAsia" w:eastAsiaTheme="minorEastAsia"/>
          <w:vanish/>
          <w:sz w:val="24"/>
        </w:rPr>
      </w:pPr>
    </w:p>
    <w:p w14:paraId="54BBE4D3">
      <w:pPr>
        <w:pStyle w:val="84"/>
        <w:numPr>
          <w:ilvl w:val="1"/>
          <w:numId w:val="7"/>
        </w:numPr>
        <w:spacing w:line="360" w:lineRule="auto"/>
        <w:ind w:firstLineChars="0"/>
        <w:rPr>
          <w:rFonts w:asciiTheme="minorEastAsia" w:hAnsiTheme="minorEastAsia" w:eastAsiaTheme="minorEastAsia"/>
          <w:vanish/>
          <w:sz w:val="24"/>
        </w:rPr>
      </w:pPr>
    </w:p>
    <w:p w14:paraId="305FA101">
      <w:pPr>
        <w:pStyle w:val="61"/>
        <w:numPr>
          <w:ilvl w:val="2"/>
          <w:numId w:val="6"/>
        </w:numPr>
        <w:spacing w:line="360" w:lineRule="auto"/>
        <w:ind w:left="720" w:leftChars="0" w:hanging="720" w:firstLineChars="0"/>
        <w:rPr>
          <w:rFonts w:hint="eastAsia" w:asciiTheme="minorEastAsia" w:hAnsiTheme="minorEastAsia" w:eastAsiaTheme="minorEastAsia"/>
          <w:sz w:val="24"/>
        </w:rPr>
      </w:pPr>
      <w:r>
        <w:rPr>
          <w:rFonts w:hint="eastAsia" w:asciiTheme="minorEastAsia" w:hAnsiTheme="minorEastAsia" w:eastAsiaTheme="minorEastAsia"/>
          <w:sz w:val="24"/>
        </w:rPr>
        <w:t>招标范围内的设计、制造、厂家调试、运输、卸货、安装、</w:t>
      </w:r>
      <w:r>
        <w:rPr>
          <w:rFonts w:hint="eastAsia" w:asciiTheme="minorEastAsia" w:hAnsiTheme="minorEastAsia" w:eastAsiaTheme="minorEastAsia"/>
          <w:sz w:val="24"/>
          <w:lang w:val="en-US" w:eastAsia="zh-CN"/>
        </w:rPr>
        <w:t>试验</w:t>
      </w:r>
      <w:r>
        <w:rPr>
          <w:rFonts w:hint="eastAsia" w:asciiTheme="minorEastAsia" w:hAnsiTheme="minorEastAsia" w:eastAsiaTheme="minorEastAsia"/>
          <w:sz w:val="24"/>
        </w:rPr>
        <w:t>、培训。</w:t>
      </w:r>
    </w:p>
    <w:p w14:paraId="28E51AFD">
      <w:pPr>
        <w:pStyle w:val="61"/>
        <w:numPr>
          <w:ilvl w:val="2"/>
          <w:numId w:val="6"/>
        </w:numPr>
        <w:spacing w:line="360" w:lineRule="auto"/>
        <w:ind w:left="720" w:leftChars="0" w:hanging="720" w:firstLineChars="0"/>
        <w:rPr>
          <w:rFonts w:hint="eastAsia" w:asciiTheme="minorEastAsia" w:hAnsiTheme="minorEastAsia" w:eastAsiaTheme="minorEastAsia"/>
          <w:sz w:val="24"/>
          <w:highlight w:val="none"/>
          <w:lang w:val="en-US" w:eastAsia="zh-CN"/>
        </w:rPr>
      </w:pPr>
      <w:r>
        <w:rPr>
          <w:rFonts w:hint="eastAsia" w:asciiTheme="minorEastAsia" w:hAnsiTheme="minorEastAsia" w:eastAsiaTheme="minorEastAsia"/>
          <w:sz w:val="24"/>
          <w:highlight w:val="none"/>
          <w:lang w:val="en-US" w:eastAsia="zh-CN"/>
        </w:rPr>
        <w:t xml:space="preserve"> 根据聊城供电公司供电方案（详细见附件）及运行监控要求对配套设施进行改造，实施</w:t>
      </w:r>
    </w:p>
    <w:p w14:paraId="45E005AB">
      <w:pPr>
        <w:pStyle w:val="61"/>
        <w:numPr>
          <w:ilvl w:val="0"/>
          <w:numId w:val="0"/>
        </w:numPr>
        <w:spacing w:line="360" w:lineRule="auto"/>
        <w:ind w:leftChars="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lang w:val="en-US" w:eastAsia="zh-CN"/>
        </w:rPr>
        <w:t>并提交相关检验报告，达到供电方案所需要求。</w:t>
      </w:r>
    </w:p>
    <w:p w14:paraId="4C2535FF">
      <w:pPr>
        <w:pStyle w:val="61"/>
        <w:numPr>
          <w:ilvl w:val="0"/>
          <w:numId w:val="0"/>
        </w:numPr>
        <w:spacing w:line="360" w:lineRule="auto"/>
        <w:ind w:leftChars="0"/>
        <w:rPr>
          <w:rFonts w:asciiTheme="minorEastAsia" w:hAnsiTheme="minorEastAsia" w:eastAsiaTheme="minorEastAsia"/>
        </w:rPr>
      </w:pPr>
      <w:r>
        <w:rPr>
          <w:rFonts w:hint="eastAsia" w:asciiTheme="minorEastAsia" w:hAnsiTheme="minorEastAsia" w:eastAsiaTheme="minorEastAsia"/>
          <w:sz w:val="24"/>
          <w:lang w:val="en-US" w:eastAsia="zh-CN"/>
        </w:rPr>
        <w:t>1.3.3</w:t>
      </w:r>
      <w:r>
        <w:rPr>
          <w:rFonts w:asciiTheme="minorEastAsia" w:hAnsiTheme="minorEastAsia" w:eastAsiaTheme="minorEastAsia"/>
          <w:sz w:val="24"/>
        </w:rPr>
        <w:t>负责</w:t>
      </w:r>
      <w:r>
        <w:rPr>
          <w:rFonts w:hint="eastAsia" w:asciiTheme="minorEastAsia" w:hAnsiTheme="minorEastAsia" w:eastAsiaTheme="minorEastAsia"/>
          <w:sz w:val="24"/>
          <w:lang w:val="en-US" w:eastAsia="zh-CN"/>
        </w:rPr>
        <w:t>合同质保期内</w:t>
      </w:r>
      <w:r>
        <w:rPr>
          <w:rFonts w:asciiTheme="minorEastAsia" w:hAnsiTheme="minorEastAsia" w:eastAsiaTheme="minorEastAsia"/>
          <w:sz w:val="24"/>
        </w:rPr>
        <w:t>的</w:t>
      </w:r>
      <w:r>
        <w:rPr>
          <w:rFonts w:hint="eastAsia" w:asciiTheme="minorEastAsia" w:hAnsiTheme="minorEastAsia" w:eastAsiaTheme="minorEastAsia"/>
          <w:sz w:val="24"/>
          <w:lang w:val="en-US" w:eastAsia="zh-CN"/>
        </w:rPr>
        <w:t>免费</w:t>
      </w:r>
      <w:r>
        <w:rPr>
          <w:rFonts w:asciiTheme="minorEastAsia" w:hAnsiTheme="minorEastAsia" w:eastAsiaTheme="minorEastAsia"/>
          <w:sz w:val="24"/>
        </w:rPr>
        <w:t>售后服务及设备维护。</w:t>
      </w:r>
    </w:p>
    <w:p w14:paraId="3F6DCC7D">
      <w:pPr>
        <w:pStyle w:val="61"/>
        <w:numPr>
          <w:ilvl w:val="0"/>
          <w:numId w:val="0"/>
        </w:numPr>
        <w:spacing w:line="360" w:lineRule="auto"/>
        <w:ind w:leftChars="0"/>
        <w:rPr>
          <w:rFonts w:hint="eastAsia" w:ascii="宋体" w:hAnsi="宋体" w:eastAsia="宋体" w:cs="宋体"/>
          <w:b/>
          <w:bCs/>
          <w:sz w:val="24"/>
          <w:szCs w:val="24"/>
          <w:lang w:bidi="ar"/>
        </w:rPr>
      </w:pPr>
      <w:r>
        <w:rPr>
          <w:rFonts w:hint="eastAsia" w:asciiTheme="minorEastAsia" w:hAnsiTheme="minorEastAsia" w:eastAsiaTheme="minorEastAsia"/>
          <w:b/>
          <w:bCs/>
          <w:sz w:val="24"/>
          <w:lang w:val="en-US" w:eastAsia="zh-CN"/>
        </w:rPr>
        <w:t xml:space="preserve">1.4 </w:t>
      </w:r>
      <w:r>
        <w:rPr>
          <w:rFonts w:hint="eastAsia" w:ascii="宋体" w:hAnsi="宋体" w:eastAsia="宋体" w:cs="宋体"/>
          <w:b/>
          <w:bCs/>
          <w:sz w:val="24"/>
          <w:szCs w:val="24"/>
          <w:lang w:bidi="ar"/>
        </w:rPr>
        <w:t>使用地点环境概况：</w:t>
      </w:r>
    </w:p>
    <w:p w14:paraId="203C9872">
      <w:pPr>
        <w:pStyle w:val="61"/>
        <w:numPr>
          <w:ilvl w:val="0"/>
          <w:numId w:val="0"/>
        </w:numPr>
        <w:spacing w:line="360" w:lineRule="auto"/>
        <w:ind w:leftChars="0"/>
        <w:rPr>
          <w:rFonts w:hint="default" w:ascii="宋体" w:hAnsi="宋体" w:eastAsia="宋体" w:cs="宋体"/>
          <w:b w:val="0"/>
          <w:bCs w:val="0"/>
          <w:sz w:val="24"/>
          <w:szCs w:val="24"/>
          <w:lang w:val="en-US" w:eastAsia="zh-CN" w:bidi="ar"/>
        </w:rPr>
      </w:pPr>
      <w:r>
        <w:rPr>
          <w:rFonts w:hint="default" w:ascii="宋体" w:hAnsi="宋体" w:eastAsia="宋体" w:cs="宋体"/>
          <w:b w:val="0"/>
          <w:bCs w:val="0"/>
          <w:sz w:val="24"/>
          <w:szCs w:val="24"/>
          <w:lang w:val="en-US" w:eastAsia="zh-CN" w:bidi="ar"/>
        </w:rPr>
        <w:t>1.</w:t>
      </w:r>
      <w:r>
        <w:rPr>
          <w:rFonts w:hint="eastAsia" w:ascii="宋体" w:hAnsi="宋体" w:cs="宋体"/>
          <w:b w:val="0"/>
          <w:bCs w:val="0"/>
          <w:sz w:val="24"/>
          <w:szCs w:val="24"/>
          <w:lang w:val="en-US" w:eastAsia="zh-CN" w:bidi="ar"/>
        </w:rPr>
        <w:t>4.</w:t>
      </w:r>
      <w:r>
        <w:rPr>
          <w:rFonts w:hint="default" w:ascii="宋体" w:hAnsi="宋体" w:eastAsia="宋体" w:cs="宋体"/>
          <w:b w:val="0"/>
          <w:bCs w:val="0"/>
          <w:sz w:val="24"/>
          <w:szCs w:val="24"/>
          <w:lang w:val="en-US" w:eastAsia="zh-CN" w:bidi="ar"/>
        </w:rPr>
        <w:t>1</w:t>
      </w:r>
      <w:r>
        <w:rPr>
          <w:rFonts w:hint="eastAsia" w:ascii="宋体" w:hAnsi="宋体" w:cs="宋体"/>
          <w:b w:val="0"/>
          <w:bCs w:val="0"/>
          <w:sz w:val="24"/>
          <w:szCs w:val="24"/>
          <w:lang w:val="en-US" w:eastAsia="zh-CN" w:bidi="ar"/>
        </w:rPr>
        <w:t xml:space="preserve"> </w:t>
      </w:r>
      <w:r>
        <w:rPr>
          <w:rFonts w:hint="default" w:ascii="宋体" w:hAnsi="宋体" w:eastAsia="宋体" w:cs="宋体"/>
          <w:b w:val="0"/>
          <w:bCs w:val="0"/>
          <w:sz w:val="24"/>
          <w:szCs w:val="24"/>
          <w:lang w:val="en-US" w:eastAsia="zh-CN" w:bidi="ar"/>
        </w:rPr>
        <w:t>环境温度：-15～+50℃，最大日温差：25℃</w:t>
      </w:r>
    </w:p>
    <w:p w14:paraId="54BCF330">
      <w:pPr>
        <w:pStyle w:val="61"/>
        <w:numPr>
          <w:ilvl w:val="0"/>
          <w:numId w:val="0"/>
        </w:numPr>
        <w:spacing w:line="360" w:lineRule="auto"/>
        <w:ind w:leftChars="0"/>
        <w:rPr>
          <w:rFonts w:hint="default" w:ascii="宋体" w:hAnsi="宋体" w:eastAsia="宋体" w:cs="宋体"/>
          <w:b w:val="0"/>
          <w:bCs w:val="0"/>
          <w:sz w:val="24"/>
          <w:szCs w:val="24"/>
          <w:lang w:val="en-US" w:eastAsia="zh-CN" w:bidi="ar"/>
        </w:rPr>
      </w:pPr>
      <w:r>
        <w:rPr>
          <w:rFonts w:hint="default" w:ascii="宋体" w:hAnsi="宋体" w:eastAsia="宋体" w:cs="宋体"/>
          <w:b w:val="0"/>
          <w:bCs w:val="0"/>
          <w:sz w:val="24"/>
          <w:szCs w:val="24"/>
          <w:lang w:val="en-US" w:eastAsia="zh-CN" w:bidi="ar"/>
        </w:rPr>
        <w:t>1.</w:t>
      </w:r>
      <w:r>
        <w:rPr>
          <w:rFonts w:hint="eastAsia" w:ascii="宋体" w:hAnsi="宋体" w:cs="宋体"/>
          <w:b w:val="0"/>
          <w:bCs w:val="0"/>
          <w:sz w:val="24"/>
          <w:szCs w:val="24"/>
          <w:lang w:val="en-US" w:eastAsia="zh-CN" w:bidi="ar"/>
        </w:rPr>
        <w:t>4</w:t>
      </w:r>
      <w:r>
        <w:rPr>
          <w:rFonts w:hint="default" w:ascii="宋体" w:hAnsi="宋体" w:eastAsia="宋体" w:cs="宋体"/>
          <w:b w:val="0"/>
          <w:bCs w:val="0"/>
          <w:sz w:val="24"/>
          <w:szCs w:val="24"/>
          <w:lang w:val="en-US" w:eastAsia="zh-CN" w:bidi="ar"/>
        </w:rPr>
        <w:t>.</w:t>
      </w:r>
      <w:r>
        <w:rPr>
          <w:rFonts w:hint="eastAsia" w:ascii="宋体" w:hAnsi="宋体" w:cs="宋体"/>
          <w:b w:val="0"/>
          <w:bCs w:val="0"/>
          <w:sz w:val="24"/>
          <w:szCs w:val="24"/>
          <w:lang w:val="en-US" w:eastAsia="zh-CN" w:bidi="ar"/>
        </w:rPr>
        <w:t xml:space="preserve">2 </w:t>
      </w:r>
      <w:r>
        <w:rPr>
          <w:rFonts w:hint="default" w:ascii="宋体" w:hAnsi="宋体" w:eastAsia="宋体" w:cs="宋体"/>
          <w:b w:val="0"/>
          <w:bCs w:val="0"/>
          <w:sz w:val="24"/>
          <w:szCs w:val="24"/>
          <w:lang w:val="en-US" w:eastAsia="zh-CN" w:bidi="ar"/>
        </w:rPr>
        <w:t>年平均相对湿度：～59%，最高月平均相对湿度：95%（+25℃）</w:t>
      </w:r>
    </w:p>
    <w:p w14:paraId="1B1D12FA">
      <w:pPr>
        <w:pStyle w:val="3"/>
        <w:keepNext w:val="0"/>
        <w:keepLines w:val="0"/>
        <w:numPr>
          <w:ilvl w:val="0"/>
          <w:numId w:val="6"/>
        </w:numPr>
        <w:spacing w:beforeLines="50" w:after="0" w:line="360" w:lineRule="auto"/>
        <w:rPr>
          <w:rFonts w:asciiTheme="minorEastAsia" w:hAnsiTheme="minorEastAsia" w:eastAsiaTheme="minorEastAsia"/>
          <w:bCs w:val="0"/>
          <w:kern w:val="2"/>
          <w:sz w:val="24"/>
          <w:szCs w:val="20"/>
        </w:rPr>
      </w:pPr>
      <w:bookmarkStart w:id="11" w:name="_Toc308704202"/>
      <w:bookmarkStart w:id="12" w:name="_Toc6907128"/>
      <w:bookmarkStart w:id="13" w:name="_Toc501375839"/>
      <w:bookmarkStart w:id="14" w:name="_Toc308704199"/>
      <w:r>
        <w:rPr>
          <w:rFonts w:hint="eastAsia" w:asciiTheme="minorEastAsia" w:hAnsiTheme="minorEastAsia" w:eastAsiaTheme="minorEastAsia"/>
          <w:bCs w:val="0"/>
          <w:kern w:val="2"/>
          <w:sz w:val="24"/>
          <w:szCs w:val="20"/>
        </w:rPr>
        <w:t>基本要求</w:t>
      </w:r>
      <w:bookmarkEnd w:id="11"/>
      <w:bookmarkEnd w:id="12"/>
      <w:bookmarkEnd w:id="13"/>
    </w:p>
    <w:p w14:paraId="5E0778FD">
      <w:pPr>
        <w:pStyle w:val="3"/>
        <w:keepNext w:val="0"/>
        <w:keepLines w:val="0"/>
        <w:numPr>
          <w:ilvl w:val="1"/>
          <w:numId w:val="6"/>
        </w:numPr>
        <w:spacing w:before="0" w:after="0" w:line="360" w:lineRule="auto"/>
        <w:ind w:left="357" w:hanging="357"/>
        <w:rPr>
          <w:rFonts w:asciiTheme="minorEastAsia" w:hAnsiTheme="minorEastAsia" w:eastAsiaTheme="minorEastAsia"/>
          <w:bCs w:val="0"/>
          <w:kern w:val="2"/>
          <w:sz w:val="24"/>
          <w:szCs w:val="20"/>
        </w:rPr>
      </w:pPr>
      <w:bookmarkStart w:id="15" w:name="_Toc372361979"/>
      <w:bookmarkStart w:id="16" w:name="_Toc6907129"/>
      <w:bookmarkStart w:id="17" w:name="_Toc501375840"/>
      <w:bookmarkStart w:id="18" w:name="_Toc371952811"/>
      <w:bookmarkStart w:id="19" w:name="_Toc308704211"/>
      <w:r>
        <w:rPr>
          <w:rFonts w:hint="eastAsia" w:asciiTheme="minorEastAsia" w:hAnsiTheme="minorEastAsia" w:eastAsiaTheme="minorEastAsia"/>
          <w:bCs w:val="0"/>
          <w:kern w:val="2"/>
          <w:sz w:val="24"/>
          <w:szCs w:val="20"/>
        </w:rPr>
        <w:t>设计依据</w:t>
      </w:r>
      <w:bookmarkEnd w:id="15"/>
      <w:bookmarkEnd w:id="16"/>
      <w:bookmarkEnd w:id="17"/>
      <w:bookmarkEnd w:id="18"/>
      <w:r>
        <w:rPr>
          <w:rFonts w:hint="eastAsia" w:asciiTheme="minorEastAsia" w:hAnsiTheme="minorEastAsia" w:eastAsiaTheme="minorEastAsia"/>
          <w:bCs w:val="0"/>
          <w:kern w:val="2"/>
          <w:sz w:val="24"/>
          <w:szCs w:val="20"/>
          <w:lang w:val="en-US" w:eastAsia="zh-CN"/>
        </w:rPr>
        <w:t>及执行标准</w:t>
      </w:r>
    </w:p>
    <w:p w14:paraId="1B34FD5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1094.1-2013  电力变压器 第1部分： 总则</w:t>
      </w:r>
    </w:p>
    <w:p w14:paraId="7CE951BA">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1094.2-2013  电力变压器 第2部分：液浸式变压器的温升</w:t>
      </w:r>
    </w:p>
    <w:p w14:paraId="5B5AE473">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1094.3-2017  电力变压器 第3部分:绝缘水平、绝缘试验和外绝缘空气间隙</w:t>
      </w:r>
    </w:p>
    <w:p w14:paraId="084D794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1094.4-2005  电力变压器 第4部分：电力变压器和电抗器的雷电冲击和操作冲击试验导则</w:t>
      </w:r>
    </w:p>
    <w:p w14:paraId="50606D5A">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1094.5-2008   电力变压器 第5部分：承受短路的能力</w:t>
      </w:r>
    </w:p>
    <w:p w14:paraId="05067178">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10230.1-2019  分接开关 第1部分：性能要求和试验方法</w:t>
      </w:r>
    </w:p>
    <w:p w14:paraId="6C6140B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10230.2-2007  分接开关 第2部分：应用导则</w:t>
      </w:r>
    </w:p>
    <w:p w14:paraId="2522E883">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311.1-2012    绝缘配合 第1部分：定义、原则和规则</w:t>
      </w:r>
    </w:p>
    <w:p w14:paraId="7070E9E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311.2-2013  绝缘配合 第2部分：使用导则</w:t>
      </w:r>
    </w:p>
    <w:p w14:paraId="56488C3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6451-2015   油浸式电力变压器技术参数和要求</w:t>
      </w:r>
    </w:p>
    <w:p w14:paraId="2E3ABF39">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GB/T7354-2018    局部放电测量</w:t>
      </w:r>
    </w:p>
    <w:p w14:paraId="2A6E86D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GB50150-2016     电气装置安装工程电气设备交接试验标准</w:t>
      </w:r>
    </w:p>
    <w:p w14:paraId="0EEA8BEC">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DL/T620-1997     交流电气装置的过电压保护和绝缘配合</w:t>
      </w:r>
    </w:p>
    <w:p w14:paraId="768EA2F8">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DL/T596-2021     电力设备预防性试验规程</w:t>
      </w:r>
    </w:p>
    <w:p w14:paraId="218DFEE1">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DL/T572-2021     电力变压器运行规程</w:t>
      </w:r>
    </w:p>
    <w:p w14:paraId="7A7C7025">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DL/T573-2021     电力变压器检修导则</w:t>
      </w:r>
    </w:p>
    <w:p w14:paraId="2F8FE46F">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JB/T 501-2021    电力变压器试验导则</w:t>
      </w:r>
    </w:p>
    <w:p w14:paraId="2D743768">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DL/T722-2014     变压器油中溶解气体分析和判断导则  </w:t>
      </w:r>
    </w:p>
    <w:p w14:paraId="73DC389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JB/T5345-2016    变压器用蝶阀</w:t>
      </w:r>
    </w:p>
    <w:p w14:paraId="57D1759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DL/T 1266-2013   变压器用片式散热器选用导则</w:t>
      </w:r>
    </w:p>
    <w:p w14:paraId="5DECF80C">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JHG/T 2812-2005  软木橡胶密封制品 第一部分 变压器及高压电器类用</w:t>
      </w:r>
    </w:p>
    <w:p w14:paraId="1720699C">
      <w:pPr>
        <w:spacing w:line="360" w:lineRule="auto"/>
        <w:rPr>
          <w:rFonts w:hint="eastAsia" w:asciiTheme="minorEastAsia" w:hAnsiTheme="minorEastAsia" w:eastAsiaTheme="minorEastAsia" w:cstheme="minorEastAsia"/>
          <w:sz w:val="24"/>
          <w:szCs w:val="24"/>
        </w:rPr>
      </w:pPr>
    </w:p>
    <w:p w14:paraId="0E7DA0E8">
      <w:pPr>
        <w:autoSpaceDE w:val="0"/>
        <w:autoSpaceDN w:val="0"/>
        <w:adjustRightInd w:val="0"/>
        <w:spacing w:line="360" w:lineRule="auto"/>
        <w:ind w:right="-289"/>
        <w:rPr>
          <w:rFonts w:ascii="宋体" w:hAnsi="宋体"/>
          <w:sz w:val="24"/>
          <w:szCs w:val="24"/>
        </w:rPr>
      </w:pPr>
      <w:r>
        <w:rPr>
          <w:rFonts w:hint="eastAsia"/>
          <w:b/>
          <w:sz w:val="24"/>
          <w:szCs w:val="24"/>
        </w:rPr>
        <w:t>2.2设计</w:t>
      </w:r>
      <w:r>
        <w:rPr>
          <w:rFonts w:hint="eastAsia"/>
          <w:b/>
          <w:sz w:val="24"/>
          <w:szCs w:val="24"/>
          <w:lang w:val="en-US" w:eastAsia="zh-CN"/>
        </w:rPr>
        <w:t>及升级改造</w:t>
      </w:r>
      <w:r>
        <w:rPr>
          <w:rFonts w:hint="eastAsia" w:ascii="宋体" w:hAnsi="宋体"/>
          <w:b/>
          <w:sz w:val="24"/>
          <w:szCs w:val="24"/>
        </w:rPr>
        <w:t>目标</w:t>
      </w:r>
      <w:r>
        <w:rPr>
          <w:rFonts w:hint="eastAsia" w:ascii="宋体" w:hAnsi="宋体"/>
          <w:sz w:val="24"/>
          <w:szCs w:val="24"/>
        </w:rPr>
        <w:t>：</w:t>
      </w:r>
    </w:p>
    <w:p w14:paraId="60B2E742">
      <w:pPr>
        <w:adjustRightInd w:val="0"/>
        <w:snapToGrid w:val="0"/>
        <w:spacing w:line="360" w:lineRule="auto"/>
        <w:jc w:val="left"/>
        <w:rPr>
          <w:rFonts w:hint="eastAsia" w:ascii="宋体" w:hAnsi="宋体"/>
          <w:sz w:val="24"/>
          <w:szCs w:val="24"/>
          <w:lang w:val="en-US" w:eastAsia="zh-CN"/>
        </w:rPr>
      </w:pPr>
      <w:r>
        <w:rPr>
          <w:rFonts w:hint="eastAsia" w:ascii="宋体" w:hAnsi="宋体"/>
          <w:sz w:val="24"/>
          <w:szCs w:val="24"/>
          <w:lang w:val="en-US" w:eastAsia="zh-CN"/>
        </w:rPr>
        <w:t xml:space="preserve"> 变压器经升级改造后，变压器空载及有载损耗符合或高于《电力变压器能效限定值及能效等级GB20052-2024》2级。</w:t>
      </w:r>
    </w:p>
    <w:p w14:paraId="4A34062C">
      <w:pPr>
        <w:pStyle w:val="2"/>
        <w:numPr>
          <w:ilvl w:val="0"/>
          <w:numId w:val="0"/>
        </w:numPr>
        <w:ind w:leftChars="0"/>
        <w:rPr>
          <w:rFonts w:hint="eastAsia" w:ascii="宋体" w:hAnsi="宋体"/>
          <w:b/>
          <w:bCs/>
          <w:sz w:val="24"/>
          <w:szCs w:val="24"/>
          <w:lang w:val="en-US" w:eastAsia="zh-CN"/>
        </w:rPr>
      </w:pPr>
      <w:r>
        <w:rPr>
          <w:rFonts w:hint="eastAsia" w:ascii="宋体" w:hAnsi="宋体"/>
          <w:b/>
          <w:bCs/>
          <w:sz w:val="24"/>
          <w:szCs w:val="24"/>
          <w:lang w:val="en-US" w:eastAsia="zh-CN"/>
        </w:rPr>
        <w:t>3具体技术要求</w:t>
      </w:r>
    </w:p>
    <w:p w14:paraId="1A6F4B21">
      <w:pPr>
        <w:pStyle w:val="2"/>
        <w:numPr>
          <w:ilvl w:val="0"/>
          <w:numId w:val="0"/>
        </w:numPr>
        <w:ind w:leftChars="0"/>
        <w:rPr>
          <w:rFonts w:hint="default" w:ascii="宋体" w:hAnsi="宋体"/>
          <w:b/>
          <w:bCs/>
          <w:sz w:val="24"/>
          <w:szCs w:val="24"/>
          <w:lang w:val="en-US" w:eastAsia="zh-CN"/>
        </w:rPr>
      </w:pPr>
      <w:r>
        <w:rPr>
          <w:rFonts w:hint="eastAsia" w:ascii="宋体" w:hAnsi="宋体"/>
          <w:b/>
          <w:bCs/>
          <w:sz w:val="24"/>
          <w:szCs w:val="24"/>
          <w:lang w:val="en-US" w:eastAsia="zh-CN"/>
        </w:rPr>
        <w:t>3</w:t>
      </w:r>
      <w:r>
        <w:rPr>
          <w:rFonts w:hint="default" w:ascii="宋体" w:hAnsi="宋体"/>
          <w:b/>
          <w:bCs/>
          <w:sz w:val="24"/>
          <w:szCs w:val="24"/>
          <w:lang w:val="en-US" w:eastAsia="zh-CN"/>
        </w:rPr>
        <w:t>.1变压器升级改造：</w:t>
      </w:r>
    </w:p>
    <w:p w14:paraId="25643180">
      <w:pPr>
        <w:pStyle w:val="35"/>
        <w:keepNext w:val="0"/>
        <w:keepLines w:val="0"/>
        <w:widowControl/>
        <w:suppressLineNumbers w:val="0"/>
        <w:spacing w:before="0" w:beforeAutospacing="0" w:after="0" w:afterAutospacing="0" w:line="360" w:lineRule="auto"/>
        <w:ind w:left="0" w:firstLine="0"/>
        <w:jc w:val="left"/>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.1.1</w:t>
      </w:r>
      <w:r>
        <w:rPr>
          <w:sz w:val="24"/>
          <w:szCs w:val="24"/>
        </w:rPr>
        <w:t>将现有待改造1台SZ11型10000KVA</w:t>
      </w:r>
      <w:r>
        <w:rPr>
          <w:rFonts w:hint="eastAsia"/>
          <w:sz w:val="24"/>
          <w:szCs w:val="24"/>
          <w:lang w:val="en-US" w:eastAsia="zh-CN"/>
        </w:rPr>
        <w:t>/</w:t>
      </w:r>
      <w:r>
        <w:rPr>
          <w:sz w:val="24"/>
          <w:szCs w:val="24"/>
        </w:rPr>
        <w:t>35KV变压器</w:t>
      </w:r>
      <w:r>
        <w:rPr>
          <w:rFonts w:hint="eastAsia"/>
          <w:sz w:val="24"/>
          <w:szCs w:val="24"/>
          <w:lang w:val="en-US" w:eastAsia="zh-CN"/>
        </w:rPr>
        <w:t>进行</w:t>
      </w:r>
      <w:r>
        <w:rPr>
          <w:rFonts w:hint="default" w:ascii="宋体" w:hAnsi="宋体"/>
          <w:b w:val="0"/>
          <w:bCs w:val="0"/>
          <w:sz w:val="24"/>
          <w:szCs w:val="24"/>
          <w:lang w:val="en-US" w:eastAsia="zh-CN"/>
        </w:rPr>
        <w:t>拆卸、吊装、运输，整个拆卸、吊装、安装过程中均不得损坏招标单位相关高压设施及建筑物等其他设施。</w:t>
      </w:r>
    </w:p>
    <w:p w14:paraId="16552F82">
      <w:pPr>
        <w:pStyle w:val="35"/>
        <w:keepNext w:val="0"/>
        <w:keepLines w:val="0"/>
        <w:widowControl/>
        <w:suppressLineNumbers w:val="0"/>
        <w:spacing w:before="0" w:beforeAutospacing="0" w:after="0" w:afterAutospacing="0" w:line="360" w:lineRule="auto"/>
        <w:ind w:left="0" w:firstLine="0"/>
        <w:jc w:val="left"/>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1.2在规范要求环境内对变压器内、外部进行全方位升级改造，内部主要是更换高性能硅钢片，线圈材料为专用紫铜，原有绕组不足增加必要的铜线，对线圈进行重新加工、绕制、绝缘处理、烘干、安装等。电力变压器技术参数和技术要求应符合GB/T1094.1-2013、GB/T6451-2023等变压器国标要求。</w:t>
      </w:r>
    </w:p>
    <w:p w14:paraId="52805ABE">
      <w:pPr>
        <w:pStyle w:val="35"/>
        <w:keepNext w:val="0"/>
        <w:keepLines w:val="0"/>
        <w:widowControl/>
        <w:suppressLineNumbers w:val="0"/>
        <w:spacing w:before="0" w:beforeAutospacing="0" w:after="0" w:afterAutospacing="0" w:line="360" w:lineRule="auto"/>
        <w:ind w:left="0" w:firstLine="0"/>
        <w:jc w:val="left"/>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.1.3</w:t>
      </w:r>
      <w:r>
        <w:rPr>
          <w:sz w:val="24"/>
          <w:szCs w:val="24"/>
        </w:rPr>
        <w:t>更换变压器油或对现有变压器油处理达到相关国标技术要求，不足部分由中标单位补添。</w:t>
      </w:r>
    </w:p>
    <w:p w14:paraId="41B472EE">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.1.4更换变压器各密封</w:t>
      </w:r>
      <w:r>
        <w:rPr>
          <w:rFonts w:hint="eastAsia" w:ascii="宋体" w:hAnsi="宋体"/>
          <w:b w:val="0"/>
          <w:bCs w:val="0"/>
          <w:sz w:val="24"/>
          <w:szCs w:val="24"/>
          <w:lang w:val="en-US" w:eastAsia="zh-CN"/>
        </w:rPr>
        <w:t>件</w:t>
      </w:r>
      <w:r>
        <w:rPr>
          <w:rFonts w:hint="default" w:ascii="宋体" w:hAnsi="宋体"/>
          <w:b w:val="0"/>
          <w:bCs w:val="0"/>
          <w:sz w:val="24"/>
          <w:szCs w:val="24"/>
          <w:lang w:val="en-US" w:eastAsia="zh-CN"/>
        </w:rPr>
        <w:t>，绝缘</w:t>
      </w:r>
      <w:r>
        <w:rPr>
          <w:rFonts w:hint="eastAsia" w:ascii="宋体" w:hAnsi="宋体"/>
          <w:b w:val="0"/>
          <w:bCs w:val="0"/>
          <w:sz w:val="24"/>
          <w:szCs w:val="24"/>
          <w:lang w:val="en-US" w:eastAsia="zh-CN"/>
        </w:rPr>
        <w:t>、密封性能</w:t>
      </w:r>
      <w:r>
        <w:rPr>
          <w:rFonts w:hint="default" w:ascii="宋体" w:hAnsi="宋体"/>
          <w:b w:val="0"/>
          <w:bCs w:val="0"/>
          <w:sz w:val="24"/>
          <w:szCs w:val="24"/>
          <w:lang w:val="en-US" w:eastAsia="zh-CN"/>
        </w:rPr>
        <w:t>符合国家相关规定。</w:t>
      </w:r>
    </w:p>
    <w:p w14:paraId="4961FA0B">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.1.5对变压器重新进行涂装、张贴铭牌。</w:t>
      </w:r>
    </w:p>
    <w:p w14:paraId="0C29853C">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.1.6对改造升级后变压器进行出厂试验，实验结果附在设备移交文件中。</w:t>
      </w:r>
    </w:p>
    <w:p w14:paraId="48796D05">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.1.7改造升级后变压器能耗符合《电力变压器能效限定值及能效等级GB20052-2024》的对应35KV10000KVA油浸式变压器2级能效以上标准。</w:t>
      </w:r>
    </w:p>
    <w:p w14:paraId="348E1982">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.1.8对变压器进行安装就位。</w:t>
      </w:r>
    </w:p>
    <w:p w14:paraId="1DAE99AD">
      <w:pPr>
        <w:pStyle w:val="2"/>
        <w:numPr>
          <w:ilvl w:val="0"/>
          <w:numId w:val="0"/>
        </w:numPr>
        <w:spacing w:line="360" w:lineRule="auto"/>
        <w:ind w:leftChars="0"/>
        <w:rPr>
          <w:rFonts w:hint="default" w:ascii="宋体" w:hAnsi="宋体"/>
          <w:b/>
          <w:bCs/>
          <w:sz w:val="24"/>
          <w:szCs w:val="24"/>
          <w:lang w:val="en-US" w:eastAsia="zh-CN"/>
        </w:rPr>
      </w:pPr>
      <w:r>
        <w:rPr>
          <w:rFonts w:hint="eastAsia" w:ascii="宋体" w:hAnsi="宋体"/>
          <w:b/>
          <w:bCs/>
          <w:sz w:val="24"/>
          <w:szCs w:val="24"/>
          <w:lang w:val="en-US" w:eastAsia="zh-CN"/>
        </w:rPr>
        <w:t>3</w:t>
      </w:r>
      <w:r>
        <w:rPr>
          <w:rFonts w:hint="default" w:ascii="宋体" w:hAnsi="宋体"/>
          <w:b/>
          <w:bCs/>
          <w:sz w:val="24"/>
          <w:szCs w:val="24"/>
          <w:lang w:val="en-US" w:eastAsia="zh-CN"/>
        </w:rPr>
        <w:t>.2配套设施升级改造：</w:t>
      </w:r>
    </w:p>
    <w:p w14:paraId="7B89BC2C">
      <w:pPr>
        <w:pStyle w:val="2"/>
        <w:numPr>
          <w:ilvl w:val="0"/>
          <w:numId w:val="0"/>
        </w:numPr>
        <w:spacing w:line="360" w:lineRule="auto"/>
        <w:ind w:leftChars="0"/>
        <w:rPr>
          <w:rFonts w:hint="default" w:ascii="宋体" w:hAnsi="宋体"/>
          <w:b w:val="0"/>
          <w:bCs w:val="0"/>
          <w:sz w:val="24"/>
          <w:szCs w:val="24"/>
          <w:highlight w:val="none"/>
          <w:lang w:val="en-US" w:eastAsia="zh-CN"/>
        </w:rPr>
      </w:pPr>
      <w:r>
        <w:rPr>
          <w:rFonts w:hint="eastAsia" w:ascii="宋体" w:hAnsi="宋体"/>
          <w:b w:val="0"/>
          <w:bCs w:val="0"/>
          <w:sz w:val="24"/>
          <w:szCs w:val="24"/>
          <w:highlight w:val="none"/>
          <w:lang w:val="en-US" w:eastAsia="zh-CN"/>
        </w:rPr>
        <w:t>3</w:t>
      </w:r>
      <w:r>
        <w:rPr>
          <w:rFonts w:hint="default" w:ascii="宋体" w:hAnsi="宋体"/>
          <w:b w:val="0"/>
          <w:bCs w:val="0"/>
          <w:sz w:val="24"/>
          <w:szCs w:val="24"/>
          <w:highlight w:val="none"/>
          <w:lang w:val="en-US" w:eastAsia="zh-CN"/>
        </w:rPr>
        <w:t>.2.1对</w:t>
      </w:r>
      <w:r>
        <w:rPr>
          <w:rFonts w:hint="eastAsia" w:ascii="宋体" w:hAnsi="宋体"/>
          <w:b w:val="0"/>
          <w:bCs w:val="0"/>
          <w:sz w:val="24"/>
          <w:szCs w:val="24"/>
          <w:highlight w:val="none"/>
          <w:lang w:val="en-US" w:eastAsia="zh-CN"/>
        </w:rPr>
        <w:t>与改造变压器配套的</w:t>
      </w:r>
      <w:r>
        <w:rPr>
          <w:rFonts w:hint="default" w:ascii="宋体" w:hAnsi="宋体"/>
          <w:b w:val="0"/>
          <w:bCs w:val="0"/>
          <w:sz w:val="24"/>
          <w:szCs w:val="24"/>
          <w:highlight w:val="none"/>
          <w:lang w:val="en-US" w:eastAsia="zh-CN"/>
        </w:rPr>
        <w:t>35KV</w:t>
      </w:r>
      <w:r>
        <w:rPr>
          <w:rFonts w:hint="eastAsia" w:ascii="宋体" w:hAnsi="宋体"/>
          <w:b w:val="0"/>
          <w:bCs w:val="0"/>
          <w:sz w:val="24"/>
          <w:szCs w:val="24"/>
          <w:highlight w:val="none"/>
          <w:lang w:val="en-US" w:eastAsia="zh-CN"/>
        </w:rPr>
        <w:t>2#</w:t>
      </w:r>
      <w:r>
        <w:rPr>
          <w:rFonts w:hint="default" w:ascii="宋体" w:hAnsi="宋体"/>
          <w:b w:val="0"/>
          <w:bCs w:val="0"/>
          <w:sz w:val="24"/>
          <w:szCs w:val="24"/>
          <w:highlight w:val="none"/>
          <w:lang w:val="en-US" w:eastAsia="zh-CN"/>
        </w:rPr>
        <w:t>出线柜</w:t>
      </w:r>
      <w:r>
        <w:rPr>
          <w:rFonts w:hint="eastAsia" w:ascii="宋体" w:hAnsi="宋体"/>
          <w:b w:val="0"/>
          <w:bCs w:val="0"/>
          <w:sz w:val="24"/>
          <w:szCs w:val="24"/>
          <w:highlight w:val="none"/>
          <w:lang w:val="en-US" w:eastAsia="zh-CN"/>
        </w:rPr>
        <w:t>（AH5）</w:t>
      </w:r>
      <w:r>
        <w:rPr>
          <w:rFonts w:hint="default" w:ascii="宋体" w:hAnsi="宋体"/>
          <w:b w:val="0"/>
          <w:bCs w:val="0"/>
          <w:sz w:val="24"/>
          <w:szCs w:val="24"/>
          <w:highlight w:val="none"/>
          <w:lang w:val="en-US" w:eastAsia="zh-CN"/>
        </w:rPr>
        <w:t>及10KV</w:t>
      </w:r>
      <w:r>
        <w:rPr>
          <w:rFonts w:hint="eastAsia" w:ascii="宋体" w:hAnsi="宋体"/>
          <w:b w:val="0"/>
          <w:bCs w:val="0"/>
          <w:sz w:val="24"/>
          <w:szCs w:val="24"/>
          <w:highlight w:val="none"/>
          <w:lang w:val="en-US" w:eastAsia="zh-CN"/>
        </w:rPr>
        <w:t>2#进线</w:t>
      </w:r>
      <w:r>
        <w:rPr>
          <w:rFonts w:hint="default" w:ascii="宋体" w:hAnsi="宋体"/>
          <w:b w:val="0"/>
          <w:bCs w:val="0"/>
          <w:sz w:val="24"/>
          <w:szCs w:val="24"/>
          <w:highlight w:val="none"/>
          <w:lang w:val="en-US" w:eastAsia="zh-CN"/>
        </w:rPr>
        <w:t>柜</w:t>
      </w:r>
      <w:r>
        <w:rPr>
          <w:rFonts w:hint="eastAsia" w:ascii="宋体" w:hAnsi="宋体"/>
          <w:b w:val="0"/>
          <w:bCs w:val="0"/>
          <w:sz w:val="24"/>
          <w:szCs w:val="24"/>
          <w:highlight w:val="none"/>
          <w:lang w:val="en-US" w:eastAsia="zh-CN"/>
        </w:rPr>
        <w:t>(1AH20)</w:t>
      </w:r>
      <w:r>
        <w:rPr>
          <w:rFonts w:hint="default" w:ascii="宋体" w:hAnsi="宋体"/>
          <w:b w:val="0"/>
          <w:bCs w:val="0"/>
          <w:sz w:val="24"/>
          <w:szCs w:val="24"/>
          <w:highlight w:val="none"/>
          <w:lang w:val="en-US" w:eastAsia="zh-CN"/>
        </w:rPr>
        <w:t>进行整备调试、电气试验，确保达到送电要求，并保证送电成功。</w:t>
      </w:r>
    </w:p>
    <w:p w14:paraId="742DA1F1">
      <w:pPr>
        <w:pStyle w:val="2"/>
        <w:numPr>
          <w:ilvl w:val="0"/>
          <w:numId w:val="0"/>
        </w:numPr>
        <w:spacing w:line="360" w:lineRule="auto"/>
        <w:ind w:leftChars="0"/>
        <w:rPr>
          <w:rFonts w:hint="default" w:ascii="宋体" w:hAnsi="宋体"/>
          <w:b w:val="0"/>
          <w:bCs w:val="0"/>
          <w:sz w:val="24"/>
          <w:szCs w:val="24"/>
          <w:highlight w:val="none"/>
          <w:lang w:val="en-US" w:eastAsia="zh-CN"/>
        </w:rPr>
      </w:pPr>
      <w:r>
        <w:rPr>
          <w:rFonts w:hint="eastAsia" w:ascii="宋体" w:hAnsi="宋体"/>
          <w:b w:val="0"/>
          <w:bCs w:val="0"/>
          <w:sz w:val="24"/>
          <w:szCs w:val="24"/>
          <w:highlight w:val="none"/>
          <w:lang w:val="en-US" w:eastAsia="zh-CN"/>
        </w:rPr>
        <w:t>3</w:t>
      </w:r>
      <w:r>
        <w:rPr>
          <w:rFonts w:hint="default" w:ascii="宋体" w:hAnsi="宋体"/>
          <w:b w:val="0"/>
          <w:bCs w:val="0"/>
          <w:sz w:val="24"/>
          <w:szCs w:val="24"/>
          <w:highlight w:val="none"/>
          <w:lang w:val="en-US" w:eastAsia="zh-CN"/>
        </w:rPr>
        <w:t>.2.2对35KV</w:t>
      </w:r>
      <w:r>
        <w:rPr>
          <w:rFonts w:hint="eastAsia" w:ascii="宋体" w:hAnsi="宋体"/>
          <w:b w:val="0"/>
          <w:bCs w:val="0"/>
          <w:sz w:val="24"/>
          <w:szCs w:val="24"/>
          <w:highlight w:val="none"/>
          <w:lang w:val="en-US" w:eastAsia="zh-CN"/>
        </w:rPr>
        <w:t>2#</w:t>
      </w:r>
      <w:r>
        <w:rPr>
          <w:rFonts w:hint="default" w:ascii="宋体" w:hAnsi="宋体"/>
          <w:b w:val="0"/>
          <w:bCs w:val="0"/>
          <w:sz w:val="24"/>
          <w:szCs w:val="24"/>
          <w:highlight w:val="none"/>
          <w:lang w:val="en-US" w:eastAsia="zh-CN"/>
        </w:rPr>
        <w:t>出线柜</w:t>
      </w:r>
      <w:r>
        <w:rPr>
          <w:rFonts w:hint="eastAsia" w:ascii="宋体" w:hAnsi="宋体"/>
          <w:b w:val="0"/>
          <w:bCs w:val="0"/>
          <w:sz w:val="24"/>
          <w:szCs w:val="24"/>
          <w:highlight w:val="none"/>
          <w:lang w:val="en-US" w:eastAsia="zh-CN"/>
        </w:rPr>
        <w:t>至改造变压器电缆、改造变压器至</w:t>
      </w:r>
      <w:r>
        <w:rPr>
          <w:rFonts w:hint="default" w:ascii="宋体" w:hAnsi="宋体"/>
          <w:b w:val="0"/>
          <w:bCs w:val="0"/>
          <w:sz w:val="24"/>
          <w:szCs w:val="24"/>
          <w:highlight w:val="none"/>
          <w:lang w:val="en-US" w:eastAsia="zh-CN"/>
        </w:rPr>
        <w:t>10KV</w:t>
      </w:r>
      <w:r>
        <w:rPr>
          <w:rFonts w:hint="eastAsia" w:ascii="宋体" w:hAnsi="宋体"/>
          <w:b w:val="0"/>
          <w:bCs w:val="0"/>
          <w:sz w:val="24"/>
          <w:szCs w:val="24"/>
          <w:highlight w:val="none"/>
          <w:lang w:val="en-US" w:eastAsia="zh-CN"/>
        </w:rPr>
        <w:t>2#进线</w:t>
      </w:r>
      <w:r>
        <w:rPr>
          <w:rFonts w:hint="default" w:ascii="宋体" w:hAnsi="宋体"/>
          <w:b w:val="0"/>
          <w:bCs w:val="0"/>
          <w:sz w:val="24"/>
          <w:szCs w:val="24"/>
          <w:highlight w:val="none"/>
          <w:lang w:val="en-US" w:eastAsia="zh-CN"/>
        </w:rPr>
        <w:t>柜</w:t>
      </w:r>
      <w:r>
        <w:rPr>
          <w:rFonts w:hint="eastAsia" w:ascii="宋体" w:hAnsi="宋体"/>
          <w:b w:val="0"/>
          <w:bCs w:val="0"/>
          <w:sz w:val="24"/>
          <w:szCs w:val="24"/>
          <w:highlight w:val="none"/>
          <w:lang w:val="en-US" w:eastAsia="zh-CN"/>
        </w:rPr>
        <w:t>电缆</w:t>
      </w:r>
      <w:r>
        <w:rPr>
          <w:rFonts w:hint="default" w:ascii="宋体" w:hAnsi="宋体"/>
          <w:b w:val="0"/>
          <w:bCs w:val="0"/>
          <w:sz w:val="24"/>
          <w:szCs w:val="24"/>
          <w:highlight w:val="none"/>
          <w:lang w:val="en-US" w:eastAsia="zh-CN"/>
        </w:rPr>
        <w:t>进行电气试验，确保达到送电要求。</w:t>
      </w:r>
    </w:p>
    <w:p w14:paraId="5A7C77E5">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.2.3对高压保护柜及原国电南自电力检测系统软件进行升级，达到保护、遥测、遥信、遥脉、遥调、遥控功能，具体如下：</w:t>
      </w:r>
    </w:p>
    <w:p w14:paraId="6244932B">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2.3.1系统应通过智能电力监控装置、通讯网络和计算机软件，实现供配电系统在运行过程中的数据采集、运行监视、事故记录和分析、继电保护等功能，完成企业的安全供电、用电管理和运行管理。系统应由站控管理层、网络通讯层和现场设备层构成：</w:t>
      </w:r>
    </w:p>
    <w:p w14:paraId="24DCB149">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系统功能基本需求：</w:t>
      </w:r>
    </w:p>
    <w:p w14:paraId="648F799B">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数据采集及处理：通过间隔层设备实时采集现场各种电参数、开关量及温度量、电能抄表值等；</w:t>
      </w:r>
    </w:p>
    <w:p w14:paraId="3993FA44">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画面显示：各回路的合、分状态、变位信息、保护设备动作及复归信息、直流系统及所用变系统的信息、各测量值的实时数据、各种告警等信息。</w:t>
      </w:r>
    </w:p>
    <w:p w14:paraId="11C07CEE">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记录功能：具有电压、电流、功率、电能以及事故、告警事件等各种历史数据的存储功能，以供查询、分析、打印。</w:t>
      </w:r>
    </w:p>
    <w:p w14:paraId="215CC07A">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报警处理：用户可以根据自己的需要分类筛选有关报警，并将报警归纳于不同的报警窗口。</w:t>
      </w:r>
    </w:p>
    <w:p w14:paraId="61D294E1">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应具有完善的用户权限管理功能，避免越权操作；</w:t>
      </w:r>
    </w:p>
    <w:p w14:paraId="2E1DB460">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曲线分析功能：可以曲线形式展示实时数据库和历史数据库中的模拟量、电度量数据，以便分析其当前运行状态及有关历史趋势；</w:t>
      </w:r>
    </w:p>
    <w:p w14:paraId="7F3B5968">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报表统计功能：通过报表，可以方便分析供电系统及各回路运行参数，形成运行日报、月报、电能统计日报、月报、年报。</w:t>
      </w:r>
    </w:p>
    <w:p w14:paraId="00945836">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.2.3.2</w:t>
      </w:r>
      <w:r>
        <w:rPr>
          <w:rFonts w:hint="eastAsia" w:ascii="宋体" w:hAnsi="宋体"/>
          <w:b w:val="0"/>
          <w:bCs w:val="0"/>
          <w:sz w:val="24"/>
          <w:szCs w:val="24"/>
          <w:lang w:val="en-US" w:eastAsia="zh-CN"/>
        </w:rPr>
        <w:t>后台监控显示器</w:t>
      </w:r>
      <w:r>
        <w:rPr>
          <w:rFonts w:hint="default" w:ascii="宋体" w:hAnsi="宋体"/>
          <w:b w:val="0"/>
          <w:bCs w:val="0"/>
          <w:sz w:val="24"/>
          <w:szCs w:val="24"/>
          <w:lang w:val="en-US" w:eastAsia="zh-CN"/>
        </w:rPr>
        <w:t>可以直观显示一次系统图，并实时显示从35kV至</w:t>
      </w:r>
      <w:r>
        <w:rPr>
          <w:rFonts w:hint="eastAsia" w:ascii="宋体" w:hAnsi="宋体"/>
          <w:b w:val="0"/>
          <w:bCs w:val="0"/>
          <w:sz w:val="24"/>
          <w:szCs w:val="24"/>
          <w:lang w:val="en-US" w:eastAsia="zh-CN"/>
        </w:rPr>
        <w:t>10</w:t>
      </w:r>
      <w:r>
        <w:rPr>
          <w:rFonts w:hint="default" w:ascii="宋体" w:hAnsi="宋体"/>
          <w:b w:val="0"/>
          <w:bCs w:val="0"/>
          <w:sz w:val="24"/>
          <w:szCs w:val="24"/>
          <w:lang w:val="en-US" w:eastAsia="zh-CN"/>
        </w:rPr>
        <w:t>kV各电压等级各回路的遥测量、遥信量和报警信号等。遥测量包括电压、电流、功率、功率、电能等电参量</w:t>
      </w:r>
      <w:r>
        <w:rPr>
          <w:rFonts w:hint="eastAsia" w:ascii="宋体" w:hAnsi="宋体"/>
          <w:b w:val="0"/>
          <w:bCs w:val="0"/>
          <w:sz w:val="24"/>
          <w:szCs w:val="24"/>
          <w:lang w:val="en-US" w:eastAsia="zh-CN"/>
        </w:rPr>
        <w:t>等；</w:t>
      </w:r>
      <w:r>
        <w:rPr>
          <w:rFonts w:hint="default" w:ascii="宋体" w:hAnsi="宋体"/>
          <w:b w:val="0"/>
          <w:bCs w:val="0"/>
          <w:sz w:val="24"/>
          <w:szCs w:val="24"/>
          <w:lang w:val="en-US" w:eastAsia="zh-CN"/>
        </w:rPr>
        <w:t>遥信量包括中压开关柜内路断路器、手车、隔离开关、负荷开关、地刀开关的分合状态，断路器弹簧储能状态及远方就地控制状态；报警信号包括微机保护装置的告警信号、保护跳闸信号及装置异常信号</w:t>
      </w:r>
      <w:r>
        <w:rPr>
          <w:rFonts w:hint="eastAsia" w:ascii="宋体" w:hAnsi="宋体"/>
          <w:b w:val="0"/>
          <w:bCs w:val="0"/>
          <w:sz w:val="24"/>
          <w:szCs w:val="24"/>
          <w:lang w:val="en-US" w:eastAsia="zh-CN"/>
        </w:rPr>
        <w:t>、</w:t>
      </w:r>
      <w:r>
        <w:rPr>
          <w:rFonts w:hint="default" w:ascii="宋体" w:hAnsi="宋体"/>
          <w:b w:val="0"/>
          <w:bCs w:val="0"/>
          <w:sz w:val="24"/>
          <w:szCs w:val="24"/>
          <w:lang w:val="en-US" w:eastAsia="zh-CN"/>
        </w:rPr>
        <w:t>设备通信异常告警。</w:t>
      </w:r>
    </w:p>
    <w:p w14:paraId="2A646546">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.2.3.3在配电一次图中，可以直接查看该回路详细电参量，界面也可用棒图的形式更直观的展示三相电流、三相电压、有功功率、无功功率、功率因数、电能等。</w:t>
      </w:r>
    </w:p>
    <w:p w14:paraId="2A883537">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.2.3.4在曲线查询界面，可以直接查看各电参量曲线，包括三相电流、三相电压、有功功率、无功功率、功率因数</w:t>
      </w:r>
      <w:r>
        <w:rPr>
          <w:rFonts w:hint="eastAsia" w:ascii="宋体" w:hAnsi="宋体"/>
          <w:b w:val="0"/>
          <w:bCs w:val="0"/>
          <w:sz w:val="24"/>
          <w:szCs w:val="24"/>
          <w:lang w:val="en-US" w:eastAsia="zh-CN"/>
        </w:rPr>
        <w:t>。</w:t>
      </w:r>
      <w:r>
        <w:rPr>
          <w:rFonts w:hint="default" w:ascii="宋体" w:hAnsi="宋体"/>
          <w:b w:val="0"/>
          <w:bCs w:val="0"/>
          <w:sz w:val="24"/>
          <w:szCs w:val="24"/>
          <w:lang w:val="en-US" w:eastAsia="zh-CN"/>
        </w:rPr>
        <w:t>并统计该曲线查询范围内最大值、最大值发生时间、最小值、最小值发生时间、平均值等。</w:t>
      </w:r>
    </w:p>
    <w:p w14:paraId="3000B8E1">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2.3.5可以查询各回路或设备指定时间的运行参数，报表中显示电参量信息应包括：各相电流、三相电压、总功率因数、总有功功率、总无功功率、正向有功电能等。可以按照日、月、年的格式进行查询、导出、打印。</w:t>
      </w:r>
    </w:p>
    <w:p w14:paraId="129DFB2E">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.2.3.6具有实时告警功能，系统能够对配电回路断路器、隔离开关、接地刀分、合动作等遥信变位，保护动作、事故跳闸等事件发出告警。</w:t>
      </w:r>
    </w:p>
    <w:p w14:paraId="6341141C">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1）图元告警</w:t>
      </w:r>
    </w:p>
    <w:p w14:paraId="3E08AD0A">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2）弹出事件报警窗口</w:t>
      </w:r>
    </w:p>
    <w:p w14:paraId="2C37FF4A">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3）实时语音功能，系统能够对所有事件发出语音告警。</w:t>
      </w:r>
    </w:p>
    <w:p w14:paraId="360C8A30">
      <w:pPr>
        <w:pStyle w:val="2"/>
        <w:numPr>
          <w:ilvl w:val="0"/>
          <w:numId w:val="0"/>
        </w:numPr>
        <w:spacing w:line="360" w:lineRule="auto"/>
        <w:ind w:leftChars="0"/>
        <w:rPr>
          <w:rFonts w:hint="default" w:ascii="宋体" w:hAnsi="宋体"/>
          <w:b w:val="0"/>
          <w:bCs w:val="0"/>
          <w:sz w:val="24"/>
          <w:szCs w:val="24"/>
          <w:lang w:val="en-US" w:eastAsia="zh-CN"/>
        </w:rPr>
      </w:pPr>
      <w:r>
        <w:rPr>
          <w:rFonts w:hint="default" w:ascii="宋体" w:hAnsi="宋体"/>
          <w:b w:val="0"/>
          <w:bCs w:val="0"/>
          <w:sz w:val="24"/>
          <w:szCs w:val="24"/>
          <w:lang w:val="en-US" w:eastAsia="zh-CN"/>
        </w:rPr>
        <w:t>4）声光报警器报警</w:t>
      </w:r>
    </w:p>
    <w:p w14:paraId="189C19C5">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2.3.7能够对遥信变位，保护动作、事故跳闸，以及电压、电流、功率、功率因数越限等事件记录进行存储和管理，方便用户对系统事件和进行历史追溯、查询统计、事故分析。可以按时间、类型和设备进行查询和排序。</w:t>
      </w:r>
    </w:p>
    <w:p w14:paraId="11F0F54B">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.2.3.7具备定时抄表汇总统计功能，用户可以自由查询自系统正常运行以来任意时间段内各配电节点的用电情况，即该节点进线用电量与各分支回路消耗电量的统计分析报表。</w:t>
      </w:r>
    </w:p>
    <w:p w14:paraId="0A415DE9">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.2.3.8具备对开关分合次数统计功能，用户可以自由查询自系统正常运行以来各开关量每日、月分合次数，分合时间以及掉线时间。</w:t>
      </w:r>
    </w:p>
    <w:p w14:paraId="7DB745AF">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2.3.9为保障系统安全稳定运行，应可支持设置用户权限管理功能。通过用户权限管理能够防止未经授权的操作（如遥控的操作，数据库修改等）。可以定义不同级别用户的登录名、密码及操作权限，为系统运行、维护、管理提供可靠的安全保障。</w:t>
      </w:r>
    </w:p>
    <w:p w14:paraId="3934F410">
      <w:pPr>
        <w:pStyle w:val="2"/>
        <w:numPr>
          <w:ilvl w:val="0"/>
          <w:numId w:val="0"/>
        </w:numPr>
        <w:spacing w:line="360" w:lineRule="auto"/>
        <w:ind w:leftChars="0"/>
        <w:rPr>
          <w:rFonts w:hint="default" w:ascii="宋体" w:hAnsi="宋体"/>
          <w:b w:val="0"/>
          <w:bCs w:val="0"/>
          <w:sz w:val="24"/>
          <w:szCs w:val="24"/>
          <w:lang w:val="en-US" w:eastAsia="zh-CN"/>
        </w:rPr>
      </w:pPr>
      <w:r>
        <w:rPr>
          <w:rFonts w:hint="eastAsia" w:ascii="宋体" w:hAnsi="宋体"/>
          <w:b w:val="0"/>
          <w:bCs w:val="0"/>
          <w:sz w:val="24"/>
          <w:szCs w:val="24"/>
          <w:lang w:val="en-US" w:eastAsia="zh-CN"/>
        </w:rPr>
        <w:t>3</w:t>
      </w:r>
      <w:r>
        <w:rPr>
          <w:rFonts w:hint="default" w:ascii="宋体" w:hAnsi="宋体"/>
          <w:b w:val="0"/>
          <w:bCs w:val="0"/>
          <w:sz w:val="24"/>
          <w:szCs w:val="24"/>
          <w:lang w:val="en-US" w:eastAsia="zh-CN"/>
        </w:rPr>
        <w:t>.2.3.10支持实时监视接入系统的各设备的通信状态，能够完整的显示整个系统网络结构；可在线诊断设备通信状态，发生网络异常时能自动在界面上显示故障设备或元件及其故障部位。</w:t>
      </w:r>
    </w:p>
    <w:p w14:paraId="442EF80C">
      <w:pPr>
        <w:pStyle w:val="2"/>
        <w:numPr>
          <w:ilvl w:val="0"/>
          <w:numId w:val="0"/>
        </w:numPr>
        <w:spacing w:line="360" w:lineRule="auto"/>
        <w:ind w:leftChars="0"/>
        <w:rPr>
          <w:rFonts w:hint="default" w:ascii="宋体" w:hAnsi="宋体"/>
          <w:b w:val="0"/>
          <w:bCs w:val="0"/>
          <w:sz w:val="24"/>
          <w:szCs w:val="24"/>
          <w:highlight w:val="none"/>
          <w:lang w:val="en-US" w:eastAsia="zh-CN"/>
        </w:rPr>
      </w:pPr>
      <w:r>
        <w:rPr>
          <w:rFonts w:hint="default" w:ascii="宋体" w:hAnsi="宋体"/>
          <w:b w:val="0"/>
          <w:bCs w:val="0"/>
          <w:sz w:val="24"/>
          <w:szCs w:val="24"/>
          <w:highlight w:val="none"/>
          <w:lang w:val="en-US" w:eastAsia="zh-CN"/>
        </w:rPr>
        <w:t>3.2.3.11 系统升级需与前期已有国电南自的品牌保护装置、监控系统公用数据库。</w:t>
      </w:r>
    </w:p>
    <w:p w14:paraId="03CC78D9">
      <w:pPr>
        <w:pStyle w:val="2"/>
        <w:numPr>
          <w:ilvl w:val="0"/>
          <w:numId w:val="0"/>
        </w:numPr>
        <w:spacing w:line="360" w:lineRule="auto"/>
        <w:ind w:leftChars="0"/>
        <w:rPr>
          <w:rFonts w:hint="eastAsia" w:ascii="宋体" w:hAnsi="宋体"/>
          <w:b w:val="0"/>
          <w:bCs w:val="0"/>
          <w:sz w:val="24"/>
          <w:szCs w:val="24"/>
          <w:highlight w:val="none"/>
          <w:lang w:val="en-US" w:eastAsia="zh-CN"/>
        </w:rPr>
      </w:pPr>
      <w:r>
        <w:rPr>
          <w:rFonts w:hint="eastAsia" w:ascii="宋体" w:hAnsi="宋体"/>
          <w:b w:val="0"/>
          <w:bCs w:val="0"/>
          <w:sz w:val="24"/>
          <w:szCs w:val="24"/>
          <w:highlight w:val="none"/>
          <w:lang w:val="en-US" w:eastAsia="zh-CN"/>
        </w:rPr>
        <w:t>3.2.4 系统工控机进行更换，以满足上述功能运行要求。</w:t>
      </w:r>
    </w:p>
    <w:p w14:paraId="6B2D80C3">
      <w:pPr>
        <w:pStyle w:val="2"/>
        <w:numPr>
          <w:ilvl w:val="0"/>
          <w:numId w:val="0"/>
        </w:numPr>
        <w:spacing w:line="360" w:lineRule="auto"/>
        <w:ind w:leftChars="0"/>
        <w:rPr>
          <w:rFonts w:hint="default" w:ascii="宋体" w:hAnsi="宋体"/>
          <w:b w:val="0"/>
          <w:bCs w:val="0"/>
          <w:sz w:val="24"/>
          <w:szCs w:val="24"/>
          <w:highlight w:val="none"/>
          <w:lang w:val="en-US" w:eastAsia="zh-CN"/>
        </w:rPr>
      </w:pPr>
      <w:r>
        <w:rPr>
          <w:rFonts w:hint="eastAsia" w:ascii="宋体" w:hAnsi="宋体"/>
          <w:b w:val="0"/>
          <w:bCs w:val="0"/>
          <w:sz w:val="24"/>
          <w:szCs w:val="24"/>
          <w:highlight w:val="none"/>
          <w:lang w:val="en-US" w:eastAsia="zh-CN"/>
        </w:rPr>
        <w:t>3.2.5  后台监控系统运行及显示装置升级改造，达到可视化运行监控要求。</w:t>
      </w:r>
    </w:p>
    <w:p w14:paraId="153FEAC2">
      <w:pPr>
        <w:pStyle w:val="2"/>
        <w:numPr>
          <w:ilvl w:val="0"/>
          <w:numId w:val="0"/>
        </w:numPr>
        <w:ind w:leftChars="0"/>
        <w:rPr>
          <w:rFonts w:hint="default" w:ascii="宋体" w:hAnsi="宋体"/>
          <w:b/>
          <w:bCs/>
          <w:sz w:val="24"/>
          <w:szCs w:val="24"/>
          <w:lang w:val="en-US" w:eastAsia="zh-CN"/>
        </w:rPr>
      </w:pPr>
      <w:r>
        <w:rPr>
          <w:rFonts w:hint="eastAsia" w:ascii="宋体" w:hAnsi="宋体"/>
          <w:b/>
          <w:bCs/>
          <w:sz w:val="24"/>
          <w:szCs w:val="24"/>
          <w:lang w:val="en-US" w:eastAsia="zh-CN"/>
        </w:rPr>
        <w:t>4 投标相关要求</w:t>
      </w:r>
    </w:p>
    <w:bookmarkEnd w:id="14"/>
    <w:bookmarkEnd w:id="19"/>
    <w:p w14:paraId="7C659F65">
      <w:pPr>
        <w:pStyle w:val="3"/>
        <w:keepNext w:val="0"/>
        <w:keepLines w:val="0"/>
        <w:numPr>
          <w:ilvl w:val="0"/>
          <w:numId w:val="0"/>
        </w:numPr>
        <w:spacing w:before="0" w:after="0" w:line="360" w:lineRule="auto"/>
        <w:ind w:leftChars="0"/>
        <w:rPr>
          <w:rFonts w:asciiTheme="minorEastAsia" w:hAnsiTheme="minorEastAsia" w:eastAsiaTheme="minorEastAsia"/>
          <w:bCs w:val="0"/>
          <w:kern w:val="2"/>
          <w:sz w:val="24"/>
          <w:szCs w:val="20"/>
        </w:rPr>
      </w:pPr>
      <w:bookmarkStart w:id="20" w:name="_Toc6907131"/>
      <w:bookmarkStart w:id="21" w:name="_Toc355684072"/>
      <w:bookmarkStart w:id="22" w:name="_Toc350783038"/>
      <w:bookmarkStart w:id="23" w:name="_Toc350782957"/>
      <w:bookmarkStart w:id="24" w:name="_Toc329367883"/>
      <w:bookmarkStart w:id="25" w:name="_Toc501375842"/>
      <w:bookmarkStart w:id="26" w:name="_Toc432229311"/>
      <w:bookmarkStart w:id="27" w:name="_Toc30823"/>
      <w:bookmarkStart w:id="28" w:name="_Toc350783781"/>
      <w:r>
        <w:rPr>
          <w:rFonts w:hint="eastAsia" w:asciiTheme="minorEastAsia" w:hAnsiTheme="minorEastAsia" w:eastAsiaTheme="minorEastAsia"/>
          <w:bCs w:val="0"/>
          <w:kern w:val="2"/>
          <w:sz w:val="24"/>
          <w:szCs w:val="20"/>
          <w:lang w:val="en-US" w:eastAsia="zh-CN"/>
        </w:rPr>
        <w:t>4.1</w:t>
      </w:r>
      <w:r>
        <w:rPr>
          <w:rFonts w:hint="eastAsia" w:asciiTheme="minorEastAsia" w:hAnsiTheme="minorEastAsia" w:eastAsiaTheme="minorEastAsia"/>
          <w:bCs w:val="0"/>
          <w:kern w:val="2"/>
          <w:sz w:val="24"/>
          <w:szCs w:val="20"/>
        </w:rPr>
        <w:t>工厂安全</w:t>
      </w:r>
      <w:bookmarkEnd w:id="20"/>
      <w:bookmarkEnd w:id="21"/>
      <w:bookmarkEnd w:id="22"/>
      <w:bookmarkEnd w:id="23"/>
      <w:bookmarkEnd w:id="24"/>
      <w:bookmarkEnd w:id="25"/>
      <w:bookmarkEnd w:id="26"/>
      <w:bookmarkEnd w:id="27"/>
      <w:bookmarkEnd w:id="28"/>
    </w:p>
    <w:p w14:paraId="591D634C">
      <w:pPr>
        <w:pStyle w:val="61"/>
        <w:spacing w:line="360" w:lineRule="auto"/>
        <w:ind w:firstLine="0" w:firstLineChars="0"/>
        <w:rPr>
          <w:rFonts w:asciiTheme="minorEastAsia" w:hAnsiTheme="minorEastAsia" w:eastAsiaTheme="minorEastAsia"/>
          <w:sz w:val="24"/>
        </w:rPr>
      </w:pPr>
      <w:bookmarkStart w:id="29" w:name="_Toc436297257"/>
      <w:bookmarkStart w:id="30" w:name="_Toc91667924"/>
      <w:bookmarkStart w:id="31" w:name="_Toc91668896"/>
      <w:bookmarkStart w:id="32" w:name="_Toc355684073"/>
      <w:bookmarkStart w:id="33" w:name="_Toc432229312"/>
      <w:bookmarkStart w:id="34" w:name="_Toc14095"/>
      <w:bookmarkStart w:id="35" w:name="_Toc88532211"/>
      <w:bookmarkStart w:id="36" w:name="_Toc250576521"/>
      <w:r>
        <w:rPr>
          <w:rFonts w:hint="eastAsia" w:asciiTheme="minorEastAsia" w:hAnsiTheme="minorEastAsia" w:eastAsiaTheme="minorEastAsia"/>
          <w:sz w:val="24"/>
        </w:rPr>
        <w:t>4.1</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在招标方指定工作期间，供应商应遵守招标方的相关规定。</w:t>
      </w:r>
      <w:bookmarkEnd w:id="29"/>
      <w:bookmarkStart w:id="37" w:name="_Toc436297258"/>
    </w:p>
    <w:p w14:paraId="24D9B8B4">
      <w:pPr>
        <w:pStyle w:val="61"/>
        <w:spacing w:line="360" w:lineRule="auto"/>
        <w:ind w:firstLine="0" w:firstLineChars="0"/>
        <w:rPr>
          <w:rFonts w:asciiTheme="minorEastAsia" w:hAnsiTheme="minorEastAsia" w:eastAsiaTheme="minorEastAsia"/>
          <w:sz w:val="24"/>
        </w:rPr>
      </w:pPr>
      <w:r>
        <w:rPr>
          <w:rFonts w:hint="eastAsia" w:asciiTheme="minorEastAsia" w:hAnsiTheme="minorEastAsia" w:eastAsiaTheme="minorEastAsia"/>
          <w:sz w:val="24"/>
        </w:rPr>
        <w:t>4.</w:t>
      </w:r>
      <w:r>
        <w:rPr>
          <w:rFonts w:hint="eastAsia" w:asciiTheme="minorEastAsia" w:hAnsiTheme="minorEastAsia" w:eastAsiaTheme="minorEastAsia"/>
          <w:sz w:val="24"/>
          <w:lang w:val="en-US" w:eastAsia="zh-CN"/>
        </w:rPr>
        <w:t>1.2</w:t>
      </w:r>
      <w:r>
        <w:rPr>
          <w:rFonts w:hint="eastAsia" w:asciiTheme="minorEastAsia" w:hAnsiTheme="minorEastAsia" w:eastAsiaTheme="minorEastAsia"/>
          <w:sz w:val="24"/>
        </w:rPr>
        <w:t>供应商所有雇员现场工作时都必须办理出入证。</w:t>
      </w:r>
      <w:bookmarkEnd w:id="37"/>
      <w:bookmarkStart w:id="38" w:name="_Toc436297259"/>
    </w:p>
    <w:p w14:paraId="271CC69E">
      <w:pPr>
        <w:pStyle w:val="61"/>
        <w:spacing w:line="360" w:lineRule="auto"/>
        <w:ind w:firstLine="0" w:firstLineChars="0"/>
        <w:rPr>
          <w:rFonts w:asciiTheme="minorEastAsia" w:hAnsiTheme="minorEastAsia" w:eastAsiaTheme="minorEastAsia"/>
          <w:sz w:val="24"/>
        </w:rPr>
      </w:pPr>
      <w:r>
        <w:rPr>
          <w:rFonts w:hint="eastAsia" w:asciiTheme="minorEastAsia" w:hAnsiTheme="minorEastAsia" w:eastAsiaTheme="minorEastAsia"/>
          <w:sz w:val="24"/>
        </w:rPr>
        <w:t>4.</w:t>
      </w:r>
      <w:r>
        <w:rPr>
          <w:rFonts w:hint="eastAsia" w:asciiTheme="minorEastAsia" w:hAnsiTheme="minorEastAsia" w:eastAsiaTheme="minorEastAsia"/>
          <w:sz w:val="24"/>
          <w:lang w:val="en-US" w:eastAsia="zh-CN"/>
        </w:rPr>
        <w:t>1.3</w:t>
      </w:r>
      <w:r>
        <w:rPr>
          <w:rFonts w:hint="eastAsia" w:asciiTheme="minorEastAsia" w:hAnsiTheme="minorEastAsia" w:eastAsiaTheme="minorEastAsia"/>
          <w:sz w:val="24"/>
        </w:rPr>
        <w:t>在招标方指定的焊装车间施工时严格遵守禁烟、佩戴安全帽等各项章程。</w:t>
      </w:r>
      <w:bookmarkEnd w:id="38"/>
      <w:bookmarkStart w:id="39" w:name="_Toc436297260"/>
    </w:p>
    <w:p w14:paraId="025F7C1C">
      <w:pPr>
        <w:pStyle w:val="61"/>
        <w:spacing w:line="360" w:lineRule="auto"/>
        <w:ind w:firstLine="0" w:firstLineChars="0"/>
        <w:rPr>
          <w:rFonts w:asciiTheme="minorEastAsia" w:hAnsiTheme="minorEastAsia" w:eastAsiaTheme="minorEastAsia"/>
          <w:sz w:val="24"/>
        </w:rPr>
      </w:pPr>
      <w:r>
        <w:rPr>
          <w:rFonts w:hint="eastAsia" w:asciiTheme="minorEastAsia" w:hAnsiTheme="minorEastAsia" w:eastAsiaTheme="minorEastAsia"/>
          <w:sz w:val="24"/>
        </w:rPr>
        <w:t>4.</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4施工期间，供应商火、气使用时必须设置火、气监视员（不得兼任工作），配置为一个使用点配置一个监视员。在施工前提出花名册，并在安全帽上或臂章上标示火、气监视员。</w:t>
      </w:r>
      <w:bookmarkEnd w:id="39"/>
    </w:p>
    <w:p w14:paraId="6F3373E6">
      <w:pPr>
        <w:pStyle w:val="3"/>
        <w:keepNext w:val="0"/>
        <w:keepLines w:val="0"/>
        <w:numPr>
          <w:ilvl w:val="0"/>
          <w:numId w:val="0"/>
        </w:numPr>
        <w:spacing w:before="0" w:after="0" w:line="360" w:lineRule="auto"/>
        <w:ind w:leftChars="0"/>
        <w:rPr>
          <w:rFonts w:asciiTheme="minorEastAsia" w:hAnsiTheme="minorEastAsia" w:eastAsiaTheme="minorEastAsia"/>
          <w:bCs w:val="0"/>
          <w:kern w:val="2"/>
          <w:sz w:val="24"/>
          <w:szCs w:val="20"/>
        </w:rPr>
      </w:pPr>
      <w:bookmarkStart w:id="40" w:name="_Toc6907132"/>
      <w:bookmarkStart w:id="41" w:name="_Toc501375843"/>
      <w:r>
        <w:rPr>
          <w:rFonts w:hint="eastAsia" w:asciiTheme="minorEastAsia" w:hAnsiTheme="minorEastAsia" w:eastAsiaTheme="minorEastAsia"/>
          <w:bCs w:val="0"/>
          <w:kern w:val="2"/>
          <w:sz w:val="24"/>
          <w:szCs w:val="20"/>
          <w:lang w:val="en-US" w:eastAsia="zh-CN"/>
        </w:rPr>
        <w:t>4.2</w:t>
      </w:r>
      <w:r>
        <w:rPr>
          <w:rFonts w:hint="eastAsia" w:asciiTheme="minorEastAsia" w:hAnsiTheme="minorEastAsia" w:eastAsiaTheme="minorEastAsia"/>
          <w:bCs w:val="0"/>
          <w:kern w:val="2"/>
          <w:sz w:val="24"/>
          <w:szCs w:val="20"/>
        </w:rPr>
        <w:t>语言和通讯</w:t>
      </w:r>
      <w:bookmarkEnd w:id="30"/>
      <w:bookmarkEnd w:id="31"/>
      <w:bookmarkEnd w:id="32"/>
      <w:bookmarkEnd w:id="33"/>
      <w:bookmarkEnd w:id="34"/>
      <w:bookmarkEnd w:id="35"/>
      <w:bookmarkEnd w:id="36"/>
      <w:bookmarkEnd w:id="40"/>
      <w:bookmarkEnd w:id="41"/>
    </w:p>
    <w:p w14:paraId="74ACC526">
      <w:pPr>
        <w:pStyle w:val="61"/>
        <w:spacing w:line="360" w:lineRule="auto"/>
        <w:ind w:firstLine="0" w:firstLineChars="0"/>
        <w:rPr>
          <w:rFonts w:asciiTheme="minorEastAsia" w:hAnsiTheme="minorEastAsia" w:eastAsiaTheme="minorEastAsia"/>
          <w:sz w:val="24"/>
        </w:rPr>
      </w:pPr>
      <w:bookmarkStart w:id="42" w:name="_Toc433027905"/>
      <w:bookmarkStart w:id="43" w:name="_Toc433195675"/>
      <w:bookmarkStart w:id="44" w:name="_Toc433026654"/>
      <w:bookmarkStart w:id="45" w:name="_Toc436297265"/>
      <w:r>
        <w:rPr>
          <w:rFonts w:hint="eastAsia" w:asciiTheme="minorEastAsia" w:hAnsiTheme="minorEastAsia" w:eastAsiaTheme="minorEastAsia"/>
          <w:sz w:val="24"/>
        </w:rPr>
        <w:t>投标方提供的所有</w:t>
      </w:r>
      <w:r>
        <w:rPr>
          <w:rFonts w:asciiTheme="minorEastAsia" w:hAnsiTheme="minorEastAsia" w:eastAsiaTheme="minorEastAsia"/>
          <w:sz w:val="24"/>
        </w:rPr>
        <w:t>文件资料均应为中文或中英文</w:t>
      </w:r>
      <w:r>
        <w:rPr>
          <w:rFonts w:hint="eastAsia" w:asciiTheme="minorEastAsia" w:hAnsiTheme="minorEastAsia" w:eastAsiaTheme="minorEastAsia"/>
          <w:sz w:val="24"/>
        </w:rPr>
        <w:t>表述；如对本项目中涉及文件资料的中英文表述理解产生歧义，将以中文表述为准。</w:t>
      </w:r>
      <w:bookmarkEnd w:id="42"/>
      <w:bookmarkEnd w:id="43"/>
      <w:bookmarkEnd w:id="44"/>
      <w:bookmarkEnd w:id="45"/>
    </w:p>
    <w:p w14:paraId="6380C557">
      <w:pPr>
        <w:pStyle w:val="3"/>
        <w:keepNext w:val="0"/>
        <w:keepLines w:val="0"/>
        <w:numPr>
          <w:ilvl w:val="0"/>
          <w:numId w:val="0"/>
        </w:numPr>
        <w:spacing w:before="0" w:after="0" w:line="360" w:lineRule="auto"/>
        <w:ind w:leftChars="0"/>
        <w:rPr>
          <w:rFonts w:asciiTheme="minorEastAsia" w:hAnsiTheme="minorEastAsia" w:eastAsiaTheme="minorEastAsia"/>
          <w:bCs w:val="0"/>
          <w:kern w:val="2"/>
          <w:sz w:val="24"/>
          <w:szCs w:val="20"/>
        </w:rPr>
      </w:pPr>
      <w:bookmarkStart w:id="46" w:name="_Toc6907133"/>
      <w:bookmarkStart w:id="47" w:name="_Toc3019"/>
      <w:bookmarkStart w:id="48" w:name="_Toc355684076"/>
      <w:bookmarkStart w:id="49" w:name="_Toc350783040"/>
      <w:bookmarkStart w:id="50" w:name="_Toc350782959"/>
      <w:bookmarkStart w:id="51" w:name="_Toc501375844"/>
      <w:bookmarkStart w:id="52" w:name="_Toc329367885"/>
      <w:bookmarkStart w:id="53" w:name="_Toc432229324"/>
      <w:bookmarkStart w:id="54" w:name="_Toc350783783"/>
      <w:r>
        <w:rPr>
          <w:rFonts w:hint="eastAsia" w:asciiTheme="minorEastAsia" w:hAnsiTheme="minorEastAsia" w:eastAsiaTheme="minorEastAsia"/>
          <w:bCs w:val="0"/>
          <w:kern w:val="2"/>
          <w:sz w:val="24"/>
          <w:szCs w:val="20"/>
          <w:lang w:val="en-US" w:eastAsia="zh-CN"/>
        </w:rPr>
        <w:t>4.3</w:t>
      </w:r>
      <w:r>
        <w:rPr>
          <w:rFonts w:hint="eastAsia" w:asciiTheme="minorEastAsia" w:hAnsiTheme="minorEastAsia" w:eastAsiaTheme="minorEastAsia"/>
          <w:bCs w:val="0"/>
          <w:kern w:val="2"/>
          <w:sz w:val="24"/>
          <w:szCs w:val="20"/>
        </w:rPr>
        <w:t>法律法规</w:t>
      </w:r>
      <w:bookmarkEnd w:id="46"/>
      <w:bookmarkEnd w:id="47"/>
      <w:bookmarkEnd w:id="48"/>
      <w:bookmarkEnd w:id="49"/>
      <w:bookmarkEnd w:id="50"/>
      <w:bookmarkEnd w:id="51"/>
      <w:bookmarkEnd w:id="52"/>
      <w:bookmarkEnd w:id="53"/>
      <w:bookmarkEnd w:id="54"/>
    </w:p>
    <w:p w14:paraId="54036B83">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投标方完成的所有工作必须符合中华人民共和国的法律法规、招标方指定的相关规章制度。</w:t>
      </w:r>
    </w:p>
    <w:p w14:paraId="73ED7D16">
      <w:pPr>
        <w:pStyle w:val="3"/>
        <w:keepNext w:val="0"/>
        <w:keepLines w:val="0"/>
        <w:numPr>
          <w:ilvl w:val="0"/>
          <w:numId w:val="0"/>
        </w:numPr>
        <w:spacing w:before="0" w:after="0" w:line="360" w:lineRule="auto"/>
        <w:ind w:leftChars="0"/>
        <w:rPr>
          <w:rFonts w:asciiTheme="minorEastAsia" w:hAnsiTheme="minorEastAsia" w:eastAsiaTheme="minorEastAsia"/>
          <w:bCs w:val="0"/>
          <w:kern w:val="2"/>
          <w:sz w:val="24"/>
          <w:szCs w:val="20"/>
        </w:rPr>
      </w:pPr>
      <w:bookmarkStart w:id="55" w:name="_Toc432229325"/>
      <w:bookmarkStart w:id="56" w:name="_Toc355684077"/>
      <w:bookmarkStart w:id="57" w:name="_Toc350783784"/>
      <w:bookmarkStart w:id="58" w:name="_Toc6907134"/>
      <w:bookmarkStart w:id="59" w:name="_Toc329367886"/>
      <w:bookmarkStart w:id="60" w:name="_Toc22629"/>
      <w:bookmarkStart w:id="61" w:name="_Toc350782960"/>
      <w:bookmarkStart w:id="62" w:name="_Toc350783041"/>
      <w:bookmarkStart w:id="63" w:name="_Toc501375845"/>
      <w:r>
        <w:rPr>
          <w:rFonts w:hint="eastAsia" w:asciiTheme="minorEastAsia" w:hAnsiTheme="minorEastAsia" w:eastAsiaTheme="minorEastAsia"/>
          <w:bCs w:val="0"/>
          <w:kern w:val="2"/>
          <w:sz w:val="24"/>
          <w:szCs w:val="20"/>
          <w:lang w:val="en-US" w:eastAsia="zh-CN"/>
        </w:rPr>
        <w:t>4.4</w:t>
      </w:r>
      <w:r>
        <w:rPr>
          <w:rFonts w:hint="eastAsia" w:asciiTheme="minorEastAsia" w:hAnsiTheme="minorEastAsia" w:eastAsiaTheme="minorEastAsia"/>
          <w:bCs w:val="0"/>
          <w:kern w:val="2"/>
          <w:sz w:val="24"/>
          <w:szCs w:val="20"/>
        </w:rPr>
        <w:t>预先申明</w:t>
      </w:r>
      <w:bookmarkEnd w:id="55"/>
      <w:bookmarkEnd w:id="56"/>
      <w:bookmarkEnd w:id="57"/>
      <w:bookmarkEnd w:id="58"/>
      <w:bookmarkEnd w:id="59"/>
      <w:bookmarkEnd w:id="60"/>
      <w:bookmarkEnd w:id="61"/>
      <w:bookmarkEnd w:id="62"/>
      <w:bookmarkEnd w:id="63"/>
    </w:p>
    <w:p w14:paraId="624417D1">
      <w:pPr>
        <w:pStyle w:val="61"/>
        <w:numPr>
          <w:ilvl w:val="0"/>
          <w:numId w:val="0"/>
        </w:numPr>
        <w:spacing w:line="360" w:lineRule="auto"/>
        <w:ind w:leftChars="0"/>
        <w:rPr>
          <w:rFonts w:asciiTheme="minorEastAsia" w:hAnsiTheme="minorEastAsia" w:eastAsiaTheme="minorEastAsia"/>
          <w:sz w:val="24"/>
        </w:rPr>
      </w:pPr>
      <w:bookmarkStart w:id="64" w:name="_Toc250576526"/>
      <w:bookmarkStart w:id="65" w:name="_Toc91668902"/>
      <w:bookmarkStart w:id="66" w:name="_Toc91667930"/>
      <w:bookmarkStart w:id="67" w:name="_Toc2181"/>
      <w:bookmarkStart w:id="68" w:name="_Toc88532217"/>
      <w:bookmarkStart w:id="69" w:name="_Toc355684078"/>
      <w:bookmarkStart w:id="70" w:name="_Toc432229326"/>
      <w:r>
        <w:rPr>
          <w:rFonts w:hint="eastAsia" w:asciiTheme="minorEastAsia" w:hAnsiTheme="minorEastAsia" w:eastAsiaTheme="minorEastAsia"/>
          <w:sz w:val="24"/>
          <w:szCs w:val="24"/>
          <w:lang w:val="en-US" w:eastAsia="zh-CN"/>
        </w:rPr>
        <w:t>4.4.1</w:t>
      </w:r>
      <w:r>
        <w:rPr>
          <w:rFonts w:hint="eastAsia" w:asciiTheme="minorEastAsia" w:hAnsiTheme="minorEastAsia" w:eastAsiaTheme="minorEastAsia"/>
          <w:sz w:val="24"/>
          <w:szCs w:val="24"/>
        </w:rPr>
        <w:t>此项目为交钥匙工程，投标方不得再向招标方提出增加任何费用。</w:t>
      </w:r>
    </w:p>
    <w:p w14:paraId="1766EA29">
      <w:pPr>
        <w:pStyle w:val="61"/>
        <w:numPr>
          <w:ilvl w:val="0"/>
          <w:numId w:val="0"/>
        </w:numPr>
        <w:spacing w:line="360" w:lineRule="auto"/>
        <w:ind w:leftChars="0"/>
        <w:rPr>
          <w:rFonts w:asciiTheme="minorEastAsia" w:hAnsiTheme="minorEastAsia" w:eastAsiaTheme="minorEastAsia"/>
          <w:sz w:val="24"/>
        </w:rPr>
      </w:pPr>
      <w:r>
        <w:rPr>
          <w:rFonts w:hint="eastAsia" w:asciiTheme="minorEastAsia" w:hAnsiTheme="minorEastAsia" w:eastAsiaTheme="minorEastAsia"/>
          <w:sz w:val="24"/>
          <w:szCs w:val="24"/>
          <w:lang w:val="en-US" w:eastAsia="zh-CN"/>
        </w:rPr>
        <w:t>4.4.2</w:t>
      </w:r>
      <w:r>
        <w:rPr>
          <w:rFonts w:hint="eastAsia" w:asciiTheme="minorEastAsia" w:hAnsiTheme="minorEastAsia" w:eastAsiaTheme="minorEastAsia"/>
          <w:sz w:val="24"/>
          <w:szCs w:val="24"/>
        </w:rPr>
        <w:t>招标方在项目运行过程中所进行的审查、会签、验收在任何情况下均不能成为投标方推卸对本项目负全责的理由。</w:t>
      </w:r>
    </w:p>
    <w:p w14:paraId="6C390E17">
      <w:pPr>
        <w:pStyle w:val="61"/>
        <w:numPr>
          <w:ilvl w:val="0"/>
          <w:numId w:val="0"/>
        </w:numPr>
        <w:spacing w:line="360" w:lineRule="auto"/>
        <w:ind w:leftChars="0"/>
        <w:rPr>
          <w:rFonts w:asciiTheme="minorEastAsia" w:hAnsiTheme="minorEastAsia" w:eastAsiaTheme="minorEastAsia"/>
          <w:sz w:val="24"/>
        </w:rPr>
      </w:pPr>
      <w:r>
        <w:rPr>
          <w:rFonts w:hint="eastAsia" w:asciiTheme="minorEastAsia" w:hAnsiTheme="minorEastAsia" w:eastAsiaTheme="minorEastAsia"/>
          <w:sz w:val="24"/>
          <w:szCs w:val="24"/>
          <w:lang w:val="en-US" w:eastAsia="zh-CN"/>
        </w:rPr>
        <w:t>4.4.3</w:t>
      </w:r>
      <w:r>
        <w:rPr>
          <w:rFonts w:hint="eastAsia" w:asciiTheme="minorEastAsia" w:hAnsiTheme="minorEastAsia" w:eastAsiaTheme="minorEastAsia"/>
          <w:sz w:val="24"/>
          <w:szCs w:val="24"/>
        </w:rPr>
        <w:t>投标方有责任在项目实施过程中对其正确性、适合性提出修改和完善的意见和建议，但所有修改和完善必须得到招标方的同意。</w:t>
      </w:r>
    </w:p>
    <w:p w14:paraId="4FE90007">
      <w:pPr>
        <w:pStyle w:val="61"/>
        <w:numPr>
          <w:ilvl w:val="0"/>
          <w:numId w:val="0"/>
        </w:numPr>
        <w:spacing w:line="360" w:lineRule="auto"/>
        <w:ind w:leftChars="0"/>
        <w:rPr>
          <w:rFonts w:asciiTheme="minorEastAsia" w:hAnsiTheme="minorEastAsia" w:eastAsiaTheme="minorEastAsia"/>
          <w:sz w:val="24"/>
        </w:rPr>
      </w:pPr>
      <w:r>
        <w:rPr>
          <w:rFonts w:hint="eastAsia" w:asciiTheme="minorEastAsia" w:hAnsiTheme="minorEastAsia" w:eastAsiaTheme="minorEastAsia"/>
          <w:sz w:val="24"/>
          <w:szCs w:val="24"/>
          <w:lang w:val="en-US" w:eastAsia="zh-CN"/>
        </w:rPr>
        <w:t>4.4.4</w:t>
      </w:r>
      <w:r>
        <w:rPr>
          <w:rFonts w:hint="eastAsia" w:asciiTheme="minorEastAsia" w:hAnsiTheme="minorEastAsia" w:eastAsiaTheme="minorEastAsia"/>
          <w:sz w:val="24"/>
          <w:szCs w:val="24"/>
        </w:rPr>
        <w:t>任何技术偏离，无论任何原因，均需书面通知招标方。</w:t>
      </w:r>
    </w:p>
    <w:p w14:paraId="549345AE">
      <w:pPr>
        <w:pStyle w:val="61"/>
        <w:numPr>
          <w:ilvl w:val="0"/>
          <w:numId w:val="0"/>
        </w:numPr>
        <w:spacing w:line="360" w:lineRule="auto"/>
        <w:ind w:leftChars="0"/>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4.4.5</w:t>
      </w:r>
      <w:r>
        <w:rPr>
          <w:rFonts w:hint="eastAsia" w:asciiTheme="minorEastAsia" w:hAnsiTheme="minorEastAsia" w:eastAsiaTheme="minorEastAsia"/>
          <w:sz w:val="24"/>
          <w:szCs w:val="24"/>
        </w:rPr>
        <w:t>供方聘请的安装公司须具备相关资质，并经需方认可后方可进场安装设备。</w:t>
      </w:r>
    </w:p>
    <w:p w14:paraId="456FE5A1">
      <w:pPr>
        <w:pStyle w:val="61"/>
        <w:numPr>
          <w:ilvl w:val="0"/>
          <w:numId w:val="0"/>
        </w:numPr>
        <w:spacing w:line="360" w:lineRule="auto"/>
        <w:ind w:leftChars="0"/>
        <w:rPr>
          <w:rFonts w:asciiTheme="minorEastAsia" w:hAnsiTheme="minorEastAsia" w:eastAsiaTheme="minorEastAsia"/>
          <w:sz w:val="24"/>
          <w:szCs w:val="24"/>
        </w:rPr>
      </w:pPr>
      <w:r>
        <w:rPr>
          <w:rFonts w:hint="eastAsia" w:asciiTheme="minorEastAsia" w:hAnsiTheme="minorEastAsia" w:eastAsiaTheme="minorEastAsia"/>
          <w:kern w:val="0"/>
          <w:sz w:val="24"/>
          <w:szCs w:val="24"/>
          <w:lang w:val="en-US" w:eastAsia="zh-CN"/>
        </w:rPr>
        <w:t>4.4.6</w:t>
      </w:r>
      <w:r>
        <w:rPr>
          <w:rFonts w:hint="eastAsia" w:asciiTheme="minorEastAsia" w:hAnsiTheme="minorEastAsia" w:eastAsiaTheme="minorEastAsia"/>
          <w:kern w:val="0"/>
          <w:sz w:val="24"/>
          <w:szCs w:val="24"/>
        </w:rPr>
        <w:t>设备安装期、调试期、试运行期、运行期，人机界面、工控柜、单片机等系统密码、密钥所有权为招标方。因调试防止误操作等原因需设定的密码、密钥等约束设备功能使用的设定，需告之招标方，并由招标方指定人员保管密码、密钥，投标方不得以任何理由拒绝提供。</w:t>
      </w:r>
    </w:p>
    <w:p w14:paraId="2A10762E">
      <w:pPr>
        <w:pStyle w:val="61"/>
        <w:numPr>
          <w:ilvl w:val="0"/>
          <w:numId w:val="0"/>
        </w:numPr>
        <w:spacing w:line="360" w:lineRule="auto"/>
        <w:ind w:leftChars="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lang w:val="en-US" w:eastAsia="zh-CN"/>
        </w:rPr>
        <w:t>4.4.7</w:t>
      </w:r>
      <w:r>
        <w:rPr>
          <w:rFonts w:hint="eastAsia" w:asciiTheme="minorEastAsia" w:hAnsiTheme="minorEastAsia" w:eastAsiaTheme="minorEastAsia"/>
          <w:kern w:val="0"/>
          <w:sz w:val="24"/>
          <w:szCs w:val="24"/>
        </w:rPr>
        <w:t>投标方开发、使用，并具有相关知识产权保护的软件、程序、系统等安装有密码、密钥的设定，需提前向招标方申明。</w:t>
      </w:r>
    </w:p>
    <w:p w14:paraId="2FCDBFEA">
      <w:pPr>
        <w:pStyle w:val="61"/>
        <w:numPr>
          <w:ilvl w:val="0"/>
          <w:numId w:val="0"/>
        </w:numPr>
        <w:spacing w:line="360" w:lineRule="auto"/>
        <w:ind w:leftChars="0"/>
        <w:rPr>
          <w:rFonts w:asciiTheme="minorEastAsia" w:hAnsiTheme="minorEastAsia" w:eastAsiaTheme="minorEastAsia"/>
        </w:rPr>
      </w:pPr>
      <w:r>
        <w:rPr>
          <w:rFonts w:hint="eastAsia" w:asciiTheme="minorEastAsia" w:hAnsiTheme="minorEastAsia" w:eastAsiaTheme="minorEastAsia"/>
          <w:kern w:val="0"/>
          <w:sz w:val="24"/>
          <w:szCs w:val="24"/>
          <w:lang w:val="en-US" w:eastAsia="zh-CN"/>
        </w:rPr>
        <w:t>4.4.8</w:t>
      </w:r>
      <w:r>
        <w:rPr>
          <w:rFonts w:hint="eastAsia" w:asciiTheme="minorEastAsia" w:hAnsiTheme="minorEastAsia" w:eastAsiaTheme="minorEastAsia"/>
          <w:kern w:val="0"/>
          <w:sz w:val="24"/>
          <w:szCs w:val="24"/>
        </w:rPr>
        <w:t>投标方为最终承包商，不能将合同中的权利及义务转包给没有经招标方书面认定的第三方履行。若经招标方同意转包，第三方必须接受招标方的过程控制和考核，同时不免除投标方对项目的整体责任。</w:t>
      </w:r>
    </w:p>
    <w:p w14:paraId="782EDF08">
      <w:pPr>
        <w:pStyle w:val="61"/>
        <w:numPr>
          <w:ilvl w:val="0"/>
          <w:numId w:val="0"/>
        </w:numPr>
        <w:spacing w:line="360" w:lineRule="auto"/>
        <w:ind w:leftChars="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lang w:val="en-US" w:eastAsia="zh-CN"/>
        </w:rPr>
        <w:t>4.4.9</w:t>
      </w:r>
      <w:r>
        <w:rPr>
          <w:rFonts w:hint="eastAsia" w:asciiTheme="minorEastAsia" w:hAnsiTheme="minorEastAsia" w:eastAsiaTheme="minorEastAsia"/>
          <w:kern w:val="0"/>
          <w:sz w:val="24"/>
          <w:szCs w:val="24"/>
        </w:rPr>
        <w:t>所有权保证：投标方保证对其所供设备在交货至招标方前享有完全唯一的所有权。</w:t>
      </w:r>
    </w:p>
    <w:p w14:paraId="439301FF">
      <w:pPr>
        <w:pStyle w:val="61"/>
        <w:numPr>
          <w:ilvl w:val="0"/>
          <w:numId w:val="0"/>
        </w:numPr>
        <w:spacing w:line="360" w:lineRule="auto"/>
        <w:ind w:leftChars="0"/>
        <w:rPr>
          <w:rFonts w:asciiTheme="minorEastAsia" w:hAnsiTheme="minorEastAsia" w:eastAsiaTheme="minorEastAsia"/>
        </w:rPr>
      </w:pPr>
      <w:r>
        <w:rPr>
          <w:rFonts w:hint="eastAsia" w:asciiTheme="minorEastAsia" w:hAnsiTheme="minorEastAsia" w:eastAsiaTheme="minorEastAsia"/>
          <w:kern w:val="0"/>
          <w:sz w:val="24"/>
          <w:szCs w:val="24"/>
          <w:lang w:val="en-US" w:eastAsia="zh-CN"/>
        </w:rPr>
        <w:t>4.4.10</w:t>
      </w:r>
      <w:r>
        <w:rPr>
          <w:rFonts w:hint="eastAsia" w:asciiTheme="minorEastAsia" w:hAnsiTheme="minorEastAsia" w:eastAsiaTheme="minorEastAsia"/>
          <w:kern w:val="0"/>
          <w:sz w:val="24"/>
          <w:szCs w:val="24"/>
        </w:rPr>
        <w:t>知识产权保证：投标方保证其所供设备所含有或使用的技术等不构成对第三方的知识产权的侵害，否则由此引发的任何后果由供应商负责。</w:t>
      </w:r>
    </w:p>
    <w:p w14:paraId="2FB95509">
      <w:pPr>
        <w:pStyle w:val="61"/>
        <w:numPr>
          <w:ilvl w:val="0"/>
          <w:numId w:val="0"/>
        </w:numPr>
        <w:spacing w:line="360" w:lineRule="auto"/>
        <w:ind w:leftChars="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lang w:val="en-US" w:eastAsia="zh-CN"/>
        </w:rPr>
        <w:t>4.4.11</w:t>
      </w:r>
      <w:r>
        <w:rPr>
          <w:rFonts w:hint="eastAsia" w:asciiTheme="minorEastAsia" w:hAnsiTheme="minorEastAsia" w:eastAsiaTheme="minorEastAsia"/>
          <w:kern w:val="0"/>
          <w:sz w:val="24"/>
          <w:szCs w:val="24"/>
        </w:rPr>
        <w:t>投标方保证其所提供设备的知识产权（专利权、外观设计权）归招标方所有。</w:t>
      </w:r>
    </w:p>
    <w:p w14:paraId="35FEE9FD">
      <w:pPr>
        <w:pStyle w:val="3"/>
        <w:keepNext w:val="0"/>
        <w:keepLines w:val="0"/>
        <w:numPr>
          <w:ilvl w:val="0"/>
          <w:numId w:val="0"/>
        </w:numPr>
        <w:spacing w:before="0" w:after="0" w:line="360" w:lineRule="auto"/>
        <w:ind w:leftChars="0"/>
        <w:rPr>
          <w:rFonts w:asciiTheme="minorEastAsia" w:hAnsiTheme="minorEastAsia" w:eastAsiaTheme="minorEastAsia"/>
          <w:bCs w:val="0"/>
          <w:kern w:val="2"/>
          <w:sz w:val="24"/>
          <w:szCs w:val="20"/>
        </w:rPr>
      </w:pPr>
      <w:bookmarkStart w:id="71" w:name="_Toc501375846"/>
      <w:bookmarkStart w:id="72" w:name="_Toc6907135"/>
      <w:r>
        <w:rPr>
          <w:rFonts w:hint="eastAsia" w:asciiTheme="minorEastAsia" w:hAnsiTheme="minorEastAsia" w:eastAsiaTheme="minorEastAsia"/>
          <w:bCs w:val="0"/>
          <w:kern w:val="2"/>
          <w:sz w:val="24"/>
          <w:szCs w:val="20"/>
          <w:lang w:val="en-US" w:eastAsia="zh-CN"/>
        </w:rPr>
        <w:t>4.5</w:t>
      </w:r>
      <w:r>
        <w:rPr>
          <w:rFonts w:hint="eastAsia" w:asciiTheme="minorEastAsia" w:hAnsiTheme="minorEastAsia" w:eastAsiaTheme="minorEastAsia"/>
          <w:bCs w:val="0"/>
          <w:kern w:val="2"/>
          <w:sz w:val="24"/>
          <w:szCs w:val="20"/>
        </w:rPr>
        <w:t>其他</w:t>
      </w:r>
      <w:bookmarkEnd w:id="64"/>
      <w:bookmarkEnd w:id="65"/>
      <w:bookmarkEnd w:id="66"/>
      <w:bookmarkEnd w:id="67"/>
      <w:bookmarkEnd w:id="68"/>
      <w:bookmarkEnd w:id="69"/>
      <w:bookmarkEnd w:id="70"/>
      <w:bookmarkEnd w:id="71"/>
      <w:bookmarkEnd w:id="72"/>
    </w:p>
    <w:p w14:paraId="1F630A33">
      <w:pPr>
        <w:pStyle w:val="80"/>
        <w:numPr>
          <w:ilvl w:val="2"/>
          <w:numId w:val="0"/>
        </w:numPr>
        <w:ind w:leftChars="0"/>
        <w:outlineLvl w:val="9"/>
        <w:rPr>
          <w:rFonts w:asciiTheme="minorEastAsia" w:hAnsiTheme="minorEastAsia" w:eastAsiaTheme="minorEastAsia"/>
          <w:b w:val="0"/>
        </w:rPr>
      </w:pPr>
      <w:r>
        <w:rPr>
          <w:rFonts w:hint="eastAsia" w:asciiTheme="minorEastAsia" w:hAnsiTheme="minorEastAsia" w:eastAsiaTheme="minorEastAsia"/>
          <w:b w:val="0"/>
          <w:szCs w:val="24"/>
          <w:lang w:val="en-US" w:eastAsia="zh-CN"/>
        </w:rPr>
        <w:t>4.5.1</w:t>
      </w:r>
      <w:r>
        <w:rPr>
          <w:rFonts w:hint="eastAsia" w:asciiTheme="minorEastAsia" w:hAnsiTheme="minorEastAsia" w:eastAsiaTheme="minorEastAsia"/>
          <w:b w:val="0"/>
          <w:szCs w:val="24"/>
        </w:rPr>
        <w:t>投标方一旦中标，即被认为是已知合同范围，如果在项目进展过程中，双方在工作范围内发生分歧意见的，解释权在招标方，投标方必须按招标方描述的范围工作，不得向招标方提出增加费用。</w:t>
      </w:r>
    </w:p>
    <w:p w14:paraId="5B26980F">
      <w:pPr>
        <w:pStyle w:val="80"/>
        <w:numPr>
          <w:ilvl w:val="2"/>
          <w:numId w:val="0"/>
        </w:numPr>
        <w:ind w:leftChars="0"/>
        <w:outlineLvl w:val="9"/>
        <w:rPr>
          <w:rFonts w:asciiTheme="minorEastAsia" w:hAnsiTheme="minorEastAsia" w:eastAsiaTheme="minorEastAsia"/>
          <w:b w:val="0"/>
        </w:rPr>
      </w:pPr>
      <w:r>
        <w:rPr>
          <w:rFonts w:hint="eastAsia" w:asciiTheme="minorEastAsia" w:hAnsiTheme="minorEastAsia" w:eastAsiaTheme="minorEastAsia"/>
          <w:b w:val="0"/>
          <w:szCs w:val="24"/>
          <w:lang w:val="en-US" w:eastAsia="zh-CN"/>
        </w:rPr>
        <w:t>4.5.2</w:t>
      </w:r>
      <w:r>
        <w:rPr>
          <w:rFonts w:hint="eastAsia" w:asciiTheme="minorEastAsia" w:hAnsiTheme="minorEastAsia" w:eastAsiaTheme="minorEastAsia"/>
          <w:b w:val="0"/>
          <w:szCs w:val="24"/>
        </w:rPr>
        <w:t>投标方负责归还招标方提供的</w:t>
      </w:r>
      <w:r>
        <w:rPr>
          <w:rFonts w:hint="eastAsia" w:asciiTheme="minorEastAsia" w:hAnsiTheme="minorEastAsia" w:eastAsiaTheme="minorEastAsia"/>
          <w:b w:val="0"/>
          <w:szCs w:val="24"/>
          <w:lang w:val="en-US" w:eastAsia="zh-CN"/>
        </w:rPr>
        <w:t>说明书</w:t>
      </w:r>
      <w:r>
        <w:rPr>
          <w:rFonts w:hint="eastAsia" w:asciiTheme="minorEastAsia" w:hAnsiTheme="minorEastAsia" w:eastAsiaTheme="minorEastAsia"/>
          <w:b w:val="0"/>
          <w:szCs w:val="24"/>
        </w:rPr>
        <w:t>、图纸等一切资料，投标方应标文件中资料不再退回。</w:t>
      </w:r>
    </w:p>
    <w:p w14:paraId="4AF461EA">
      <w:pPr>
        <w:pStyle w:val="80"/>
        <w:numPr>
          <w:ilvl w:val="2"/>
          <w:numId w:val="0"/>
        </w:numPr>
        <w:ind w:leftChars="0"/>
        <w:outlineLvl w:val="9"/>
        <w:rPr>
          <w:rFonts w:ascii="宋体" w:hAnsi="宋体"/>
          <w:sz w:val="24"/>
        </w:rPr>
      </w:pPr>
      <w:r>
        <w:rPr>
          <w:rFonts w:hint="eastAsia" w:asciiTheme="minorEastAsia" w:hAnsiTheme="minorEastAsia" w:eastAsiaTheme="minorEastAsia"/>
          <w:b w:val="0"/>
          <w:szCs w:val="24"/>
          <w:lang w:val="en-US" w:eastAsia="zh-CN"/>
        </w:rPr>
        <w:t>4.5.6</w:t>
      </w:r>
      <w:r>
        <w:rPr>
          <w:rFonts w:hint="eastAsia" w:asciiTheme="minorEastAsia" w:hAnsiTheme="minorEastAsia" w:eastAsiaTheme="minorEastAsia"/>
          <w:b w:val="0"/>
          <w:szCs w:val="24"/>
        </w:rPr>
        <w:t>投标方应以书面方式通报招标方任何潜在的技术事项，比如问题、事故、最新信息、项目变更等一切导致成本提高、项目节点与计划延迟的事项，投标方的书面通报应包含具体的修复计划以及对整个项目进度的风险评估与描述。</w:t>
      </w:r>
    </w:p>
    <w:p w14:paraId="61F168F4">
      <w:pPr>
        <w:pStyle w:val="3"/>
        <w:keepNext w:val="0"/>
        <w:keepLines w:val="0"/>
        <w:numPr>
          <w:ilvl w:val="0"/>
          <w:numId w:val="0"/>
        </w:numPr>
        <w:spacing w:before="0" w:after="0" w:line="360" w:lineRule="auto"/>
        <w:ind w:left="57"/>
        <w:rPr>
          <w:rFonts w:asciiTheme="minorEastAsia" w:hAnsiTheme="minorEastAsia" w:eastAsiaTheme="minorEastAsia"/>
          <w:bCs w:val="0"/>
          <w:kern w:val="2"/>
          <w:sz w:val="24"/>
          <w:szCs w:val="20"/>
        </w:rPr>
      </w:pPr>
      <w:bookmarkStart w:id="73" w:name="_Toc501375856"/>
      <w:bookmarkStart w:id="74" w:name="_Toc6907147"/>
      <w:bookmarkStart w:id="75" w:name="_Toc443290097"/>
      <w:bookmarkStart w:id="76" w:name="_Toc501375859"/>
      <w:bookmarkStart w:id="77" w:name="_Toc443290100"/>
      <w:r>
        <w:rPr>
          <w:rFonts w:hint="eastAsia" w:asciiTheme="minorEastAsia" w:hAnsiTheme="minorEastAsia" w:eastAsiaTheme="minorEastAsia"/>
          <w:bCs w:val="0"/>
          <w:kern w:val="2"/>
          <w:sz w:val="24"/>
          <w:szCs w:val="20"/>
          <w:lang w:val="en-US" w:eastAsia="zh-CN"/>
        </w:rPr>
        <w:t xml:space="preserve">5  </w:t>
      </w:r>
      <w:r>
        <w:rPr>
          <w:rFonts w:hint="eastAsia" w:asciiTheme="minorEastAsia" w:hAnsiTheme="minorEastAsia" w:eastAsiaTheme="minorEastAsia"/>
          <w:bCs w:val="0"/>
          <w:kern w:val="2"/>
          <w:sz w:val="24"/>
          <w:szCs w:val="20"/>
        </w:rPr>
        <w:t>投标方应提供的资料</w:t>
      </w:r>
      <w:bookmarkEnd w:id="73"/>
      <w:bookmarkEnd w:id="74"/>
      <w:bookmarkEnd w:id="75"/>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3821"/>
        <w:gridCol w:w="1134"/>
        <w:gridCol w:w="709"/>
        <w:gridCol w:w="709"/>
        <w:gridCol w:w="708"/>
        <w:gridCol w:w="1701"/>
      </w:tblGrid>
      <w:tr w14:paraId="6845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vMerge w:val="restart"/>
            <w:tcBorders>
              <w:top w:val="single" w:color="auto" w:sz="4" w:space="0"/>
              <w:left w:val="single" w:color="auto" w:sz="4" w:space="0"/>
              <w:bottom w:val="single" w:color="auto" w:sz="4" w:space="0"/>
              <w:right w:val="single" w:color="auto" w:sz="4" w:space="0"/>
            </w:tcBorders>
            <w:vAlign w:val="center"/>
          </w:tcPr>
          <w:p w14:paraId="510F2478">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序号</w:t>
            </w:r>
          </w:p>
        </w:tc>
        <w:tc>
          <w:tcPr>
            <w:tcW w:w="3821" w:type="dxa"/>
            <w:vMerge w:val="restart"/>
            <w:tcBorders>
              <w:top w:val="single" w:color="auto" w:sz="4" w:space="0"/>
              <w:left w:val="single" w:color="auto" w:sz="4" w:space="0"/>
              <w:bottom w:val="single" w:color="auto" w:sz="4" w:space="0"/>
              <w:right w:val="single" w:color="auto" w:sz="4" w:space="0"/>
            </w:tcBorders>
            <w:vAlign w:val="center"/>
          </w:tcPr>
          <w:p w14:paraId="2D2491B9">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资  料  名  称</w:t>
            </w:r>
          </w:p>
        </w:tc>
        <w:tc>
          <w:tcPr>
            <w:tcW w:w="3260" w:type="dxa"/>
            <w:gridSpan w:val="4"/>
            <w:tcBorders>
              <w:top w:val="single" w:color="auto" w:sz="4" w:space="0"/>
              <w:left w:val="single" w:color="auto" w:sz="4" w:space="0"/>
              <w:bottom w:val="single" w:color="auto" w:sz="4" w:space="0"/>
              <w:right w:val="single" w:color="auto" w:sz="4" w:space="0"/>
            </w:tcBorders>
            <w:vAlign w:val="center"/>
          </w:tcPr>
          <w:p w14:paraId="6A82C583">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提  供  时  间</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14:paraId="4F32B681">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电子版格式</w:t>
            </w:r>
          </w:p>
        </w:tc>
      </w:tr>
      <w:tr w14:paraId="006E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4A752F1B">
            <w:pPr>
              <w:widowControl/>
              <w:jc w:val="center"/>
              <w:rPr>
                <w:rFonts w:asciiTheme="minorEastAsia" w:hAnsiTheme="minorEastAsia" w:eastAsiaTheme="minorEastAsia"/>
                <w:szCs w:val="21"/>
                <w:highlight w:val="none"/>
              </w:rPr>
            </w:pPr>
          </w:p>
        </w:tc>
        <w:tc>
          <w:tcPr>
            <w:tcW w:w="3821" w:type="dxa"/>
            <w:vMerge w:val="continue"/>
            <w:tcBorders>
              <w:top w:val="single" w:color="auto" w:sz="4" w:space="0"/>
              <w:left w:val="single" w:color="auto" w:sz="4" w:space="0"/>
              <w:bottom w:val="single" w:color="auto" w:sz="4" w:space="0"/>
              <w:right w:val="single" w:color="auto" w:sz="4" w:space="0"/>
            </w:tcBorders>
            <w:vAlign w:val="center"/>
          </w:tcPr>
          <w:p w14:paraId="0853ECBA">
            <w:pPr>
              <w:widowControl/>
              <w:jc w:val="center"/>
              <w:rPr>
                <w:rFonts w:asciiTheme="minorEastAsia" w:hAnsiTheme="minorEastAsia" w:eastAsiaTheme="minorEastAsia"/>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CDAEE9D">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合同生效后1个月</w:t>
            </w:r>
          </w:p>
        </w:tc>
        <w:tc>
          <w:tcPr>
            <w:tcW w:w="709" w:type="dxa"/>
            <w:tcBorders>
              <w:top w:val="single" w:color="auto" w:sz="4" w:space="0"/>
              <w:left w:val="single" w:color="auto" w:sz="4" w:space="0"/>
              <w:bottom w:val="single" w:color="auto" w:sz="4" w:space="0"/>
              <w:right w:val="single" w:color="auto" w:sz="4" w:space="0"/>
            </w:tcBorders>
            <w:vAlign w:val="center"/>
          </w:tcPr>
          <w:p w14:paraId="68919D59">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图纸会签</w:t>
            </w:r>
          </w:p>
        </w:tc>
        <w:tc>
          <w:tcPr>
            <w:tcW w:w="709" w:type="dxa"/>
            <w:tcBorders>
              <w:top w:val="single" w:color="auto" w:sz="4" w:space="0"/>
              <w:left w:val="single" w:color="auto" w:sz="4" w:space="0"/>
              <w:bottom w:val="single" w:color="auto" w:sz="4" w:space="0"/>
              <w:right w:val="single" w:color="auto" w:sz="4" w:space="0"/>
            </w:tcBorders>
            <w:vAlign w:val="center"/>
          </w:tcPr>
          <w:p w14:paraId="5F55541C">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设备预验收</w:t>
            </w:r>
          </w:p>
        </w:tc>
        <w:tc>
          <w:tcPr>
            <w:tcW w:w="708" w:type="dxa"/>
            <w:tcBorders>
              <w:top w:val="single" w:color="auto" w:sz="4" w:space="0"/>
              <w:left w:val="single" w:color="auto" w:sz="4" w:space="0"/>
              <w:bottom w:val="single" w:color="auto" w:sz="4" w:space="0"/>
              <w:right w:val="single" w:color="auto" w:sz="4" w:space="0"/>
            </w:tcBorders>
            <w:vAlign w:val="center"/>
          </w:tcPr>
          <w:p w14:paraId="30DF7082">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设备</w:t>
            </w:r>
          </w:p>
          <w:p w14:paraId="127B2982">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发运</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13D35DA4">
            <w:pPr>
              <w:widowControl/>
              <w:jc w:val="center"/>
              <w:rPr>
                <w:rFonts w:asciiTheme="minorEastAsia" w:hAnsiTheme="minorEastAsia" w:eastAsiaTheme="minorEastAsia"/>
                <w:szCs w:val="21"/>
                <w:highlight w:val="none"/>
              </w:rPr>
            </w:pPr>
          </w:p>
        </w:tc>
      </w:tr>
      <w:tr w14:paraId="0C80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35525538">
            <w:pPr>
              <w:jc w:val="center"/>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val="en-US" w:eastAsia="zh-CN"/>
              </w:rPr>
              <w:t>1</w:t>
            </w:r>
          </w:p>
        </w:tc>
        <w:tc>
          <w:tcPr>
            <w:tcW w:w="3821" w:type="dxa"/>
            <w:tcBorders>
              <w:top w:val="single" w:color="auto" w:sz="4" w:space="0"/>
              <w:left w:val="single" w:color="auto" w:sz="4" w:space="0"/>
              <w:bottom w:val="single" w:color="auto" w:sz="4" w:space="0"/>
              <w:right w:val="single" w:color="auto" w:sz="4" w:space="0"/>
            </w:tcBorders>
            <w:vAlign w:val="center"/>
          </w:tcPr>
          <w:p w14:paraId="619F829A">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eastAsia="ko-KR"/>
              </w:rPr>
              <w:t>设计制造计划表</w:t>
            </w:r>
          </w:p>
        </w:tc>
        <w:tc>
          <w:tcPr>
            <w:tcW w:w="1134" w:type="dxa"/>
            <w:tcBorders>
              <w:top w:val="single" w:color="auto" w:sz="4" w:space="0"/>
              <w:left w:val="single" w:color="auto" w:sz="4" w:space="0"/>
              <w:bottom w:val="single" w:color="auto" w:sz="4" w:space="0"/>
              <w:right w:val="single" w:color="auto" w:sz="4" w:space="0"/>
            </w:tcBorders>
            <w:vAlign w:val="center"/>
          </w:tcPr>
          <w:p w14:paraId="1470DF98">
            <w:pPr>
              <w:jc w:val="center"/>
              <w:rPr>
                <w:rFonts w:eastAsia="Malgun Gothic" w:asciiTheme="minorEastAsia" w:hAnsiTheme="minorEastAsia"/>
                <w:szCs w:val="21"/>
                <w:highlight w:val="none"/>
                <w:lang w:eastAsia="ko-KR"/>
              </w:rPr>
            </w:pPr>
          </w:p>
        </w:tc>
        <w:tc>
          <w:tcPr>
            <w:tcW w:w="709" w:type="dxa"/>
            <w:tcBorders>
              <w:top w:val="single" w:color="auto" w:sz="4" w:space="0"/>
              <w:left w:val="single" w:color="auto" w:sz="4" w:space="0"/>
              <w:bottom w:val="single" w:color="auto" w:sz="4" w:space="0"/>
              <w:right w:val="single" w:color="auto" w:sz="4" w:space="0"/>
            </w:tcBorders>
            <w:vAlign w:val="center"/>
          </w:tcPr>
          <w:p w14:paraId="6316F617">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14:paraId="04122277">
            <w:pPr>
              <w:jc w:val="center"/>
              <w:rPr>
                <w:rFonts w:asciiTheme="minorEastAsia" w:hAnsiTheme="minorEastAsia" w:eastAsiaTheme="minorEastAsia"/>
                <w:szCs w:val="21"/>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14:paraId="30A60A3B">
            <w:pPr>
              <w:jc w:val="center"/>
              <w:rPr>
                <w:rFonts w:asciiTheme="minorEastAsia" w:hAnsiTheme="minorEastAsia" w:eastAsiaTheme="minorEastAsia"/>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C01487E">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OFFICE</w:t>
            </w:r>
          </w:p>
        </w:tc>
      </w:tr>
      <w:tr w14:paraId="012F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4B7F0531">
            <w:pPr>
              <w:jc w:val="center"/>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val="en-US" w:eastAsia="zh-CN"/>
              </w:rPr>
              <w:t>2</w:t>
            </w:r>
          </w:p>
        </w:tc>
        <w:tc>
          <w:tcPr>
            <w:tcW w:w="3821" w:type="dxa"/>
            <w:tcBorders>
              <w:top w:val="single" w:color="auto" w:sz="4" w:space="0"/>
              <w:left w:val="single" w:color="auto" w:sz="4" w:space="0"/>
              <w:bottom w:val="single" w:color="auto" w:sz="4" w:space="0"/>
              <w:right w:val="single" w:color="auto" w:sz="4" w:space="0"/>
            </w:tcBorders>
            <w:vAlign w:val="center"/>
          </w:tcPr>
          <w:p w14:paraId="7C14B008">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设备清单</w:t>
            </w:r>
          </w:p>
        </w:tc>
        <w:tc>
          <w:tcPr>
            <w:tcW w:w="1134" w:type="dxa"/>
            <w:tcBorders>
              <w:top w:val="single" w:color="auto" w:sz="4" w:space="0"/>
              <w:left w:val="single" w:color="auto" w:sz="4" w:space="0"/>
              <w:bottom w:val="single" w:color="auto" w:sz="4" w:space="0"/>
              <w:right w:val="single" w:color="auto" w:sz="4" w:space="0"/>
            </w:tcBorders>
            <w:vAlign w:val="center"/>
          </w:tcPr>
          <w:p w14:paraId="58B23133">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6B3AEDC5">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14:paraId="64506B0C">
            <w:pPr>
              <w:jc w:val="center"/>
              <w:rPr>
                <w:rFonts w:asciiTheme="minorEastAsia" w:hAnsiTheme="minorEastAsia" w:eastAsiaTheme="minorEastAsia"/>
                <w:szCs w:val="21"/>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14:paraId="05F9B7DC">
            <w:pPr>
              <w:jc w:val="center"/>
              <w:rPr>
                <w:rFonts w:asciiTheme="minorEastAsia" w:hAnsiTheme="minorEastAsia" w:eastAsiaTheme="minorEastAsia"/>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7BC7E92C">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OFFICE</w:t>
            </w:r>
          </w:p>
        </w:tc>
      </w:tr>
      <w:tr w14:paraId="6239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6875437F">
            <w:pPr>
              <w:jc w:val="center"/>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3</w:t>
            </w:r>
          </w:p>
        </w:tc>
        <w:tc>
          <w:tcPr>
            <w:tcW w:w="3821" w:type="dxa"/>
            <w:tcBorders>
              <w:top w:val="single" w:color="auto" w:sz="4" w:space="0"/>
              <w:left w:val="single" w:color="auto" w:sz="4" w:space="0"/>
              <w:bottom w:val="single" w:color="auto" w:sz="4" w:space="0"/>
              <w:right w:val="single" w:color="auto" w:sz="4" w:space="0"/>
            </w:tcBorders>
            <w:vAlign w:val="center"/>
          </w:tcPr>
          <w:p w14:paraId="3C8BF1E5">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电气原理图、安装图</w:t>
            </w:r>
          </w:p>
        </w:tc>
        <w:tc>
          <w:tcPr>
            <w:tcW w:w="1134" w:type="dxa"/>
            <w:tcBorders>
              <w:top w:val="single" w:color="auto" w:sz="4" w:space="0"/>
              <w:left w:val="single" w:color="auto" w:sz="4" w:space="0"/>
              <w:bottom w:val="single" w:color="auto" w:sz="4" w:space="0"/>
              <w:right w:val="single" w:color="auto" w:sz="4" w:space="0"/>
            </w:tcBorders>
            <w:vAlign w:val="center"/>
          </w:tcPr>
          <w:p w14:paraId="35880444">
            <w:pPr>
              <w:jc w:val="center"/>
              <w:rPr>
                <w:rFonts w:eastAsia="Malgun Gothic" w:asciiTheme="minorEastAsia" w:hAnsiTheme="minorEastAsia"/>
                <w:szCs w:val="21"/>
                <w:highlight w:val="none"/>
                <w:lang w:eastAsia="ko-KR"/>
              </w:rPr>
            </w:pPr>
          </w:p>
        </w:tc>
        <w:tc>
          <w:tcPr>
            <w:tcW w:w="709" w:type="dxa"/>
            <w:tcBorders>
              <w:top w:val="single" w:color="auto" w:sz="4" w:space="0"/>
              <w:left w:val="single" w:color="auto" w:sz="4" w:space="0"/>
              <w:bottom w:val="single" w:color="auto" w:sz="4" w:space="0"/>
              <w:right w:val="single" w:color="auto" w:sz="4" w:space="0"/>
            </w:tcBorders>
            <w:vAlign w:val="center"/>
          </w:tcPr>
          <w:p w14:paraId="3F9EF539">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14:paraId="037621C0">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8" w:type="dxa"/>
            <w:tcBorders>
              <w:top w:val="single" w:color="auto" w:sz="4" w:space="0"/>
              <w:left w:val="single" w:color="auto" w:sz="4" w:space="0"/>
              <w:bottom w:val="single" w:color="auto" w:sz="4" w:space="0"/>
              <w:right w:val="single" w:color="auto" w:sz="4" w:space="0"/>
            </w:tcBorders>
            <w:vAlign w:val="center"/>
          </w:tcPr>
          <w:p w14:paraId="3353C4AF">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0B9B0DB8">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OFFICE</w:t>
            </w:r>
          </w:p>
          <w:p w14:paraId="14230235">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EPLAN P8</w:t>
            </w:r>
          </w:p>
          <w:p w14:paraId="4BC62C3F">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AUTOCAD</w:t>
            </w:r>
          </w:p>
        </w:tc>
      </w:tr>
      <w:tr w14:paraId="6DF6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47BAEAB2">
            <w:pPr>
              <w:jc w:val="center"/>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val="en-US" w:eastAsia="zh-CN"/>
              </w:rPr>
              <w:t>4</w:t>
            </w:r>
          </w:p>
        </w:tc>
        <w:tc>
          <w:tcPr>
            <w:tcW w:w="3821" w:type="dxa"/>
            <w:tcBorders>
              <w:top w:val="single" w:color="auto" w:sz="4" w:space="0"/>
              <w:left w:val="single" w:color="auto" w:sz="4" w:space="0"/>
              <w:bottom w:val="single" w:color="auto" w:sz="4" w:space="0"/>
              <w:right w:val="single" w:color="auto" w:sz="4" w:space="0"/>
            </w:tcBorders>
            <w:vAlign w:val="center"/>
          </w:tcPr>
          <w:p w14:paraId="2A0BE88C">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电气元件清单（型号、规格、数量、厂家）</w:t>
            </w:r>
          </w:p>
        </w:tc>
        <w:tc>
          <w:tcPr>
            <w:tcW w:w="1134" w:type="dxa"/>
            <w:tcBorders>
              <w:top w:val="single" w:color="auto" w:sz="4" w:space="0"/>
              <w:left w:val="single" w:color="auto" w:sz="4" w:space="0"/>
              <w:bottom w:val="single" w:color="auto" w:sz="4" w:space="0"/>
              <w:right w:val="single" w:color="auto" w:sz="4" w:space="0"/>
            </w:tcBorders>
            <w:vAlign w:val="center"/>
          </w:tcPr>
          <w:p w14:paraId="5CAF38E3">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711BB837">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14:paraId="3616FD80">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8" w:type="dxa"/>
            <w:tcBorders>
              <w:top w:val="single" w:color="auto" w:sz="4" w:space="0"/>
              <w:left w:val="single" w:color="auto" w:sz="4" w:space="0"/>
              <w:bottom w:val="single" w:color="auto" w:sz="4" w:space="0"/>
              <w:right w:val="single" w:color="auto" w:sz="4" w:space="0"/>
            </w:tcBorders>
            <w:vAlign w:val="center"/>
          </w:tcPr>
          <w:p w14:paraId="37EAC0E0">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2879A64A">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OFFICE</w:t>
            </w:r>
          </w:p>
        </w:tc>
      </w:tr>
      <w:tr w14:paraId="4738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26BAA7CD">
            <w:pPr>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5</w:t>
            </w:r>
          </w:p>
        </w:tc>
        <w:tc>
          <w:tcPr>
            <w:tcW w:w="3821" w:type="dxa"/>
            <w:tcBorders>
              <w:top w:val="single" w:color="auto" w:sz="4" w:space="0"/>
              <w:left w:val="single" w:color="auto" w:sz="4" w:space="0"/>
              <w:bottom w:val="single" w:color="auto" w:sz="4" w:space="0"/>
              <w:right w:val="single" w:color="auto" w:sz="4" w:space="0"/>
            </w:tcBorders>
            <w:vAlign w:val="center"/>
          </w:tcPr>
          <w:p w14:paraId="4B3E898D">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外购部件汇总表（型号、规格、数量、厂家）</w:t>
            </w:r>
          </w:p>
        </w:tc>
        <w:tc>
          <w:tcPr>
            <w:tcW w:w="1134" w:type="dxa"/>
            <w:tcBorders>
              <w:top w:val="single" w:color="auto" w:sz="4" w:space="0"/>
              <w:left w:val="single" w:color="auto" w:sz="4" w:space="0"/>
              <w:bottom w:val="single" w:color="auto" w:sz="4" w:space="0"/>
              <w:right w:val="single" w:color="auto" w:sz="4" w:space="0"/>
            </w:tcBorders>
            <w:vAlign w:val="center"/>
          </w:tcPr>
          <w:p w14:paraId="0F7D22BA">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4FE6597A">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14:paraId="373675F8">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8" w:type="dxa"/>
            <w:tcBorders>
              <w:top w:val="single" w:color="auto" w:sz="4" w:space="0"/>
              <w:left w:val="single" w:color="auto" w:sz="4" w:space="0"/>
              <w:bottom w:val="single" w:color="auto" w:sz="4" w:space="0"/>
              <w:right w:val="single" w:color="auto" w:sz="4" w:space="0"/>
            </w:tcBorders>
            <w:vAlign w:val="center"/>
          </w:tcPr>
          <w:p w14:paraId="20D6D6A5">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32CB3D5C">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OFFICE</w:t>
            </w:r>
          </w:p>
        </w:tc>
      </w:tr>
      <w:tr w14:paraId="3D67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726927D6">
            <w:pPr>
              <w:jc w:val="center"/>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val="en-US" w:eastAsia="zh-CN"/>
              </w:rPr>
              <w:t>6</w:t>
            </w:r>
          </w:p>
        </w:tc>
        <w:tc>
          <w:tcPr>
            <w:tcW w:w="3821" w:type="dxa"/>
            <w:tcBorders>
              <w:top w:val="single" w:color="auto" w:sz="4" w:space="0"/>
              <w:left w:val="single" w:color="auto" w:sz="4" w:space="0"/>
              <w:bottom w:val="single" w:color="auto" w:sz="4" w:space="0"/>
              <w:right w:val="single" w:color="auto" w:sz="4" w:space="0"/>
            </w:tcBorders>
            <w:vAlign w:val="center"/>
          </w:tcPr>
          <w:p w14:paraId="08913790">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外购件合格证</w:t>
            </w:r>
          </w:p>
        </w:tc>
        <w:tc>
          <w:tcPr>
            <w:tcW w:w="1134" w:type="dxa"/>
            <w:tcBorders>
              <w:top w:val="single" w:color="auto" w:sz="4" w:space="0"/>
              <w:left w:val="single" w:color="auto" w:sz="4" w:space="0"/>
              <w:bottom w:val="single" w:color="auto" w:sz="4" w:space="0"/>
              <w:right w:val="single" w:color="auto" w:sz="4" w:space="0"/>
            </w:tcBorders>
            <w:vAlign w:val="center"/>
          </w:tcPr>
          <w:p w14:paraId="5B3F015D">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5F0B2EB0">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0D25D0B9">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8" w:type="dxa"/>
            <w:tcBorders>
              <w:top w:val="single" w:color="auto" w:sz="4" w:space="0"/>
              <w:left w:val="single" w:color="auto" w:sz="4" w:space="0"/>
              <w:bottom w:val="single" w:color="auto" w:sz="4" w:space="0"/>
              <w:right w:val="single" w:color="auto" w:sz="4" w:space="0"/>
            </w:tcBorders>
            <w:vAlign w:val="center"/>
          </w:tcPr>
          <w:p w14:paraId="4C54783F">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71720777">
            <w:pPr>
              <w:jc w:val="center"/>
              <w:rPr>
                <w:rFonts w:asciiTheme="minorEastAsia" w:hAnsiTheme="minorEastAsia" w:eastAsiaTheme="minorEastAsia"/>
                <w:szCs w:val="21"/>
                <w:highlight w:val="none"/>
              </w:rPr>
            </w:pPr>
          </w:p>
        </w:tc>
      </w:tr>
      <w:tr w14:paraId="41E5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6B73DD37">
            <w:pPr>
              <w:jc w:val="center"/>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val="en-US" w:eastAsia="zh-CN"/>
              </w:rPr>
              <w:t>7</w:t>
            </w:r>
          </w:p>
        </w:tc>
        <w:tc>
          <w:tcPr>
            <w:tcW w:w="3821" w:type="dxa"/>
            <w:tcBorders>
              <w:top w:val="single" w:color="auto" w:sz="4" w:space="0"/>
              <w:left w:val="single" w:color="auto" w:sz="4" w:space="0"/>
              <w:bottom w:val="single" w:color="auto" w:sz="4" w:space="0"/>
              <w:right w:val="single" w:color="auto" w:sz="4" w:space="0"/>
            </w:tcBorders>
            <w:vAlign w:val="center"/>
          </w:tcPr>
          <w:p w14:paraId="23BCF835">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设备说明书、操作手册、维护手册</w:t>
            </w:r>
          </w:p>
        </w:tc>
        <w:tc>
          <w:tcPr>
            <w:tcW w:w="1134" w:type="dxa"/>
            <w:tcBorders>
              <w:top w:val="single" w:color="auto" w:sz="4" w:space="0"/>
              <w:left w:val="single" w:color="auto" w:sz="4" w:space="0"/>
              <w:bottom w:val="single" w:color="auto" w:sz="4" w:space="0"/>
              <w:right w:val="single" w:color="auto" w:sz="4" w:space="0"/>
            </w:tcBorders>
            <w:vAlign w:val="center"/>
          </w:tcPr>
          <w:p w14:paraId="17289A64">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7C50D1B3">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14:paraId="293A95A1">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8" w:type="dxa"/>
            <w:tcBorders>
              <w:top w:val="single" w:color="auto" w:sz="4" w:space="0"/>
              <w:left w:val="single" w:color="auto" w:sz="4" w:space="0"/>
              <w:bottom w:val="single" w:color="auto" w:sz="4" w:space="0"/>
              <w:right w:val="single" w:color="auto" w:sz="4" w:space="0"/>
            </w:tcBorders>
            <w:vAlign w:val="center"/>
          </w:tcPr>
          <w:p w14:paraId="209EC524">
            <w:pPr>
              <w:jc w:val="center"/>
              <w:rPr>
                <w:rFonts w:asciiTheme="minorEastAsia" w:hAnsiTheme="minorEastAsia" w:eastAsiaTheme="minorEastAsia"/>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52CFA3D">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OFFICE</w:t>
            </w:r>
          </w:p>
        </w:tc>
      </w:tr>
      <w:tr w14:paraId="7E9E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1EC8CA8C">
            <w:pPr>
              <w:jc w:val="center"/>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val="en-US" w:eastAsia="zh-CN"/>
              </w:rPr>
              <w:t>8</w:t>
            </w:r>
          </w:p>
        </w:tc>
        <w:tc>
          <w:tcPr>
            <w:tcW w:w="3821" w:type="dxa"/>
            <w:tcBorders>
              <w:top w:val="single" w:color="auto" w:sz="4" w:space="0"/>
              <w:left w:val="single" w:color="auto" w:sz="4" w:space="0"/>
              <w:bottom w:val="single" w:color="auto" w:sz="4" w:space="0"/>
              <w:right w:val="single" w:color="auto" w:sz="4" w:space="0"/>
            </w:tcBorders>
            <w:vAlign w:val="center"/>
          </w:tcPr>
          <w:p w14:paraId="54609697">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发货清单</w:t>
            </w:r>
          </w:p>
        </w:tc>
        <w:tc>
          <w:tcPr>
            <w:tcW w:w="1134" w:type="dxa"/>
            <w:tcBorders>
              <w:top w:val="single" w:color="auto" w:sz="4" w:space="0"/>
              <w:left w:val="single" w:color="auto" w:sz="4" w:space="0"/>
              <w:bottom w:val="single" w:color="auto" w:sz="4" w:space="0"/>
              <w:right w:val="single" w:color="auto" w:sz="4" w:space="0"/>
            </w:tcBorders>
            <w:vAlign w:val="center"/>
          </w:tcPr>
          <w:p w14:paraId="3A133917">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051AEFDB">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5037CF8F">
            <w:pPr>
              <w:jc w:val="center"/>
              <w:rPr>
                <w:rFonts w:asciiTheme="minorEastAsia" w:hAnsiTheme="minorEastAsia" w:eastAsiaTheme="minorEastAsia"/>
                <w:szCs w:val="21"/>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14:paraId="3E86A749">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37DD0C97">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OFFICE</w:t>
            </w:r>
          </w:p>
        </w:tc>
      </w:tr>
      <w:tr w14:paraId="2FC1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09" w:type="dxa"/>
            <w:tcBorders>
              <w:top w:val="single" w:color="auto" w:sz="4" w:space="0"/>
              <w:left w:val="single" w:color="auto" w:sz="4" w:space="0"/>
              <w:bottom w:val="single" w:color="auto" w:sz="4" w:space="0"/>
              <w:right w:val="single" w:color="auto" w:sz="4" w:space="0"/>
            </w:tcBorders>
            <w:vAlign w:val="center"/>
          </w:tcPr>
          <w:p w14:paraId="01B78C23">
            <w:pPr>
              <w:jc w:val="center"/>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val="en-US" w:eastAsia="zh-CN"/>
              </w:rPr>
              <w:t>9</w:t>
            </w:r>
          </w:p>
        </w:tc>
        <w:tc>
          <w:tcPr>
            <w:tcW w:w="3821" w:type="dxa"/>
            <w:tcBorders>
              <w:top w:val="single" w:color="auto" w:sz="4" w:space="0"/>
              <w:left w:val="single" w:color="auto" w:sz="4" w:space="0"/>
              <w:bottom w:val="single" w:color="auto" w:sz="4" w:space="0"/>
              <w:right w:val="single" w:color="auto" w:sz="4" w:space="0"/>
            </w:tcBorders>
            <w:vAlign w:val="center"/>
          </w:tcPr>
          <w:p w14:paraId="0A880C13">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设备检验合格证</w:t>
            </w:r>
          </w:p>
        </w:tc>
        <w:tc>
          <w:tcPr>
            <w:tcW w:w="1134" w:type="dxa"/>
            <w:tcBorders>
              <w:top w:val="single" w:color="auto" w:sz="4" w:space="0"/>
              <w:left w:val="single" w:color="auto" w:sz="4" w:space="0"/>
              <w:bottom w:val="single" w:color="auto" w:sz="4" w:space="0"/>
              <w:right w:val="single" w:color="auto" w:sz="4" w:space="0"/>
            </w:tcBorders>
            <w:vAlign w:val="center"/>
          </w:tcPr>
          <w:p w14:paraId="59C01EE7">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033C14AA">
            <w:pPr>
              <w:jc w:val="center"/>
              <w:rPr>
                <w:rFonts w:asciiTheme="minorEastAsia" w:hAnsiTheme="minorEastAsia" w:eastAsiaTheme="minorEastAsia"/>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70539497">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708" w:type="dxa"/>
            <w:tcBorders>
              <w:top w:val="single" w:color="auto" w:sz="4" w:space="0"/>
              <w:left w:val="single" w:color="auto" w:sz="4" w:space="0"/>
              <w:bottom w:val="single" w:color="auto" w:sz="4" w:space="0"/>
              <w:right w:val="single" w:color="auto" w:sz="4" w:space="0"/>
            </w:tcBorders>
            <w:vAlign w:val="center"/>
          </w:tcPr>
          <w:p w14:paraId="21955583">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5176E390">
            <w:pPr>
              <w:jc w:val="center"/>
              <w:rPr>
                <w:rFonts w:asciiTheme="minorEastAsia" w:hAnsiTheme="minorEastAsia" w:eastAsiaTheme="minorEastAsia"/>
                <w:szCs w:val="21"/>
                <w:highlight w:val="none"/>
              </w:rPr>
            </w:pPr>
          </w:p>
        </w:tc>
      </w:tr>
      <w:bookmarkEnd w:id="76"/>
      <w:bookmarkEnd w:id="77"/>
    </w:tbl>
    <w:p w14:paraId="6D10689A">
      <w:pPr>
        <w:ind w:firstLine="723" w:firstLineChars="300"/>
        <w:rPr>
          <w:rFonts w:asciiTheme="minorEastAsia" w:hAnsiTheme="minorEastAsia" w:eastAsiaTheme="minorEastAsia"/>
          <w:b/>
          <w:vanish/>
          <w:sz w:val="24"/>
          <w:szCs w:val="24"/>
        </w:rPr>
      </w:pPr>
      <w:bookmarkStart w:id="78" w:name="_Toc446511417"/>
      <w:bookmarkEnd w:id="78"/>
      <w:bookmarkStart w:id="79" w:name="_Toc480141616"/>
      <w:bookmarkEnd w:id="79"/>
      <w:bookmarkStart w:id="80" w:name="_Toc500862807"/>
      <w:bookmarkEnd w:id="80"/>
      <w:bookmarkStart w:id="81" w:name="_Toc446510854"/>
      <w:bookmarkEnd w:id="81"/>
      <w:bookmarkStart w:id="82" w:name="_Toc3992379"/>
      <w:bookmarkEnd w:id="82"/>
      <w:bookmarkStart w:id="83" w:name="_Toc6907151"/>
      <w:bookmarkEnd w:id="83"/>
      <w:bookmarkStart w:id="84" w:name="_Toc446513180"/>
      <w:bookmarkEnd w:id="84"/>
      <w:bookmarkStart w:id="85" w:name="_Toc446512027"/>
      <w:bookmarkEnd w:id="85"/>
      <w:bookmarkStart w:id="86" w:name="_Toc479258138"/>
      <w:bookmarkEnd w:id="86"/>
      <w:bookmarkStart w:id="87" w:name="_Toc511740643"/>
      <w:bookmarkEnd w:id="87"/>
      <w:bookmarkStart w:id="88" w:name="_Toc446569960"/>
      <w:bookmarkEnd w:id="88"/>
      <w:bookmarkStart w:id="89" w:name="_Toc446512995"/>
      <w:bookmarkEnd w:id="89"/>
      <w:bookmarkStart w:id="90" w:name="_Toc501375872"/>
      <w:bookmarkEnd w:id="90"/>
      <w:bookmarkStart w:id="91" w:name="_Toc446510693"/>
      <w:bookmarkEnd w:id="91"/>
      <w:bookmarkStart w:id="92" w:name="_Toc446510928"/>
      <w:bookmarkEnd w:id="92"/>
      <w:bookmarkStart w:id="93" w:name="_Toc511745036"/>
      <w:bookmarkEnd w:id="93"/>
      <w:bookmarkStart w:id="94" w:name="_Toc528574297"/>
      <w:bookmarkEnd w:id="94"/>
      <w:bookmarkStart w:id="95" w:name="_Toc446512727"/>
      <w:bookmarkEnd w:id="95"/>
      <w:bookmarkStart w:id="96" w:name="_Toc500924020"/>
      <w:bookmarkEnd w:id="96"/>
      <w:bookmarkStart w:id="97" w:name="_Toc446516179"/>
      <w:bookmarkEnd w:id="97"/>
      <w:bookmarkStart w:id="98" w:name="_Toc446511360"/>
      <w:bookmarkEnd w:id="98"/>
      <w:bookmarkStart w:id="99" w:name="_Toc480129280"/>
      <w:bookmarkEnd w:id="99"/>
      <w:bookmarkStart w:id="100" w:name="_Toc446513051"/>
      <w:bookmarkEnd w:id="100"/>
      <w:bookmarkStart w:id="101" w:name="_Toc446515957"/>
      <w:bookmarkEnd w:id="101"/>
      <w:bookmarkStart w:id="102" w:name="_Toc446516224"/>
      <w:bookmarkEnd w:id="102"/>
      <w:bookmarkStart w:id="103" w:name="_Toc446511133"/>
      <w:bookmarkEnd w:id="103"/>
      <w:bookmarkStart w:id="104" w:name="_Toc446511246"/>
      <w:bookmarkEnd w:id="104"/>
      <w:bookmarkStart w:id="105" w:name="_Toc446570182"/>
      <w:bookmarkEnd w:id="105"/>
      <w:bookmarkStart w:id="106" w:name="_Toc3885768"/>
      <w:bookmarkEnd w:id="106"/>
      <w:bookmarkStart w:id="107" w:name="_6.1机械清单"/>
      <w:bookmarkEnd w:id="107"/>
      <w:bookmarkStart w:id="108" w:name="_Toc446511303"/>
      <w:bookmarkEnd w:id="108"/>
      <w:bookmarkStart w:id="109" w:name="_Toc446511003"/>
      <w:bookmarkEnd w:id="109"/>
      <w:bookmarkStart w:id="110" w:name="_Toc446570004"/>
      <w:bookmarkEnd w:id="110"/>
      <w:bookmarkStart w:id="111" w:name="_Toc446511532"/>
      <w:bookmarkEnd w:id="111"/>
      <w:bookmarkStart w:id="112" w:name="_Toc446510776"/>
      <w:bookmarkEnd w:id="112"/>
      <w:bookmarkStart w:id="113" w:name="_Toc480129088"/>
      <w:bookmarkEnd w:id="113"/>
      <w:bookmarkStart w:id="114" w:name="_Toc446511847"/>
      <w:bookmarkEnd w:id="114"/>
      <w:bookmarkStart w:id="115" w:name="_Toc479854216"/>
      <w:bookmarkEnd w:id="115"/>
      <w:bookmarkStart w:id="116" w:name="_Toc446514735"/>
      <w:bookmarkEnd w:id="116"/>
      <w:bookmarkStart w:id="117" w:name="_Toc446511190"/>
      <w:bookmarkEnd w:id="117"/>
      <w:bookmarkStart w:id="118" w:name="_Toc446510605"/>
      <w:bookmarkEnd w:id="118"/>
      <w:bookmarkStart w:id="119" w:name="_Toc446515879"/>
      <w:bookmarkEnd w:id="119"/>
      <w:bookmarkStart w:id="120" w:name="_Toc446511072"/>
      <w:bookmarkEnd w:id="120"/>
      <w:bookmarkStart w:id="121" w:name="_Toc446513300"/>
      <w:bookmarkEnd w:id="121"/>
      <w:bookmarkStart w:id="122" w:name="_Toc446511970"/>
      <w:bookmarkEnd w:id="122"/>
      <w:bookmarkStart w:id="123" w:name="_Toc446512469"/>
      <w:bookmarkEnd w:id="123"/>
      <w:bookmarkStart w:id="124" w:name="_Toc472328220"/>
      <w:bookmarkEnd w:id="124"/>
      <w:bookmarkStart w:id="125" w:name="_Toc5029968"/>
      <w:bookmarkEnd w:id="125"/>
      <w:bookmarkStart w:id="126" w:name="_Toc500862711"/>
      <w:bookmarkEnd w:id="126"/>
      <w:bookmarkStart w:id="127" w:name="_Toc511306039"/>
      <w:bookmarkEnd w:id="127"/>
      <w:bookmarkStart w:id="128" w:name="_Toc500863120"/>
      <w:bookmarkEnd w:id="128"/>
      <w:bookmarkStart w:id="129" w:name="_Toc479258262"/>
      <w:bookmarkEnd w:id="129"/>
      <w:bookmarkStart w:id="130" w:name="_Toc6846125"/>
      <w:bookmarkEnd w:id="130"/>
      <w:bookmarkStart w:id="131" w:name="_Toc446511474"/>
      <w:bookmarkEnd w:id="131"/>
      <w:bookmarkStart w:id="132" w:name="_Toc500923885"/>
      <w:bookmarkEnd w:id="132"/>
      <w:bookmarkStart w:id="133" w:name="_Toc446511588"/>
      <w:bookmarkEnd w:id="133"/>
      <w:bookmarkStart w:id="134" w:name="_Toc432229352"/>
      <w:bookmarkStart w:id="135" w:name="_Toc13333"/>
      <w:bookmarkStart w:id="136" w:name="_Toc250576541"/>
      <w:bookmarkStart w:id="137" w:name="_Toc355684092"/>
      <w:bookmarkStart w:id="138" w:name="_Toc350782979"/>
      <w:bookmarkStart w:id="139" w:name="_Toc329367905"/>
      <w:bookmarkStart w:id="140" w:name="_Toc350783803"/>
      <w:bookmarkStart w:id="141" w:name="_Toc350783060"/>
      <w:bookmarkStart w:id="142" w:name="_Toc352419193"/>
      <w:bookmarkStart w:id="197" w:name="_GoBack"/>
      <w:bookmarkEnd w:id="197"/>
    </w:p>
    <w:bookmarkEnd w:id="134"/>
    <w:bookmarkEnd w:id="135"/>
    <w:bookmarkEnd w:id="136"/>
    <w:bookmarkEnd w:id="137"/>
    <w:p w14:paraId="0F6979A9">
      <w:pPr>
        <w:pStyle w:val="3"/>
        <w:keepNext w:val="0"/>
        <w:keepLines w:val="0"/>
        <w:numPr>
          <w:ilvl w:val="0"/>
          <w:numId w:val="0"/>
        </w:numPr>
        <w:spacing w:beforeLines="50" w:after="0" w:line="360" w:lineRule="auto"/>
        <w:rPr>
          <w:rFonts w:asciiTheme="minorEastAsia" w:hAnsiTheme="minorEastAsia" w:eastAsiaTheme="minorEastAsia"/>
          <w:bCs w:val="0"/>
          <w:kern w:val="2"/>
          <w:sz w:val="24"/>
          <w:szCs w:val="20"/>
        </w:rPr>
      </w:pPr>
      <w:bookmarkStart w:id="143" w:name="_6.2电气清单"/>
      <w:bookmarkEnd w:id="143"/>
      <w:bookmarkStart w:id="144" w:name="_Toc365918663"/>
      <w:bookmarkStart w:id="145" w:name="_Toc6907161"/>
      <w:bookmarkStart w:id="146" w:name="_Toc501375882"/>
      <w:bookmarkStart w:id="147" w:name="_Toc91667947"/>
      <w:bookmarkStart w:id="148" w:name="_Toc91668919"/>
      <w:bookmarkStart w:id="149" w:name="_Toc355684095"/>
      <w:bookmarkStart w:id="150" w:name="_Toc250576544"/>
      <w:bookmarkStart w:id="151" w:name="_Toc88532234"/>
      <w:bookmarkStart w:id="152" w:name="_Toc21031"/>
      <w:bookmarkStart w:id="153" w:name="_Toc432229355"/>
      <w:r>
        <w:rPr>
          <w:rFonts w:hint="eastAsia" w:asciiTheme="minorEastAsia" w:hAnsiTheme="minorEastAsia" w:eastAsiaTheme="minorEastAsia"/>
          <w:bCs w:val="0"/>
          <w:kern w:val="2"/>
          <w:sz w:val="24"/>
          <w:szCs w:val="20"/>
          <w:lang w:val="en-US" w:eastAsia="zh-CN"/>
        </w:rPr>
        <w:t xml:space="preserve">6  </w:t>
      </w:r>
      <w:r>
        <w:rPr>
          <w:rFonts w:hint="eastAsia" w:asciiTheme="minorEastAsia" w:hAnsiTheme="minorEastAsia" w:eastAsiaTheme="minorEastAsia"/>
          <w:bCs w:val="0"/>
          <w:kern w:val="2"/>
          <w:sz w:val="24"/>
          <w:szCs w:val="20"/>
        </w:rPr>
        <w:t>包装－发运－运输－检查及储存</w:t>
      </w:r>
      <w:bookmarkEnd w:id="144"/>
      <w:bookmarkEnd w:id="145"/>
      <w:bookmarkEnd w:id="146"/>
    </w:p>
    <w:p w14:paraId="5B032075">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54" w:name="_Toc501375884"/>
      <w:bookmarkStart w:id="155" w:name="_Toc6907163"/>
      <w:bookmarkStart w:id="156" w:name="_Toc365918665"/>
      <w:r>
        <w:rPr>
          <w:rFonts w:hint="eastAsia" w:asciiTheme="minorEastAsia" w:hAnsiTheme="minorEastAsia" w:eastAsiaTheme="minorEastAsia"/>
          <w:bCs w:val="0"/>
          <w:kern w:val="2"/>
          <w:sz w:val="24"/>
          <w:szCs w:val="20"/>
          <w:lang w:val="en-US" w:eastAsia="zh-CN"/>
        </w:rPr>
        <w:t>6</w:t>
      </w:r>
      <w:r>
        <w:rPr>
          <w:rFonts w:hint="eastAsia" w:asciiTheme="minorEastAsia" w:hAnsiTheme="minorEastAsia" w:eastAsiaTheme="minorEastAsia"/>
          <w:bCs w:val="0"/>
          <w:kern w:val="2"/>
          <w:sz w:val="24"/>
          <w:szCs w:val="20"/>
        </w:rPr>
        <w:t>.</w:t>
      </w:r>
      <w:r>
        <w:rPr>
          <w:rFonts w:hint="eastAsia" w:asciiTheme="minorEastAsia" w:hAnsiTheme="minorEastAsia" w:eastAsiaTheme="minorEastAsia"/>
          <w:bCs w:val="0"/>
          <w:kern w:val="2"/>
          <w:sz w:val="24"/>
          <w:szCs w:val="20"/>
          <w:lang w:val="en-US" w:eastAsia="zh-CN"/>
        </w:rPr>
        <w:t>1</w:t>
      </w:r>
      <w:r>
        <w:rPr>
          <w:rFonts w:hint="eastAsia" w:asciiTheme="minorEastAsia" w:hAnsiTheme="minorEastAsia" w:eastAsiaTheme="minorEastAsia"/>
          <w:bCs w:val="0"/>
          <w:kern w:val="2"/>
          <w:sz w:val="24"/>
          <w:szCs w:val="20"/>
        </w:rPr>
        <w:t>包装及运输</w:t>
      </w:r>
      <w:bookmarkEnd w:id="154"/>
      <w:bookmarkEnd w:id="155"/>
      <w:bookmarkEnd w:id="156"/>
    </w:p>
    <w:p w14:paraId="3F6D668A">
      <w:pPr>
        <w:spacing w:line="360" w:lineRule="auto"/>
        <w:rPr>
          <w:rFonts w:ascii="宋体" w:hAnsi="宋体"/>
          <w:bCs/>
          <w:kern w:val="0"/>
          <w:sz w:val="24"/>
          <w:szCs w:val="24"/>
        </w:rPr>
      </w:pPr>
      <w:r>
        <w:rPr>
          <w:rFonts w:hint="eastAsia" w:ascii="宋体" w:hAnsi="宋体"/>
          <w:bCs/>
          <w:kern w:val="0"/>
          <w:sz w:val="24"/>
          <w:szCs w:val="24"/>
          <w:lang w:val="en-US" w:eastAsia="zh-CN"/>
        </w:rPr>
        <w:t>6.1</w:t>
      </w:r>
      <w:r>
        <w:rPr>
          <w:rFonts w:hint="eastAsia" w:ascii="宋体" w:hAnsi="宋体"/>
          <w:bCs/>
          <w:kern w:val="0"/>
          <w:sz w:val="24"/>
          <w:szCs w:val="24"/>
        </w:rPr>
        <w:t>.1包装要求：外包装箱采用新的坚固的符合中国免疫标准的密封木质箱或铁皮箱，内采用塑料薄膜包装并附干燥剂及详细清单于包装箱内，包装箱上应用英文和中文标出到货地址，发货地址，货物名称、数量、重量、方向，尺寸（长*宽*高）等及其它必须标记等。</w:t>
      </w:r>
    </w:p>
    <w:p w14:paraId="7100D9BD">
      <w:pPr>
        <w:spacing w:line="360" w:lineRule="auto"/>
        <w:rPr>
          <w:rFonts w:ascii="宋体" w:hAnsi="宋体"/>
          <w:bCs/>
          <w:kern w:val="0"/>
          <w:sz w:val="24"/>
          <w:szCs w:val="24"/>
        </w:rPr>
      </w:pPr>
      <w:r>
        <w:rPr>
          <w:rFonts w:hint="eastAsia" w:ascii="宋体" w:hAnsi="宋体"/>
          <w:bCs/>
          <w:kern w:val="0"/>
          <w:sz w:val="24"/>
          <w:szCs w:val="24"/>
          <w:lang w:val="en-US" w:eastAsia="zh-CN"/>
        </w:rPr>
        <w:t>6.1</w:t>
      </w:r>
      <w:r>
        <w:rPr>
          <w:rFonts w:hint="eastAsia" w:ascii="宋体" w:hAnsi="宋体"/>
          <w:bCs/>
          <w:kern w:val="0"/>
          <w:sz w:val="24"/>
          <w:szCs w:val="24"/>
        </w:rPr>
        <w:t>.2 投标方应考虑工装设备在箱内稳固，适于长途运输，防潮、防雨、防锈、防震、防粗暴装卸，适于运输和整体吊装和叉运；确保工装设备安全及完整；</w:t>
      </w:r>
    </w:p>
    <w:p w14:paraId="793BEEFC">
      <w:pPr>
        <w:spacing w:line="360" w:lineRule="auto"/>
        <w:rPr>
          <w:rFonts w:ascii="宋体" w:hAnsi="宋体"/>
          <w:bCs/>
          <w:kern w:val="0"/>
          <w:sz w:val="24"/>
          <w:szCs w:val="24"/>
        </w:rPr>
      </w:pPr>
      <w:r>
        <w:rPr>
          <w:rFonts w:hint="eastAsia" w:ascii="宋体" w:hAnsi="宋体"/>
          <w:bCs/>
          <w:kern w:val="0"/>
          <w:sz w:val="24"/>
          <w:szCs w:val="24"/>
          <w:lang w:val="en-US" w:eastAsia="zh-CN"/>
        </w:rPr>
        <w:t>6.1</w:t>
      </w:r>
      <w:r>
        <w:rPr>
          <w:rFonts w:hint="eastAsia" w:ascii="宋体" w:hAnsi="宋体"/>
          <w:bCs/>
          <w:kern w:val="0"/>
          <w:sz w:val="24"/>
          <w:szCs w:val="24"/>
        </w:rPr>
        <w:t>.3 包装箱体积要符合道路运输要求，超大体积的包装箱要提前通知招标方。</w:t>
      </w:r>
    </w:p>
    <w:p w14:paraId="736B19F9">
      <w:pPr>
        <w:spacing w:line="360" w:lineRule="auto"/>
        <w:rPr>
          <w:rFonts w:ascii="宋体" w:hAnsi="宋体"/>
          <w:bCs/>
          <w:kern w:val="0"/>
          <w:sz w:val="24"/>
          <w:szCs w:val="24"/>
        </w:rPr>
      </w:pPr>
      <w:r>
        <w:rPr>
          <w:rFonts w:hint="eastAsia" w:ascii="宋体" w:hAnsi="宋体"/>
          <w:bCs/>
          <w:kern w:val="0"/>
          <w:sz w:val="24"/>
          <w:szCs w:val="24"/>
        </w:rPr>
        <w:t>11</w:t>
      </w:r>
      <w:r>
        <w:rPr>
          <w:rFonts w:ascii="宋体" w:hAnsi="宋体"/>
          <w:bCs/>
          <w:kern w:val="0"/>
          <w:sz w:val="24"/>
          <w:szCs w:val="24"/>
        </w:rPr>
        <w:t>.2.4</w:t>
      </w:r>
      <w:r>
        <w:rPr>
          <w:rFonts w:hint="eastAsia" w:ascii="宋体" w:hAnsi="宋体"/>
          <w:bCs/>
          <w:kern w:val="0"/>
          <w:sz w:val="24"/>
          <w:szCs w:val="24"/>
        </w:rPr>
        <w:t>交货地点为需方指定的生产现场。</w:t>
      </w:r>
    </w:p>
    <w:p w14:paraId="56723101">
      <w:pPr>
        <w:spacing w:line="360" w:lineRule="auto"/>
        <w:rPr>
          <w:rFonts w:ascii="宋体" w:hAnsi="宋体"/>
          <w:bCs/>
          <w:kern w:val="0"/>
          <w:sz w:val="24"/>
          <w:szCs w:val="24"/>
        </w:rPr>
      </w:pPr>
      <w:r>
        <w:rPr>
          <w:rFonts w:hint="eastAsia" w:ascii="宋体" w:hAnsi="宋体"/>
          <w:bCs/>
          <w:kern w:val="0"/>
          <w:sz w:val="24"/>
          <w:szCs w:val="24"/>
          <w:lang w:val="en-US" w:eastAsia="zh-CN"/>
        </w:rPr>
        <w:t>6.1</w:t>
      </w:r>
      <w:r>
        <w:rPr>
          <w:rFonts w:ascii="宋体" w:hAnsi="宋体"/>
          <w:bCs/>
          <w:kern w:val="0"/>
          <w:sz w:val="24"/>
          <w:szCs w:val="24"/>
        </w:rPr>
        <w:t>.5</w:t>
      </w:r>
      <w:r>
        <w:rPr>
          <w:rFonts w:hint="eastAsia" w:ascii="宋体" w:hAnsi="宋体"/>
          <w:bCs/>
          <w:kern w:val="0"/>
          <w:sz w:val="24"/>
          <w:szCs w:val="24"/>
        </w:rPr>
        <w:t>供方应承担设备的运输保险等费用，并跟踪设备运输。供方应及时交付设备，确保设备无损坏。</w:t>
      </w:r>
    </w:p>
    <w:p w14:paraId="76A0AC67">
      <w:pPr>
        <w:spacing w:line="360" w:lineRule="auto"/>
        <w:rPr>
          <w:rFonts w:ascii="宋体" w:hAnsi="宋体"/>
          <w:bCs/>
          <w:kern w:val="0"/>
          <w:sz w:val="24"/>
          <w:szCs w:val="24"/>
        </w:rPr>
      </w:pPr>
      <w:r>
        <w:rPr>
          <w:rFonts w:hint="eastAsia" w:ascii="宋体" w:hAnsi="宋体"/>
          <w:bCs/>
          <w:kern w:val="0"/>
          <w:sz w:val="24"/>
          <w:szCs w:val="24"/>
          <w:lang w:val="en-US" w:eastAsia="zh-CN"/>
        </w:rPr>
        <w:t>6.1</w:t>
      </w:r>
      <w:r>
        <w:rPr>
          <w:rFonts w:ascii="宋体" w:hAnsi="宋体"/>
          <w:bCs/>
          <w:kern w:val="0"/>
          <w:sz w:val="24"/>
          <w:szCs w:val="24"/>
        </w:rPr>
        <w:t>.6</w:t>
      </w:r>
      <w:r>
        <w:rPr>
          <w:rFonts w:hint="eastAsia" w:ascii="宋体" w:hAnsi="宋体"/>
          <w:bCs/>
          <w:kern w:val="0"/>
          <w:sz w:val="24"/>
          <w:szCs w:val="24"/>
        </w:rPr>
        <w:t>特别指出，需方可能根据项目实际情况要求供方分批正确包装运输。需方不会为此支付任何额外费用。</w:t>
      </w:r>
    </w:p>
    <w:p w14:paraId="1CDEF8F5">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57" w:name="_Toc6907164"/>
      <w:bookmarkStart w:id="158" w:name="_Toc365918666"/>
      <w:bookmarkStart w:id="159" w:name="_Toc501375885"/>
      <w:r>
        <w:rPr>
          <w:rFonts w:hint="eastAsia" w:asciiTheme="minorEastAsia" w:hAnsiTheme="minorEastAsia" w:eastAsiaTheme="minorEastAsia"/>
          <w:bCs w:val="0"/>
          <w:kern w:val="2"/>
          <w:sz w:val="24"/>
          <w:szCs w:val="20"/>
          <w:lang w:val="en-US" w:eastAsia="zh-CN"/>
        </w:rPr>
        <w:t>6</w:t>
      </w:r>
      <w:r>
        <w:rPr>
          <w:rFonts w:hint="eastAsia" w:asciiTheme="minorEastAsia" w:hAnsiTheme="minorEastAsia" w:eastAsiaTheme="minorEastAsia"/>
          <w:bCs w:val="0"/>
          <w:kern w:val="2"/>
          <w:sz w:val="24"/>
          <w:szCs w:val="20"/>
        </w:rPr>
        <w:t>.</w:t>
      </w:r>
      <w:r>
        <w:rPr>
          <w:rFonts w:hint="eastAsia" w:asciiTheme="minorEastAsia" w:hAnsiTheme="minorEastAsia" w:eastAsiaTheme="minorEastAsia"/>
          <w:bCs w:val="0"/>
          <w:kern w:val="2"/>
          <w:sz w:val="24"/>
          <w:szCs w:val="20"/>
          <w:lang w:val="en-US" w:eastAsia="zh-CN"/>
        </w:rPr>
        <w:t>2</w:t>
      </w:r>
      <w:r>
        <w:rPr>
          <w:rFonts w:hint="eastAsia" w:asciiTheme="minorEastAsia" w:hAnsiTheme="minorEastAsia" w:eastAsiaTheme="minorEastAsia"/>
          <w:bCs w:val="0"/>
          <w:kern w:val="2"/>
          <w:sz w:val="24"/>
          <w:szCs w:val="20"/>
        </w:rPr>
        <w:t>到货后的检查</w:t>
      </w:r>
      <w:bookmarkEnd w:id="157"/>
      <w:bookmarkEnd w:id="158"/>
      <w:bookmarkEnd w:id="159"/>
    </w:p>
    <w:p w14:paraId="1AEACC7A">
      <w:pPr>
        <w:spacing w:line="360" w:lineRule="auto"/>
        <w:rPr>
          <w:rFonts w:ascii="宋体" w:hAnsi="宋体"/>
          <w:bCs/>
          <w:kern w:val="0"/>
          <w:sz w:val="24"/>
          <w:szCs w:val="24"/>
        </w:rPr>
      </w:pPr>
      <w:r>
        <w:rPr>
          <w:rFonts w:hint="eastAsia" w:ascii="宋体" w:hAnsi="宋体"/>
          <w:bCs/>
          <w:kern w:val="0"/>
          <w:sz w:val="24"/>
          <w:szCs w:val="24"/>
          <w:lang w:val="en-US" w:eastAsia="zh-CN"/>
        </w:rPr>
        <w:t>6.2</w:t>
      </w:r>
      <w:r>
        <w:rPr>
          <w:rFonts w:hint="eastAsia" w:ascii="宋体" w:hAnsi="宋体"/>
          <w:bCs/>
          <w:kern w:val="0"/>
          <w:sz w:val="24"/>
          <w:szCs w:val="24"/>
        </w:rPr>
        <w:t>.1  招标方和投标方代表目检包装箱外观估计可能的损坏情况；</w:t>
      </w:r>
    </w:p>
    <w:p w14:paraId="76B9B438">
      <w:pPr>
        <w:spacing w:line="360" w:lineRule="auto"/>
        <w:rPr>
          <w:rFonts w:ascii="宋体" w:hAnsi="宋体"/>
          <w:bCs/>
          <w:kern w:val="0"/>
          <w:sz w:val="24"/>
          <w:szCs w:val="24"/>
        </w:rPr>
      </w:pPr>
      <w:r>
        <w:rPr>
          <w:rFonts w:hint="eastAsia" w:ascii="宋体" w:hAnsi="宋体"/>
          <w:bCs/>
          <w:kern w:val="0"/>
          <w:sz w:val="24"/>
          <w:szCs w:val="24"/>
          <w:lang w:val="en-US" w:eastAsia="zh-CN"/>
        </w:rPr>
        <w:t>6.2</w:t>
      </w:r>
      <w:r>
        <w:rPr>
          <w:rFonts w:hint="eastAsia" w:ascii="宋体" w:hAnsi="宋体"/>
          <w:bCs/>
          <w:kern w:val="0"/>
          <w:sz w:val="24"/>
          <w:szCs w:val="24"/>
        </w:rPr>
        <w:t>.2  招标方和投标方代表清点包装箱数量是否与发货单一致；</w:t>
      </w:r>
    </w:p>
    <w:p w14:paraId="1D7A4378">
      <w:pPr>
        <w:spacing w:line="360" w:lineRule="auto"/>
        <w:rPr>
          <w:rFonts w:ascii="宋体" w:hAnsi="宋体"/>
          <w:bCs/>
          <w:kern w:val="0"/>
          <w:sz w:val="24"/>
          <w:szCs w:val="24"/>
        </w:rPr>
      </w:pPr>
      <w:r>
        <w:rPr>
          <w:rFonts w:hint="eastAsia" w:ascii="宋体" w:hAnsi="宋体"/>
          <w:bCs/>
          <w:kern w:val="0"/>
          <w:sz w:val="24"/>
          <w:szCs w:val="24"/>
          <w:lang w:val="en-US" w:eastAsia="zh-CN"/>
        </w:rPr>
        <w:t>6.2</w:t>
      </w:r>
      <w:r>
        <w:rPr>
          <w:rFonts w:hint="eastAsia" w:ascii="宋体" w:hAnsi="宋体"/>
          <w:bCs/>
          <w:kern w:val="0"/>
          <w:sz w:val="24"/>
          <w:szCs w:val="24"/>
        </w:rPr>
        <w:t>.3  招标方和投标方代表将以上结果填入《到货验收单》；</w:t>
      </w:r>
    </w:p>
    <w:p w14:paraId="40D619F7">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60" w:name="_Toc501375887"/>
      <w:bookmarkStart w:id="161" w:name="_Toc6907166"/>
      <w:bookmarkStart w:id="162" w:name="_Toc365918668"/>
      <w:r>
        <w:rPr>
          <w:rFonts w:hint="eastAsia" w:asciiTheme="minorEastAsia" w:hAnsiTheme="minorEastAsia" w:eastAsiaTheme="minorEastAsia"/>
          <w:bCs w:val="0"/>
          <w:kern w:val="2"/>
          <w:sz w:val="24"/>
          <w:szCs w:val="20"/>
          <w:lang w:val="en-US" w:eastAsia="zh-CN"/>
        </w:rPr>
        <w:t xml:space="preserve">6.3  </w:t>
      </w:r>
      <w:r>
        <w:rPr>
          <w:rFonts w:hint="eastAsia" w:asciiTheme="minorEastAsia" w:hAnsiTheme="minorEastAsia" w:eastAsiaTheme="minorEastAsia"/>
          <w:bCs w:val="0"/>
          <w:kern w:val="2"/>
          <w:sz w:val="24"/>
          <w:szCs w:val="20"/>
        </w:rPr>
        <w:t>包装箱装卸、开箱检查</w:t>
      </w:r>
      <w:bookmarkEnd w:id="160"/>
      <w:bookmarkEnd w:id="161"/>
      <w:bookmarkEnd w:id="162"/>
    </w:p>
    <w:p w14:paraId="1A77F726">
      <w:pPr>
        <w:spacing w:line="360" w:lineRule="auto"/>
        <w:rPr>
          <w:rFonts w:ascii="宋体" w:hAnsi="宋体"/>
          <w:bCs/>
          <w:kern w:val="0"/>
          <w:sz w:val="24"/>
          <w:szCs w:val="24"/>
        </w:rPr>
      </w:pPr>
      <w:r>
        <w:rPr>
          <w:rFonts w:hint="eastAsia" w:ascii="宋体" w:hAnsi="宋体"/>
          <w:bCs/>
          <w:kern w:val="0"/>
          <w:sz w:val="24"/>
          <w:szCs w:val="24"/>
          <w:lang w:val="en-US" w:eastAsia="zh-CN"/>
        </w:rPr>
        <w:t>6.3</w:t>
      </w:r>
      <w:r>
        <w:rPr>
          <w:rFonts w:hint="eastAsia" w:ascii="宋体" w:hAnsi="宋体"/>
          <w:bCs/>
          <w:kern w:val="0"/>
          <w:sz w:val="24"/>
          <w:szCs w:val="24"/>
        </w:rPr>
        <w:t>.1 包装箱到指定现场后, 装卸、开箱由投标方负责，开箱应有招标方人员在现场，双方共同对所购货物及状态确认，以便于设备零部件的保管、交接。</w:t>
      </w:r>
    </w:p>
    <w:p w14:paraId="19C57FFA">
      <w:pPr>
        <w:spacing w:line="360" w:lineRule="auto"/>
        <w:rPr>
          <w:rFonts w:ascii="宋体" w:hAnsi="宋体"/>
          <w:bCs/>
          <w:kern w:val="0"/>
          <w:sz w:val="24"/>
          <w:szCs w:val="24"/>
        </w:rPr>
      </w:pPr>
      <w:r>
        <w:rPr>
          <w:rFonts w:hint="eastAsia" w:ascii="宋体" w:hAnsi="宋体"/>
          <w:bCs/>
          <w:kern w:val="0"/>
          <w:sz w:val="24"/>
          <w:szCs w:val="24"/>
          <w:lang w:val="en-US" w:eastAsia="zh-CN"/>
        </w:rPr>
        <w:t>6.3</w:t>
      </w:r>
      <w:r>
        <w:rPr>
          <w:rFonts w:hint="eastAsia" w:ascii="宋体" w:hAnsi="宋体"/>
          <w:bCs/>
          <w:kern w:val="0"/>
          <w:sz w:val="24"/>
          <w:szCs w:val="24"/>
        </w:rPr>
        <w:t>.2 若包装箱到货后发现已经损坏，招标方代表应立即通知投标方进行开箱检查，以便及早清查设备零部件有无缺损，协商解决办法；缺损的零部件，投标方应负责无偿完整配齐。</w:t>
      </w:r>
    </w:p>
    <w:p w14:paraId="6B097BC8">
      <w:pPr>
        <w:spacing w:line="360" w:lineRule="auto"/>
        <w:rPr>
          <w:rFonts w:ascii="宋体" w:hAnsi="宋体"/>
          <w:bCs/>
          <w:kern w:val="0"/>
          <w:sz w:val="24"/>
          <w:szCs w:val="24"/>
        </w:rPr>
      </w:pPr>
      <w:r>
        <w:rPr>
          <w:rFonts w:hint="eastAsia" w:ascii="宋体" w:hAnsi="宋体"/>
          <w:bCs/>
          <w:kern w:val="0"/>
          <w:sz w:val="24"/>
          <w:szCs w:val="24"/>
          <w:lang w:val="en-US" w:eastAsia="zh-CN"/>
        </w:rPr>
        <w:t>6.3</w:t>
      </w:r>
      <w:r>
        <w:rPr>
          <w:rFonts w:hint="eastAsia" w:ascii="宋体" w:hAnsi="宋体"/>
          <w:bCs/>
          <w:kern w:val="0"/>
          <w:sz w:val="24"/>
          <w:szCs w:val="24"/>
        </w:rPr>
        <w:t>.3 开箱检查后若设备不能立即转入安装，工装设备及部件的再包装，储存保管由招标方负责。</w:t>
      </w:r>
    </w:p>
    <w:p w14:paraId="0A617095">
      <w:pPr>
        <w:spacing w:line="360" w:lineRule="auto"/>
        <w:rPr>
          <w:rFonts w:ascii="宋体" w:hAnsi="宋体"/>
          <w:bCs/>
          <w:kern w:val="0"/>
          <w:sz w:val="24"/>
          <w:szCs w:val="24"/>
        </w:rPr>
      </w:pPr>
      <w:r>
        <w:rPr>
          <w:rFonts w:hint="eastAsia" w:ascii="宋体" w:hAnsi="宋体"/>
          <w:bCs/>
          <w:kern w:val="0"/>
          <w:sz w:val="24"/>
          <w:szCs w:val="24"/>
          <w:lang w:val="en-US" w:eastAsia="zh-CN"/>
        </w:rPr>
        <w:t>6.3</w:t>
      </w:r>
      <w:r>
        <w:rPr>
          <w:rFonts w:hint="eastAsia" w:ascii="宋体" w:hAnsi="宋体"/>
          <w:bCs/>
          <w:kern w:val="0"/>
          <w:sz w:val="24"/>
          <w:szCs w:val="24"/>
        </w:rPr>
        <w:t>.4设备质量和数量的检查按有关文件和发运清单核对；开箱检查结果记入《开箱验收单》。</w:t>
      </w:r>
    </w:p>
    <w:p w14:paraId="3AB362D9">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63" w:name="_Toc6907167"/>
      <w:bookmarkStart w:id="164" w:name="_Toc501375888"/>
      <w:bookmarkStart w:id="165" w:name="_Toc365918669"/>
      <w:r>
        <w:rPr>
          <w:rFonts w:hint="eastAsia" w:asciiTheme="minorEastAsia" w:hAnsiTheme="minorEastAsia" w:eastAsiaTheme="minorEastAsia"/>
          <w:bCs w:val="0"/>
          <w:kern w:val="2"/>
          <w:sz w:val="24"/>
          <w:szCs w:val="20"/>
          <w:lang w:val="en-US" w:eastAsia="zh-CN"/>
        </w:rPr>
        <w:t xml:space="preserve">6.4  </w:t>
      </w:r>
      <w:r>
        <w:rPr>
          <w:rFonts w:hint="eastAsia" w:asciiTheme="minorEastAsia" w:hAnsiTheme="minorEastAsia" w:eastAsiaTheme="minorEastAsia"/>
          <w:bCs w:val="0"/>
          <w:kern w:val="2"/>
          <w:sz w:val="24"/>
          <w:szCs w:val="20"/>
        </w:rPr>
        <w:t>交货</w:t>
      </w:r>
      <w:bookmarkEnd w:id="163"/>
      <w:bookmarkEnd w:id="164"/>
      <w:bookmarkEnd w:id="165"/>
    </w:p>
    <w:p w14:paraId="6B3431B8">
      <w:pPr>
        <w:spacing w:line="360" w:lineRule="auto"/>
        <w:rPr>
          <w:rFonts w:ascii="宋体" w:hAnsi="宋体"/>
          <w:bCs/>
          <w:kern w:val="0"/>
          <w:sz w:val="24"/>
          <w:szCs w:val="24"/>
        </w:rPr>
      </w:pPr>
      <w:r>
        <w:rPr>
          <w:rFonts w:hint="eastAsia" w:ascii="宋体" w:hAnsi="宋体"/>
          <w:bCs/>
          <w:kern w:val="0"/>
          <w:sz w:val="24"/>
          <w:szCs w:val="24"/>
        </w:rPr>
        <w:t>所有设备的包装、运输、保险费用由投标方承担，并跟踪所有货物的运输。投标方负责及时交付所有的工装设备，保证没有任何损坏损失；</w:t>
      </w:r>
    </w:p>
    <w:p w14:paraId="2F841F12">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66" w:name="_Toc501375889"/>
      <w:bookmarkStart w:id="167" w:name="_Toc6907168"/>
      <w:r>
        <w:rPr>
          <w:rFonts w:hint="eastAsia" w:asciiTheme="minorEastAsia" w:hAnsiTheme="minorEastAsia" w:eastAsiaTheme="minorEastAsia"/>
          <w:bCs w:val="0"/>
          <w:kern w:val="2"/>
          <w:sz w:val="24"/>
          <w:szCs w:val="20"/>
          <w:lang w:val="en-US" w:eastAsia="zh-CN"/>
        </w:rPr>
        <w:t>6.5</w:t>
      </w:r>
      <w:r>
        <w:rPr>
          <w:rFonts w:hint="eastAsia" w:asciiTheme="minorEastAsia" w:hAnsiTheme="minorEastAsia" w:eastAsiaTheme="minorEastAsia"/>
          <w:bCs w:val="0"/>
          <w:kern w:val="2"/>
          <w:sz w:val="24"/>
          <w:szCs w:val="20"/>
        </w:rPr>
        <w:t>安装、调试</w:t>
      </w:r>
      <w:bookmarkEnd w:id="166"/>
      <w:bookmarkEnd w:id="167"/>
    </w:p>
    <w:bookmarkEnd w:id="138"/>
    <w:bookmarkEnd w:id="139"/>
    <w:bookmarkEnd w:id="140"/>
    <w:bookmarkEnd w:id="141"/>
    <w:bookmarkEnd w:id="142"/>
    <w:bookmarkEnd w:id="147"/>
    <w:bookmarkEnd w:id="148"/>
    <w:bookmarkEnd w:id="149"/>
    <w:bookmarkEnd w:id="150"/>
    <w:bookmarkEnd w:id="151"/>
    <w:bookmarkEnd w:id="152"/>
    <w:bookmarkEnd w:id="153"/>
    <w:p w14:paraId="584D232C">
      <w:pPr>
        <w:spacing w:line="360" w:lineRule="auto"/>
        <w:rPr>
          <w:rFonts w:ascii="宋体" w:hAnsi="宋体"/>
          <w:bCs/>
          <w:kern w:val="0"/>
          <w:sz w:val="24"/>
          <w:szCs w:val="24"/>
        </w:rPr>
      </w:pPr>
      <w:bookmarkStart w:id="168" w:name="_Toc250576547"/>
      <w:bookmarkStart w:id="169" w:name="_Toc432229358"/>
      <w:bookmarkStart w:id="170" w:name="_Toc355684098"/>
      <w:bookmarkStart w:id="171" w:name="_Toc1942"/>
      <w:r>
        <w:rPr>
          <w:rFonts w:hint="eastAsia" w:ascii="宋体" w:hAnsi="宋体"/>
          <w:bCs/>
          <w:kern w:val="0"/>
          <w:sz w:val="24"/>
          <w:szCs w:val="24"/>
          <w:lang w:val="en-US" w:eastAsia="zh-CN"/>
        </w:rPr>
        <w:t>6.5</w:t>
      </w:r>
      <w:r>
        <w:rPr>
          <w:rFonts w:ascii="宋体" w:hAnsi="宋体"/>
          <w:bCs/>
          <w:kern w:val="0"/>
          <w:sz w:val="24"/>
          <w:szCs w:val="24"/>
        </w:rPr>
        <w:t>.</w:t>
      </w:r>
      <w:r>
        <w:rPr>
          <w:rFonts w:hint="eastAsia" w:ascii="宋体" w:hAnsi="宋体"/>
          <w:bCs/>
          <w:kern w:val="0"/>
          <w:sz w:val="24"/>
          <w:szCs w:val="24"/>
        </w:rPr>
        <w:t>1 在招标方指定工作期间，投标方应遵守招标方相关规定；</w:t>
      </w:r>
    </w:p>
    <w:p w14:paraId="229521CC">
      <w:pPr>
        <w:spacing w:line="360" w:lineRule="auto"/>
        <w:rPr>
          <w:rFonts w:ascii="宋体" w:hAnsi="宋体"/>
          <w:bCs/>
          <w:kern w:val="0"/>
          <w:sz w:val="24"/>
          <w:szCs w:val="24"/>
        </w:rPr>
      </w:pPr>
      <w:r>
        <w:rPr>
          <w:rFonts w:hint="eastAsia" w:ascii="宋体" w:hAnsi="宋体"/>
          <w:bCs/>
          <w:kern w:val="0"/>
          <w:sz w:val="24"/>
          <w:szCs w:val="24"/>
          <w:lang w:val="en-US" w:eastAsia="zh-CN"/>
        </w:rPr>
        <w:t>6.5</w:t>
      </w:r>
      <w:r>
        <w:rPr>
          <w:rFonts w:hint="eastAsia" w:ascii="宋体" w:hAnsi="宋体"/>
          <w:bCs/>
          <w:kern w:val="0"/>
          <w:sz w:val="24"/>
          <w:szCs w:val="24"/>
        </w:rPr>
        <w:t>.2 招标方提供安装调试现场所需的电、压缩空气等动力辅助设施。</w:t>
      </w:r>
    </w:p>
    <w:p w14:paraId="43C93BA9">
      <w:pPr>
        <w:spacing w:line="360" w:lineRule="auto"/>
        <w:rPr>
          <w:rFonts w:ascii="宋体" w:hAnsi="宋体"/>
          <w:bCs/>
          <w:kern w:val="0"/>
          <w:sz w:val="24"/>
          <w:szCs w:val="24"/>
        </w:rPr>
      </w:pPr>
      <w:r>
        <w:rPr>
          <w:rFonts w:hint="eastAsia" w:ascii="宋体" w:hAnsi="宋体"/>
          <w:bCs/>
          <w:kern w:val="0"/>
          <w:sz w:val="24"/>
          <w:szCs w:val="24"/>
          <w:lang w:val="en-US" w:eastAsia="zh-CN"/>
        </w:rPr>
        <w:t>6.5</w:t>
      </w:r>
      <w:r>
        <w:rPr>
          <w:rFonts w:hint="eastAsia" w:ascii="宋体" w:hAnsi="宋体"/>
          <w:bCs/>
          <w:kern w:val="0"/>
          <w:sz w:val="24"/>
          <w:szCs w:val="24"/>
        </w:rPr>
        <w:t>.</w:t>
      </w:r>
      <w:r>
        <w:rPr>
          <w:rFonts w:ascii="宋体" w:hAnsi="宋体"/>
          <w:bCs/>
          <w:kern w:val="0"/>
          <w:sz w:val="24"/>
          <w:szCs w:val="24"/>
        </w:rPr>
        <w:t>4</w:t>
      </w:r>
      <w:r>
        <w:rPr>
          <w:rFonts w:hint="eastAsia" w:ascii="宋体" w:hAnsi="宋体"/>
          <w:bCs/>
          <w:kern w:val="0"/>
          <w:sz w:val="24"/>
          <w:szCs w:val="24"/>
        </w:rPr>
        <w:t>投标方自备安装调试所需的检测工具及专用工具。</w:t>
      </w:r>
    </w:p>
    <w:p w14:paraId="17140ED0">
      <w:pPr>
        <w:spacing w:line="360" w:lineRule="auto"/>
        <w:rPr>
          <w:rFonts w:ascii="宋体" w:hAnsi="宋体"/>
          <w:bCs/>
          <w:kern w:val="0"/>
          <w:sz w:val="24"/>
          <w:szCs w:val="24"/>
        </w:rPr>
      </w:pPr>
      <w:r>
        <w:rPr>
          <w:rFonts w:hint="eastAsia" w:ascii="宋体" w:hAnsi="宋体"/>
          <w:bCs/>
          <w:kern w:val="0"/>
          <w:sz w:val="24"/>
          <w:szCs w:val="24"/>
          <w:lang w:val="en-US" w:eastAsia="zh-CN"/>
        </w:rPr>
        <w:t>6.5</w:t>
      </w:r>
      <w:r>
        <w:rPr>
          <w:rFonts w:hint="eastAsia" w:ascii="宋体" w:hAnsi="宋体"/>
          <w:bCs/>
          <w:kern w:val="0"/>
          <w:sz w:val="24"/>
          <w:szCs w:val="24"/>
        </w:rPr>
        <w:t>.</w:t>
      </w:r>
      <w:r>
        <w:rPr>
          <w:rFonts w:ascii="宋体" w:hAnsi="宋体"/>
          <w:bCs/>
          <w:kern w:val="0"/>
          <w:sz w:val="24"/>
          <w:szCs w:val="24"/>
        </w:rPr>
        <w:t>5</w:t>
      </w:r>
      <w:r>
        <w:rPr>
          <w:rFonts w:hint="eastAsia" w:ascii="宋体" w:hAnsi="宋体"/>
          <w:bCs/>
          <w:kern w:val="0"/>
          <w:sz w:val="24"/>
          <w:szCs w:val="24"/>
        </w:rPr>
        <w:t>投标方指导供货范围内的安装调试，并对安装调试的正确性负全部责任。</w:t>
      </w:r>
    </w:p>
    <w:p w14:paraId="44339748">
      <w:pPr>
        <w:spacing w:line="360" w:lineRule="auto"/>
        <w:rPr>
          <w:rFonts w:ascii="宋体" w:hAnsi="宋体"/>
          <w:bCs/>
          <w:kern w:val="0"/>
          <w:sz w:val="24"/>
          <w:szCs w:val="24"/>
        </w:rPr>
      </w:pPr>
      <w:r>
        <w:rPr>
          <w:rFonts w:hint="eastAsia" w:ascii="宋体" w:hAnsi="宋体"/>
          <w:bCs/>
          <w:kern w:val="0"/>
          <w:sz w:val="24"/>
          <w:szCs w:val="24"/>
          <w:lang w:val="en-US" w:eastAsia="zh-CN"/>
        </w:rPr>
        <w:t>6.5</w:t>
      </w:r>
      <w:r>
        <w:rPr>
          <w:rFonts w:hint="eastAsia" w:ascii="宋体" w:hAnsi="宋体"/>
          <w:bCs/>
          <w:kern w:val="0"/>
          <w:sz w:val="24"/>
          <w:szCs w:val="24"/>
        </w:rPr>
        <w:t>.</w:t>
      </w:r>
      <w:r>
        <w:rPr>
          <w:rFonts w:ascii="宋体" w:hAnsi="宋体"/>
          <w:bCs/>
          <w:kern w:val="0"/>
          <w:sz w:val="24"/>
          <w:szCs w:val="24"/>
        </w:rPr>
        <w:t>6</w:t>
      </w:r>
      <w:r>
        <w:rPr>
          <w:rFonts w:hint="eastAsia" w:ascii="宋体" w:hAnsi="宋体"/>
          <w:bCs/>
          <w:kern w:val="0"/>
          <w:sz w:val="24"/>
          <w:szCs w:val="24"/>
        </w:rPr>
        <w:t xml:space="preserve"> 安装完成，投标方提交最终安装完成报告。</w:t>
      </w:r>
    </w:p>
    <w:p w14:paraId="15973D08">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72" w:name="_Toc6907169"/>
      <w:bookmarkStart w:id="173" w:name="_Toc501375890"/>
      <w:r>
        <w:rPr>
          <w:rFonts w:hint="eastAsia" w:asciiTheme="minorEastAsia" w:hAnsiTheme="minorEastAsia" w:eastAsiaTheme="minorEastAsia"/>
          <w:bCs w:val="0"/>
          <w:kern w:val="2"/>
          <w:sz w:val="24"/>
          <w:szCs w:val="20"/>
          <w:lang w:val="en-US" w:eastAsia="zh-CN"/>
        </w:rPr>
        <w:t xml:space="preserve">7 </w:t>
      </w:r>
      <w:r>
        <w:rPr>
          <w:rFonts w:hint="eastAsia" w:asciiTheme="minorEastAsia" w:hAnsiTheme="minorEastAsia" w:eastAsiaTheme="minorEastAsia"/>
          <w:bCs w:val="0"/>
          <w:kern w:val="2"/>
          <w:sz w:val="24"/>
          <w:szCs w:val="20"/>
        </w:rPr>
        <w:t>培训</w:t>
      </w:r>
      <w:bookmarkEnd w:id="168"/>
      <w:bookmarkEnd w:id="169"/>
      <w:bookmarkEnd w:id="170"/>
      <w:bookmarkEnd w:id="171"/>
      <w:bookmarkEnd w:id="172"/>
      <w:bookmarkEnd w:id="173"/>
    </w:p>
    <w:p w14:paraId="37482953">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74" w:name="_Toc327177028"/>
      <w:bookmarkStart w:id="175" w:name="_Toc501375891"/>
      <w:bookmarkStart w:id="176" w:name="_Toc6907170"/>
      <w:bookmarkStart w:id="177" w:name="_Toc432229361"/>
      <w:bookmarkStart w:id="178" w:name="_Toc250576550"/>
      <w:bookmarkStart w:id="179" w:name="_Toc19176"/>
      <w:bookmarkStart w:id="180" w:name="_Toc355684101"/>
      <w:r>
        <w:rPr>
          <w:rFonts w:hint="eastAsia" w:asciiTheme="minorEastAsia" w:hAnsiTheme="minorEastAsia" w:eastAsiaTheme="minorEastAsia"/>
          <w:bCs w:val="0"/>
          <w:kern w:val="2"/>
          <w:sz w:val="24"/>
          <w:szCs w:val="20"/>
          <w:lang w:val="en-US" w:eastAsia="zh-CN"/>
        </w:rPr>
        <w:t>7</w:t>
      </w:r>
      <w:r>
        <w:rPr>
          <w:rFonts w:hint="eastAsia" w:asciiTheme="minorEastAsia" w:hAnsiTheme="minorEastAsia" w:eastAsiaTheme="minorEastAsia"/>
          <w:bCs w:val="0"/>
          <w:kern w:val="2"/>
          <w:sz w:val="24"/>
          <w:szCs w:val="20"/>
        </w:rPr>
        <w:t>.1培训内容</w:t>
      </w:r>
      <w:bookmarkEnd w:id="174"/>
      <w:bookmarkEnd w:id="175"/>
      <w:bookmarkEnd w:id="176"/>
    </w:p>
    <w:p w14:paraId="3E86BE8A">
      <w:pPr>
        <w:spacing w:line="360" w:lineRule="auto"/>
        <w:rPr>
          <w:rFonts w:ascii="宋体" w:hAnsi="宋体"/>
          <w:bCs/>
          <w:kern w:val="0"/>
          <w:sz w:val="24"/>
          <w:szCs w:val="24"/>
        </w:rPr>
      </w:pPr>
      <w:r>
        <w:rPr>
          <w:rFonts w:hint="eastAsia" w:ascii="宋体" w:hAnsi="宋体"/>
          <w:bCs/>
          <w:kern w:val="0"/>
          <w:sz w:val="24"/>
          <w:szCs w:val="24"/>
          <w:lang w:val="en-US" w:eastAsia="zh-CN"/>
        </w:rPr>
        <w:t>7</w:t>
      </w:r>
      <w:r>
        <w:rPr>
          <w:rFonts w:hint="eastAsia" w:ascii="宋体" w:hAnsi="宋体"/>
          <w:bCs/>
          <w:kern w:val="0"/>
          <w:sz w:val="24"/>
          <w:szCs w:val="24"/>
        </w:rPr>
        <w:t>.1.1操作使用方法和要求、安全事项要求</w:t>
      </w:r>
    </w:p>
    <w:p w14:paraId="03958FED">
      <w:pPr>
        <w:spacing w:line="360" w:lineRule="auto"/>
        <w:rPr>
          <w:rFonts w:ascii="宋体" w:hAnsi="宋体"/>
          <w:bCs/>
          <w:kern w:val="0"/>
          <w:sz w:val="24"/>
          <w:szCs w:val="24"/>
        </w:rPr>
      </w:pPr>
      <w:r>
        <w:rPr>
          <w:rFonts w:hint="eastAsia" w:ascii="宋体" w:hAnsi="宋体"/>
          <w:bCs/>
          <w:kern w:val="0"/>
          <w:sz w:val="24"/>
          <w:szCs w:val="24"/>
          <w:lang w:val="en-US" w:eastAsia="zh-CN"/>
        </w:rPr>
        <w:t>7</w:t>
      </w:r>
      <w:r>
        <w:rPr>
          <w:rFonts w:hint="eastAsia" w:ascii="宋体" w:hAnsi="宋体"/>
          <w:bCs/>
          <w:kern w:val="0"/>
          <w:sz w:val="24"/>
          <w:szCs w:val="24"/>
        </w:rPr>
        <w:t>.1.2维护保养方法和要求</w:t>
      </w:r>
    </w:p>
    <w:p w14:paraId="26FAA51D">
      <w:pPr>
        <w:spacing w:line="360" w:lineRule="auto"/>
        <w:rPr>
          <w:rFonts w:ascii="宋体" w:hAnsi="宋体"/>
          <w:bCs/>
          <w:kern w:val="0"/>
          <w:sz w:val="24"/>
          <w:szCs w:val="24"/>
        </w:rPr>
      </w:pPr>
      <w:r>
        <w:rPr>
          <w:rFonts w:hint="eastAsia" w:ascii="宋体" w:hAnsi="宋体"/>
          <w:bCs/>
          <w:kern w:val="0"/>
          <w:sz w:val="24"/>
          <w:szCs w:val="24"/>
          <w:lang w:val="en-US" w:eastAsia="zh-CN"/>
        </w:rPr>
        <w:t>7</w:t>
      </w:r>
      <w:r>
        <w:rPr>
          <w:rFonts w:hint="eastAsia" w:ascii="宋体" w:hAnsi="宋体"/>
          <w:bCs/>
          <w:kern w:val="0"/>
          <w:sz w:val="24"/>
          <w:szCs w:val="24"/>
        </w:rPr>
        <w:t>.1.3设备故障的判断和处理程序</w:t>
      </w:r>
    </w:p>
    <w:p w14:paraId="6E9B7F99">
      <w:pPr>
        <w:spacing w:line="360" w:lineRule="auto"/>
        <w:rPr>
          <w:rFonts w:ascii="宋体" w:hAnsi="宋体"/>
          <w:bCs/>
          <w:kern w:val="0"/>
          <w:sz w:val="24"/>
          <w:szCs w:val="24"/>
        </w:rPr>
      </w:pPr>
      <w:r>
        <w:rPr>
          <w:rFonts w:hint="eastAsia" w:ascii="宋体" w:hAnsi="宋体"/>
          <w:bCs/>
          <w:kern w:val="0"/>
          <w:sz w:val="24"/>
          <w:szCs w:val="24"/>
          <w:lang w:val="en-US" w:eastAsia="zh-CN"/>
        </w:rPr>
        <w:t>7</w:t>
      </w:r>
      <w:r>
        <w:rPr>
          <w:rFonts w:hint="eastAsia" w:ascii="宋体" w:hAnsi="宋体"/>
          <w:bCs/>
          <w:kern w:val="0"/>
          <w:sz w:val="24"/>
          <w:szCs w:val="24"/>
        </w:rPr>
        <w:t>.1.4软件编程方法和要求</w:t>
      </w:r>
    </w:p>
    <w:p w14:paraId="40DF9A30">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81" w:name="_Toc327177029"/>
      <w:bookmarkStart w:id="182" w:name="_Toc6907171"/>
      <w:bookmarkStart w:id="183" w:name="_Toc501375892"/>
      <w:r>
        <w:rPr>
          <w:rFonts w:hint="eastAsia" w:asciiTheme="minorEastAsia" w:hAnsiTheme="minorEastAsia" w:eastAsiaTheme="minorEastAsia"/>
          <w:bCs w:val="0"/>
          <w:kern w:val="2"/>
          <w:sz w:val="24"/>
          <w:szCs w:val="20"/>
          <w:lang w:val="en-US" w:eastAsia="zh-CN"/>
        </w:rPr>
        <w:t>7</w:t>
      </w:r>
      <w:r>
        <w:rPr>
          <w:rFonts w:hint="eastAsia" w:asciiTheme="minorEastAsia" w:hAnsiTheme="minorEastAsia" w:eastAsiaTheme="minorEastAsia"/>
          <w:bCs w:val="0"/>
          <w:kern w:val="2"/>
          <w:sz w:val="24"/>
          <w:szCs w:val="20"/>
        </w:rPr>
        <w:t>.2培训方式</w:t>
      </w:r>
      <w:bookmarkEnd w:id="181"/>
      <w:bookmarkEnd w:id="182"/>
      <w:bookmarkEnd w:id="183"/>
    </w:p>
    <w:p w14:paraId="5B2F1536">
      <w:pPr>
        <w:spacing w:line="360" w:lineRule="auto"/>
        <w:rPr>
          <w:rFonts w:ascii="宋体" w:hAnsi="宋体"/>
          <w:bCs/>
          <w:kern w:val="0"/>
          <w:sz w:val="24"/>
          <w:szCs w:val="24"/>
        </w:rPr>
      </w:pPr>
      <w:r>
        <w:rPr>
          <w:rFonts w:hint="eastAsia" w:ascii="宋体" w:hAnsi="宋体"/>
          <w:bCs/>
          <w:kern w:val="0"/>
          <w:sz w:val="24"/>
          <w:szCs w:val="24"/>
          <w:lang w:val="en-US" w:eastAsia="zh-CN"/>
        </w:rPr>
        <w:t>7</w:t>
      </w:r>
      <w:r>
        <w:rPr>
          <w:rFonts w:hint="eastAsia" w:ascii="宋体" w:hAnsi="宋体"/>
          <w:bCs/>
          <w:kern w:val="0"/>
          <w:sz w:val="24"/>
          <w:szCs w:val="24"/>
        </w:rPr>
        <w:t>.2.</w:t>
      </w:r>
      <w:r>
        <w:rPr>
          <w:rFonts w:hint="eastAsia" w:ascii="宋体" w:hAnsi="宋体"/>
          <w:bCs/>
          <w:kern w:val="0"/>
          <w:sz w:val="24"/>
          <w:szCs w:val="24"/>
          <w:lang w:val="en-US" w:eastAsia="zh-CN"/>
        </w:rPr>
        <w:t>1</w:t>
      </w:r>
      <w:r>
        <w:rPr>
          <w:rFonts w:hint="eastAsia" w:ascii="宋体" w:hAnsi="宋体"/>
          <w:bCs/>
          <w:kern w:val="0"/>
          <w:sz w:val="24"/>
          <w:szCs w:val="24"/>
        </w:rPr>
        <w:t xml:space="preserve"> 投标方在设备安装、调试和运行过程中，在招标方设备安装现场，对招标方有关人员进行正式培训，培训时间不少于</w:t>
      </w:r>
      <w:r>
        <w:rPr>
          <w:rFonts w:hint="eastAsia" w:ascii="宋体" w:hAnsi="宋体"/>
          <w:bCs/>
          <w:kern w:val="0"/>
          <w:sz w:val="24"/>
          <w:szCs w:val="24"/>
          <w:lang w:val="en-US" w:eastAsia="zh-CN"/>
        </w:rPr>
        <w:t>2</w:t>
      </w:r>
      <w:r>
        <w:rPr>
          <w:rFonts w:hint="eastAsia" w:ascii="宋体" w:hAnsi="宋体"/>
          <w:bCs/>
          <w:kern w:val="0"/>
          <w:sz w:val="24"/>
          <w:szCs w:val="24"/>
        </w:rPr>
        <w:t>工作日。</w:t>
      </w:r>
    </w:p>
    <w:p w14:paraId="5E3FAE19">
      <w:pPr>
        <w:spacing w:line="360" w:lineRule="auto"/>
        <w:rPr>
          <w:rFonts w:ascii="宋体" w:hAnsi="宋体"/>
          <w:bCs/>
          <w:kern w:val="0"/>
          <w:sz w:val="24"/>
          <w:szCs w:val="24"/>
        </w:rPr>
      </w:pPr>
      <w:r>
        <w:rPr>
          <w:rFonts w:hint="eastAsia" w:ascii="宋体" w:hAnsi="宋体"/>
          <w:bCs/>
          <w:kern w:val="0"/>
          <w:sz w:val="24"/>
          <w:szCs w:val="24"/>
          <w:lang w:val="en-US" w:eastAsia="zh-CN"/>
        </w:rPr>
        <w:t>7</w:t>
      </w:r>
      <w:r>
        <w:rPr>
          <w:rFonts w:hint="eastAsia" w:ascii="宋体" w:hAnsi="宋体"/>
          <w:bCs/>
          <w:kern w:val="0"/>
          <w:sz w:val="24"/>
          <w:szCs w:val="24"/>
        </w:rPr>
        <w:t>.2.</w:t>
      </w:r>
      <w:r>
        <w:rPr>
          <w:rFonts w:hint="eastAsia" w:ascii="宋体" w:hAnsi="宋体"/>
          <w:bCs/>
          <w:kern w:val="0"/>
          <w:sz w:val="24"/>
          <w:szCs w:val="24"/>
          <w:lang w:val="en-US" w:eastAsia="zh-CN"/>
        </w:rPr>
        <w:t>2</w:t>
      </w:r>
      <w:r>
        <w:rPr>
          <w:rFonts w:hint="eastAsia" w:ascii="宋体" w:hAnsi="宋体"/>
          <w:bCs/>
          <w:kern w:val="0"/>
          <w:sz w:val="24"/>
          <w:szCs w:val="24"/>
        </w:rPr>
        <w:t xml:space="preserve"> 必要时投标方根据招标方需要，在验收前安排招标方维修人员参与设备或生产线的安装调试，以达到培训维修人员的目的。</w:t>
      </w:r>
    </w:p>
    <w:p w14:paraId="3359CAE3">
      <w:pPr>
        <w:pStyle w:val="3"/>
        <w:keepNext w:val="0"/>
        <w:keepLines w:val="0"/>
        <w:numPr>
          <w:ilvl w:val="0"/>
          <w:numId w:val="0"/>
        </w:numPr>
        <w:spacing w:before="0" w:after="0" w:line="360" w:lineRule="auto"/>
        <w:rPr>
          <w:rFonts w:ascii="宋体" w:hAnsi="宋体"/>
          <w:sz w:val="24"/>
          <w:szCs w:val="24"/>
        </w:rPr>
      </w:pPr>
      <w:bookmarkStart w:id="184" w:name="_Toc6907172"/>
      <w:r>
        <w:rPr>
          <w:rFonts w:hint="eastAsia" w:ascii="宋体" w:hAnsi="宋体"/>
          <w:sz w:val="24"/>
          <w:szCs w:val="24"/>
          <w:lang w:val="en-US" w:eastAsia="zh-CN"/>
        </w:rPr>
        <w:t>7</w:t>
      </w:r>
      <w:r>
        <w:rPr>
          <w:rFonts w:hint="eastAsia" w:ascii="宋体" w:hAnsi="宋体"/>
          <w:sz w:val="24"/>
          <w:szCs w:val="24"/>
        </w:rPr>
        <w:t>.3技术培训效果</w:t>
      </w:r>
      <w:bookmarkEnd w:id="184"/>
    </w:p>
    <w:p w14:paraId="2DC1E3C0">
      <w:pPr>
        <w:tabs>
          <w:tab w:val="left" w:pos="1820"/>
        </w:tabs>
        <w:adjustRightInd w:val="0"/>
        <w:snapToGrid w:val="0"/>
        <w:spacing w:line="360" w:lineRule="auto"/>
        <w:rPr>
          <w:rFonts w:ascii="宋体" w:hAnsi="宋体"/>
          <w:sz w:val="24"/>
          <w:szCs w:val="24"/>
        </w:rPr>
      </w:pPr>
      <w:r>
        <w:rPr>
          <w:rFonts w:hint="eastAsia" w:ascii="宋体" w:hAnsi="宋体"/>
          <w:sz w:val="24"/>
          <w:szCs w:val="24"/>
          <w:lang w:val="en-US" w:eastAsia="zh-CN"/>
        </w:rPr>
        <w:t>7</w:t>
      </w:r>
      <w:r>
        <w:rPr>
          <w:rFonts w:ascii="宋体" w:hAnsi="宋体"/>
          <w:sz w:val="24"/>
          <w:szCs w:val="24"/>
        </w:rPr>
        <w:t>.3.1</w:t>
      </w:r>
      <w:r>
        <w:rPr>
          <w:rFonts w:hint="eastAsia" w:ascii="宋体" w:hAnsi="宋体"/>
          <w:sz w:val="24"/>
          <w:szCs w:val="24"/>
        </w:rPr>
        <w:t>达到安全操作和正确使用的技能。</w:t>
      </w:r>
    </w:p>
    <w:p w14:paraId="27E267B2">
      <w:pPr>
        <w:adjustRightInd w:val="0"/>
        <w:snapToGrid w:val="0"/>
        <w:spacing w:line="360" w:lineRule="auto"/>
        <w:rPr>
          <w:rFonts w:ascii="宋体" w:hAnsi="宋体"/>
          <w:sz w:val="24"/>
          <w:szCs w:val="24"/>
        </w:rPr>
      </w:pPr>
      <w:r>
        <w:rPr>
          <w:rFonts w:hint="eastAsia" w:ascii="宋体" w:hAnsi="宋体"/>
          <w:sz w:val="24"/>
          <w:szCs w:val="24"/>
          <w:lang w:val="en-US" w:eastAsia="zh-CN"/>
        </w:rPr>
        <w:t>7</w:t>
      </w:r>
      <w:r>
        <w:rPr>
          <w:rFonts w:ascii="宋体" w:hAnsi="宋体"/>
          <w:sz w:val="24"/>
          <w:szCs w:val="24"/>
        </w:rPr>
        <w:t>.3.2</w:t>
      </w:r>
      <w:r>
        <w:rPr>
          <w:rFonts w:hint="eastAsia" w:ascii="宋体" w:hAnsi="宋体"/>
          <w:sz w:val="24"/>
          <w:szCs w:val="24"/>
        </w:rPr>
        <w:t>达到正确检修、维护和排除故障的水平。</w:t>
      </w:r>
    </w:p>
    <w:p w14:paraId="05C86D68">
      <w:p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7</w:t>
      </w:r>
      <w:r>
        <w:rPr>
          <w:rFonts w:ascii="宋体" w:hAnsi="宋体"/>
          <w:sz w:val="24"/>
          <w:szCs w:val="24"/>
        </w:rPr>
        <w:t>.3.3</w:t>
      </w:r>
      <w:r>
        <w:rPr>
          <w:rFonts w:hint="eastAsia" w:ascii="宋体" w:hAnsi="宋体"/>
          <w:sz w:val="24"/>
          <w:szCs w:val="24"/>
        </w:rPr>
        <w:t>设备在试用过程中，对不符合合同技术要求的设备或零部件应予以更换或修复，所需费用应由供方承担。</w:t>
      </w:r>
    </w:p>
    <w:p w14:paraId="75B7D177">
      <w:p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7</w:t>
      </w:r>
      <w:r>
        <w:rPr>
          <w:rFonts w:ascii="宋体" w:hAnsi="宋体"/>
          <w:sz w:val="24"/>
          <w:szCs w:val="24"/>
        </w:rPr>
        <w:t>.3.4</w:t>
      </w:r>
      <w:r>
        <w:rPr>
          <w:rFonts w:hint="eastAsia" w:ascii="宋体" w:hAnsi="宋体"/>
          <w:sz w:val="24"/>
          <w:szCs w:val="24"/>
        </w:rPr>
        <w:t>以上培训和试用过程中供方更换或修理设备及零部件所发生的费用全部由供方承担（即免费为需方提供服务）。</w:t>
      </w:r>
    </w:p>
    <w:p w14:paraId="7921D5B9">
      <w:pPr>
        <w:pStyle w:val="3"/>
        <w:keepNext w:val="0"/>
        <w:keepLines w:val="0"/>
        <w:numPr>
          <w:ilvl w:val="0"/>
          <w:numId w:val="0"/>
        </w:numPr>
        <w:spacing w:beforeLines="50" w:after="0" w:line="360" w:lineRule="auto"/>
        <w:rPr>
          <w:rFonts w:asciiTheme="minorEastAsia" w:hAnsiTheme="minorEastAsia" w:eastAsiaTheme="minorEastAsia"/>
          <w:bCs w:val="0"/>
          <w:kern w:val="2"/>
          <w:sz w:val="24"/>
          <w:szCs w:val="20"/>
        </w:rPr>
      </w:pPr>
      <w:bookmarkStart w:id="185" w:name="_Toc501375893"/>
      <w:bookmarkStart w:id="186" w:name="_Toc6907173"/>
      <w:bookmarkStart w:id="187" w:name="_Toc327177024"/>
      <w:r>
        <w:rPr>
          <w:rFonts w:hint="eastAsia" w:asciiTheme="minorEastAsia" w:hAnsiTheme="minorEastAsia" w:eastAsiaTheme="minorEastAsia"/>
          <w:bCs w:val="0"/>
          <w:kern w:val="2"/>
          <w:sz w:val="24"/>
          <w:szCs w:val="20"/>
          <w:lang w:val="en-US" w:eastAsia="zh-CN"/>
        </w:rPr>
        <w:t>8</w:t>
      </w:r>
      <w:r>
        <w:rPr>
          <w:rFonts w:hint="eastAsia" w:asciiTheme="minorEastAsia" w:hAnsiTheme="minorEastAsia" w:eastAsiaTheme="minorEastAsia"/>
          <w:bCs w:val="0"/>
          <w:kern w:val="2"/>
          <w:sz w:val="24"/>
          <w:szCs w:val="20"/>
        </w:rPr>
        <w:t xml:space="preserve">  验收</w:t>
      </w:r>
      <w:bookmarkEnd w:id="185"/>
      <w:bookmarkEnd w:id="186"/>
      <w:bookmarkEnd w:id="187"/>
    </w:p>
    <w:p w14:paraId="5E5BF4E9">
      <w:pPr>
        <w:snapToGrid w:val="0"/>
        <w:spacing w:line="360" w:lineRule="auto"/>
        <w:rPr>
          <w:rFonts w:asciiTheme="minorEastAsia" w:hAnsiTheme="minorEastAsia" w:eastAsiaTheme="minorEastAsia"/>
          <w:spacing w:val="4"/>
          <w:sz w:val="24"/>
        </w:rPr>
      </w:pPr>
      <w:r>
        <w:rPr>
          <w:rFonts w:hint="eastAsia" w:ascii="宋体" w:hAnsi="宋体"/>
          <w:sz w:val="24"/>
        </w:rPr>
        <w:t>投标方向招标方提出终验收申请，招标方开始对投标方项目进行终验收，验收条件如下：</w:t>
      </w:r>
    </w:p>
    <w:p w14:paraId="6E0EF277">
      <w:pPr>
        <w:spacing w:line="360" w:lineRule="auto"/>
        <w:rPr>
          <w:rFonts w:ascii="宋体" w:hAnsi="宋体"/>
          <w:sz w:val="24"/>
        </w:rPr>
      </w:pPr>
      <w:r>
        <w:rPr>
          <w:rFonts w:hint="eastAsia" w:ascii="宋体" w:hAnsi="宋体"/>
          <w:sz w:val="24"/>
          <w:lang w:val="en-US" w:eastAsia="zh-CN"/>
        </w:rPr>
        <w:t>8</w:t>
      </w:r>
      <w:r>
        <w:rPr>
          <w:rFonts w:hint="eastAsia" w:ascii="宋体" w:hAnsi="宋体"/>
          <w:sz w:val="24"/>
        </w:rPr>
        <w:t>.1 投标方将所有供货范围内的工装设备及备件完全交付给招标方；</w:t>
      </w:r>
    </w:p>
    <w:p w14:paraId="54FDA758">
      <w:pPr>
        <w:spacing w:line="360" w:lineRule="auto"/>
        <w:rPr>
          <w:rFonts w:ascii="宋体" w:hAnsi="宋体"/>
          <w:sz w:val="24"/>
        </w:rPr>
      </w:pPr>
      <w:r>
        <w:rPr>
          <w:rFonts w:hint="eastAsia" w:ascii="宋体" w:hAnsi="宋体"/>
          <w:sz w:val="24"/>
          <w:lang w:val="en-US" w:eastAsia="zh-CN"/>
        </w:rPr>
        <w:t>8</w:t>
      </w:r>
      <w:r>
        <w:rPr>
          <w:rFonts w:hint="eastAsia" w:ascii="宋体" w:hAnsi="宋体"/>
          <w:sz w:val="24"/>
        </w:rPr>
        <w:t>2 投标方完成供货范围的安装、调试；</w:t>
      </w:r>
    </w:p>
    <w:p w14:paraId="0F0B4656">
      <w:pPr>
        <w:spacing w:line="360" w:lineRule="auto"/>
        <w:rPr>
          <w:rFonts w:ascii="宋体" w:hAnsi="宋体"/>
          <w:b/>
          <w:sz w:val="24"/>
          <w:szCs w:val="24"/>
        </w:rPr>
      </w:pPr>
      <w:r>
        <w:rPr>
          <w:rFonts w:hint="eastAsia" w:ascii="宋体" w:hAnsi="宋体"/>
          <w:sz w:val="24"/>
          <w:lang w:val="en-US" w:eastAsia="zh-CN"/>
        </w:rPr>
        <w:t>8</w:t>
      </w:r>
      <w:r>
        <w:rPr>
          <w:rFonts w:hint="eastAsia" w:ascii="宋体" w:hAnsi="宋体"/>
          <w:sz w:val="24"/>
        </w:rPr>
        <w:t>.3 投标方完成对招标方相关人员的培训，并达到培训目的；</w:t>
      </w:r>
    </w:p>
    <w:p w14:paraId="5BCC138B">
      <w:pPr>
        <w:spacing w:line="360" w:lineRule="auto"/>
        <w:rPr>
          <w:rFonts w:ascii="宋体" w:hAnsi="宋体"/>
          <w:sz w:val="24"/>
          <w:szCs w:val="22"/>
        </w:rPr>
      </w:pPr>
      <w:r>
        <w:rPr>
          <w:rFonts w:hint="eastAsia" w:ascii="宋体" w:hAnsi="宋体"/>
          <w:sz w:val="24"/>
          <w:lang w:val="en-US" w:eastAsia="zh-CN"/>
        </w:rPr>
        <w:t>8</w:t>
      </w:r>
      <w:r>
        <w:rPr>
          <w:rFonts w:hint="eastAsia" w:ascii="宋体" w:hAnsi="宋体"/>
          <w:sz w:val="24"/>
        </w:rPr>
        <w:t>.4 投标方供货范围内工装设备的所有档案资料齐全，并交付给招标方；</w:t>
      </w:r>
    </w:p>
    <w:p w14:paraId="46390E21">
      <w:pPr>
        <w:pStyle w:val="3"/>
        <w:keepNext w:val="0"/>
        <w:keepLines w:val="0"/>
        <w:numPr>
          <w:ilvl w:val="0"/>
          <w:numId w:val="0"/>
        </w:numPr>
        <w:spacing w:beforeLines="50" w:after="0" w:line="360" w:lineRule="auto"/>
        <w:rPr>
          <w:rFonts w:asciiTheme="minorEastAsia" w:hAnsiTheme="minorEastAsia" w:eastAsiaTheme="minorEastAsia"/>
          <w:bCs w:val="0"/>
          <w:kern w:val="2"/>
          <w:sz w:val="24"/>
          <w:szCs w:val="20"/>
        </w:rPr>
      </w:pPr>
      <w:bookmarkStart w:id="188" w:name="_Toc501375894"/>
      <w:bookmarkStart w:id="189" w:name="_Toc6907174"/>
      <w:bookmarkStart w:id="190" w:name="_Toc365918675"/>
      <w:r>
        <w:rPr>
          <w:rFonts w:hint="eastAsia" w:asciiTheme="minorEastAsia" w:hAnsiTheme="minorEastAsia" w:eastAsiaTheme="minorEastAsia"/>
          <w:bCs w:val="0"/>
          <w:kern w:val="2"/>
          <w:sz w:val="24"/>
          <w:szCs w:val="20"/>
          <w:lang w:val="en-US" w:eastAsia="zh-CN"/>
        </w:rPr>
        <w:t>9</w:t>
      </w:r>
      <w:r>
        <w:rPr>
          <w:rFonts w:hint="eastAsia" w:asciiTheme="minorEastAsia" w:hAnsiTheme="minorEastAsia" w:eastAsiaTheme="minorEastAsia"/>
          <w:bCs w:val="0"/>
          <w:kern w:val="2"/>
          <w:sz w:val="24"/>
          <w:szCs w:val="20"/>
        </w:rPr>
        <w:t>质保及技术服务</w:t>
      </w:r>
      <w:bookmarkEnd w:id="188"/>
      <w:bookmarkEnd w:id="189"/>
      <w:bookmarkEnd w:id="190"/>
    </w:p>
    <w:p w14:paraId="75ADF5C1">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91" w:name="_Toc6907175"/>
      <w:bookmarkStart w:id="192" w:name="_Toc501375895"/>
      <w:bookmarkStart w:id="193" w:name="_Toc365918676"/>
      <w:r>
        <w:rPr>
          <w:rFonts w:hint="eastAsia" w:asciiTheme="minorEastAsia" w:hAnsiTheme="minorEastAsia" w:eastAsiaTheme="minorEastAsia"/>
          <w:bCs w:val="0"/>
          <w:kern w:val="2"/>
          <w:sz w:val="24"/>
          <w:szCs w:val="20"/>
          <w:lang w:val="en-US" w:eastAsia="zh-CN"/>
        </w:rPr>
        <w:t>9</w:t>
      </w:r>
      <w:r>
        <w:rPr>
          <w:rFonts w:hint="eastAsia" w:asciiTheme="minorEastAsia" w:hAnsiTheme="minorEastAsia" w:eastAsiaTheme="minorEastAsia"/>
          <w:bCs w:val="0"/>
          <w:kern w:val="2"/>
          <w:sz w:val="24"/>
          <w:szCs w:val="20"/>
        </w:rPr>
        <w:t>.1质保</w:t>
      </w:r>
      <w:bookmarkEnd w:id="191"/>
      <w:bookmarkEnd w:id="192"/>
      <w:bookmarkEnd w:id="193"/>
    </w:p>
    <w:p w14:paraId="2EFBDA13">
      <w:pPr>
        <w:spacing w:line="360" w:lineRule="auto"/>
        <w:rPr>
          <w:rFonts w:ascii="宋体" w:hAnsi="宋体"/>
          <w:sz w:val="24"/>
        </w:rPr>
      </w:pPr>
      <w:r>
        <w:rPr>
          <w:rFonts w:hint="eastAsia" w:ascii="宋体" w:hAnsi="宋体"/>
          <w:sz w:val="24"/>
        </w:rPr>
        <w:t>保修期限为最终验收合格后</w:t>
      </w:r>
      <w:r>
        <w:rPr>
          <w:rFonts w:hint="eastAsia" w:ascii="宋体" w:hAnsi="宋体"/>
          <w:sz w:val="24"/>
          <w:lang w:val="en-US" w:eastAsia="zh-CN"/>
        </w:rPr>
        <w:t>1</w:t>
      </w:r>
      <w:r>
        <w:rPr>
          <w:rFonts w:hint="eastAsia" w:ascii="宋体" w:hAnsi="宋体"/>
          <w:sz w:val="24"/>
        </w:rPr>
        <w:t>年。</w:t>
      </w:r>
    </w:p>
    <w:p w14:paraId="57D42167">
      <w:pPr>
        <w:pStyle w:val="3"/>
        <w:keepNext w:val="0"/>
        <w:keepLines w:val="0"/>
        <w:numPr>
          <w:ilvl w:val="0"/>
          <w:numId w:val="0"/>
        </w:numPr>
        <w:spacing w:before="0" w:after="0" w:line="360" w:lineRule="auto"/>
        <w:rPr>
          <w:rFonts w:asciiTheme="minorEastAsia" w:hAnsiTheme="minorEastAsia" w:eastAsiaTheme="minorEastAsia"/>
          <w:bCs w:val="0"/>
          <w:kern w:val="2"/>
          <w:sz w:val="24"/>
          <w:szCs w:val="20"/>
        </w:rPr>
      </w:pPr>
      <w:bookmarkStart w:id="194" w:name="_Toc6907176"/>
      <w:bookmarkStart w:id="195" w:name="_Toc365918677"/>
      <w:bookmarkStart w:id="196" w:name="_Toc501375896"/>
      <w:r>
        <w:rPr>
          <w:rFonts w:hint="eastAsia" w:asciiTheme="minorEastAsia" w:hAnsiTheme="minorEastAsia" w:eastAsiaTheme="minorEastAsia"/>
          <w:bCs w:val="0"/>
          <w:kern w:val="2"/>
          <w:sz w:val="24"/>
          <w:szCs w:val="20"/>
          <w:lang w:val="en-US" w:eastAsia="zh-CN"/>
        </w:rPr>
        <w:t>9</w:t>
      </w:r>
      <w:r>
        <w:rPr>
          <w:rFonts w:hint="eastAsia" w:asciiTheme="minorEastAsia" w:hAnsiTheme="minorEastAsia" w:eastAsiaTheme="minorEastAsia"/>
          <w:bCs w:val="0"/>
          <w:kern w:val="2"/>
          <w:sz w:val="24"/>
          <w:szCs w:val="20"/>
        </w:rPr>
        <w:t>.2技术服务</w:t>
      </w:r>
      <w:bookmarkEnd w:id="194"/>
      <w:bookmarkEnd w:id="195"/>
      <w:bookmarkEnd w:id="196"/>
    </w:p>
    <w:p w14:paraId="46FD98D5">
      <w:pPr>
        <w:spacing w:line="360" w:lineRule="auto"/>
        <w:rPr>
          <w:rFonts w:ascii="宋体" w:hAnsi="宋体"/>
          <w:sz w:val="24"/>
        </w:rPr>
      </w:pPr>
      <w:r>
        <w:rPr>
          <w:rFonts w:hint="eastAsia" w:ascii="宋体" w:hAnsi="宋体"/>
          <w:sz w:val="24"/>
          <w:lang w:val="en-US" w:eastAsia="zh-CN"/>
        </w:rPr>
        <w:t>9</w:t>
      </w:r>
      <w:r>
        <w:rPr>
          <w:rFonts w:hint="eastAsia" w:ascii="宋体" w:hAnsi="宋体"/>
          <w:sz w:val="24"/>
        </w:rPr>
        <w:t>.2.1服务范围：在项目整个运行阶段，投标方都应在场。直到证明投标方所有设备都能达到招标方要求的关键</w:t>
      </w:r>
      <w:r>
        <w:rPr>
          <w:rFonts w:ascii="宋体" w:hAnsi="宋体"/>
          <w:sz w:val="24"/>
        </w:rPr>
        <w:t>参数</w:t>
      </w:r>
      <w:r>
        <w:rPr>
          <w:rFonts w:hint="eastAsia" w:ascii="宋体" w:hAnsi="宋体"/>
          <w:sz w:val="24"/>
        </w:rPr>
        <w:t>，并提供了完整的培训和资料以后，投标方的工作才视为结束。投标方无权因满足这些要求而增加的额外的投入向招标方提出增加费用的要求；</w:t>
      </w:r>
    </w:p>
    <w:p w14:paraId="6FEA537A">
      <w:pPr>
        <w:spacing w:line="360" w:lineRule="auto"/>
        <w:rPr>
          <w:rFonts w:ascii="宋体" w:hAnsi="宋体"/>
          <w:sz w:val="24"/>
        </w:rPr>
      </w:pPr>
      <w:r>
        <w:rPr>
          <w:rFonts w:hint="eastAsia" w:ascii="宋体" w:hAnsi="宋体"/>
          <w:sz w:val="24"/>
          <w:lang w:val="en-US" w:eastAsia="zh-CN"/>
        </w:rPr>
        <w:t>9</w:t>
      </w:r>
      <w:r>
        <w:rPr>
          <w:rFonts w:hint="eastAsia" w:ascii="宋体" w:hAnsi="宋体"/>
          <w:sz w:val="24"/>
        </w:rPr>
        <w:t>.2.2 服务期间，投标方所作的任何修改都必须在资料中更新，并将最新的资料交给招标方；</w:t>
      </w:r>
    </w:p>
    <w:p w14:paraId="7D04943B">
      <w:pPr>
        <w:spacing w:line="360" w:lineRule="auto"/>
        <w:rPr>
          <w:rFonts w:ascii="宋体" w:hAnsi="宋体"/>
          <w:sz w:val="24"/>
        </w:rPr>
      </w:pPr>
      <w:r>
        <w:rPr>
          <w:rFonts w:hint="eastAsia" w:ascii="宋体" w:hAnsi="宋体"/>
          <w:sz w:val="24"/>
          <w:lang w:val="en-US" w:eastAsia="zh-CN"/>
        </w:rPr>
        <w:t>9</w:t>
      </w:r>
      <w:r>
        <w:rPr>
          <w:rFonts w:hint="eastAsia" w:ascii="宋体" w:hAnsi="宋体"/>
          <w:sz w:val="24"/>
        </w:rPr>
        <w:t>.2.3 投标方在签订合同的同时，给出售后服务承诺书。在终验收合格后的</w:t>
      </w:r>
      <w:r>
        <w:rPr>
          <w:rFonts w:hint="eastAsia" w:ascii="宋体" w:hAnsi="宋体"/>
          <w:sz w:val="24"/>
          <w:lang w:val="en-US" w:eastAsia="zh-CN"/>
        </w:rPr>
        <w:t>1</w:t>
      </w:r>
      <w:r>
        <w:rPr>
          <w:rFonts w:hint="eastAsia" w:ascii="宋体" w:hAnsi="宋体"/>
          <w:sz w:val="24"/>
        </w:rPr>
        <w:t>年质保期内,正常使用条件下,如果设备质量问题出现问题或零件质量不稳定，招标方要求投标方在收到报修信息后在2小时内做出响应；投标方4-24小时内赶至招标方指定的焊装车间现场免费提供维修及更换零部件解决问题；对已发现有缺陷和需维修的设备，应该从维修完成后计起享有</w:t>
      </w:r>
      <w:r>
        <w:rPr>
          <w:rFonts w:hint="eastAsia" w:ascii="宋体" w:hAnsi="宋体"/>
          <w:sz w:val="24"/>
          <w:lang w:val="en-US" w:eastAsia="zh-CN"/>
        </w:rPr>
        <w:t>1</w:t>
      </w:r>
      <w:r>
        <w:rPr>
          <w:rFonts w:hint="eastAsia" w:ascii="宋体" w:hAnsi="宋体"/>
          <w:sz w:val="24"/>
        </w:rPr>
        <w:t>年的质量保证期；</w:t>
      </w:r>
    </w:p>
    <w:p w14:paraId="0A0EC691">
      <w:pPr>
        <w:spacing w:line="360" w:lineRule="auto"/>
        <w:rPr>
          <w:rFonts w:ascii="宋体" w:hAnsi="宋体"/>
          <w:sz w:val="24"/>
        </w:rPr>
      </w:pPr>
      <w:r>
        <w:rPr>
          <w:rFonts w:hint="eastAsia" w:ascii="宋体" w:hAnsi="宋体"/>
          <w:sz w:val="24"/>
          <w:lang w:val="en-US" w:eastAsia="zh-CN"/>
        </w:rPr>
        <w:t>9</w:t>
      </w:r>
      <w:r>
        <w:rPr>
          <w:rFonts w:hint="eastAsia" w:ascii="宋体" w:hAnsi="宋体"/>
          <w:sz w:val="24"/>
        </w:rPr>
        <w:t>.2.4 正常使用条件下，投标方保证焊装生产线除尘</w:t>
      </w:r>
      <w:r>
        <w:rPr>
          <w:rFonts w:ascii="宋体" w:hAnsi="宋体"/>
          <w:sz w:val="24"/>
        </w:rPr>
        <w:t>系统的</w:t>
      </w:r>
      <w:r>
        <w:rPr>
          <w:rFonts w:hint="eastAsia" w:ascii="宋体" w:hAnsi="宋体"/>
          <w:sz w:val="24"/>
        </w:rPr>
        <w:t>设计寿命；即使超过质保期，因投标方的设计，制造和材料缺陷等原因造成的除尘失效而影响使用，投标方必须根据招标方的要求，迅速修复，并承担全部费用；</w:t>
      </w:r>
    </w:p>
    <w:p w14:paraId="2FD7DF6E">
      <w:pPr>
        <w:spacing w:line="360" w:lineRule="auto"/>
        <w:rPr>
          <w:rFonts w:ascii="宋体" w:hAnsi="宋体"/>
          <w:sz w:val="24"/>
        </w:rPr>
      </w:pPr>
      <w:r>
        <w:rPr>
          <w:rFonts w:hint="eastAsia" w:ascii="宋体" w:hAnsi="宋体"/>
          <w:sz w:val="24"/>
          <w:lang w:val="en-US" w:eastAsia="zh-CN"/>
        </w:rPr>
        <w:t>9</w:t>
      </w:r>
      <w:r>
        <w:rPr>
          <w:rFonts w:hint="eastAsia" w:ascii="宋体" w:hAnsi="宋体"/>
          <w:sz w:val="24"/>
        </w:rPr>
        <w:t>.2.</w:t>
      </w:r>
      <w:r>
        <w:rPr>
          <w:rFonts w:hint="eastAsia" w:ascii="宋体" w:hAnsi="宋体"/>
          <w:sz w:val="24"/>
          <w:lang w:val="en-US" w:eastAsia="zh-CN"/>
        </w:rPr>
        <w:t>5</w:t>
      </w:r>
      <w:r>
        <w:rPr>
          <w:rFonts w:hint="eastAsia" w:ascii="宋体" w:hAnsi="宋体"/>
          <w:sz w:val="24"/>
        </w:rPr>
        <w:t xml:space="preserve"> 质保期满前1个月时, 投标方须派人员至招标方作一次无偿保养与检修（依投标方提供的检修及维护手册）,保养检修的时间须配合招标方非生产时间进行，并提出报告书。</w:t>
      </w:r>
    </w:p>
    <w:p w14:paraId="424304BA">
      <w:pPr>
        <w:spacing w:line="360" w:lineRule="auto"/>
        <w:rPr>
          <w:rFonts w:ascii="宋体" w:hAnsi="宋体"/>
          <w:sz w:val="24"/>
          <w:szCs w:val="24"/>
        </w:rPr>
      </w:pPr>
      <w:r>
        <w:rPr>
          <w:rFonts w:hint="eastAsia" w:ascii="宋体" w:hAnsi="宋体"/>
          <w:sz w:val="24"/>
          <w:szCs w:val="24"/>
          <w:lang w:val="en-US" w:eastAsia="zh-CN"/>
        </w:rPr>
        <w:t>9</w:t>
      </w:r>
      <w:r>
        <w:rPr>
          <w:rFonts w:ascii="宋体" w:hAnsi="宋体"/>
          <w:sz w:val="24"/>
          <w:szCs w:val="24"/>
        </w:rPr>
        <w:t>.2.</w:t>
      </w:r>
      <w:r>
        <w:rPr>
          <w:rFonts w:hint="eastAsia" w:ascii="宋体" w:hAnsi="宋体"/>
          <w:sz w:val="24"/>
          <w:szCs w:val="24"/>
          <w:lang w:val="en-US" w:eastAsia="zh-CN"/>
        </w:rPr>
        <w:t>6</w:t>
      </w:r>
      <w:r>
        <w:rPr>
          <w:rFonts w:hint="eastAsia" w:ascii="宋体" w:hAnsi="宋体"/>
          <w:sz w:val="24"/>
          <w:szCs w:val="24"/>
        </w:rPr>
        <w:t>当因产线状态改变须对设备进行调整时，投标方应提供技术支持。</w:t>
      </w:r>
    </w:p>
    <w:bookmarkEnd w:id="177"/>
    <w:bookmarkEnd w:id="178"/>
    <w:bookmarkEnd w:id="179"/>
    <w:bookmarkEnd w:id="180"/>
    <w:p w14:paraId="283E19F1">
      <w:pPr>
        <w:spacing w:line="360" w:lineRule="auto"/>
        <w:rPr>
          <w:rFonts w:asciiTheme="minorEastAsia" w:hAnsiTheme="minorEastAsia" w:eastAsiaTheme="minorEastAsia"/>
          <w:sz w:val="24"/>
          <w:szCs w:val="24"/>
        </w:rPr>
      </w:pPr>
    </w:p>
    <w:sectPr>
      <w:headerReference r:id="rId3" w:type="default"/>
      <w:footerReference r:id="rId4" w:type="default"/>
      <w:pgSz w:w="11906" w:h="16838"/>
      <w:pgMar w:top="1247" w:right="1077" w:bottom="1247" w:left="1077" w:header="284" w:footer="56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Wingdings-Regular">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60719"/>
    </w:sdtPr>
    <w:sdtContent>
      <w:sdt>
        <w:sdtPr>
          <w:id w:val="98381352"/>
        </w:sdtPr>
        <w:sdtContent>
          <w:p w14:paraId="598D10C2">
            <w:pPr>
              <w:pStyle w:val="26"/>
              <w:jc w:val="center"/>
            </w:pPr>
            <w:r>
              <w:rPr>
                <w:b/>
                <w:sz w:val="24"/>
                <w:szCs w:val="24"/>
              </w:rPr>
              <w:fldChar w:fldCharType="begin"/>
            </w:r>
            <w:r>
              <w:rPr>
                <w:b/>
              </w:rPr>
              <w:instrText xml:space="preserve">PAGE</w:instrText>
            </w:r>
            <w:r>
              <w:rPr>
                <w:b/>
                <w:sz w:val="24"/>
                <w:szCs w:val="24"/>
              </w:rPr>
              <w:fldChar w:fldCharType="separate"/>
            </w:r>
            <w:r>
              <w:rPr>
                <w:b/>
              </w:rPr>
              <w:t>13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28</w:t>
            </w:r>
            <w:r>
              <w:rPr>
                <w:b/>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570FB">
    <w:pPr>
      <w:pStyle w:val="27"/>
      <w:pBdr>
        <w:bottom w:val="single" w:color="auto" w:sz="6" w:space="16"/>
      </w:pBdr>
      <w:jc w:val="left"/>
      <w:rPr>
        <w:rFonts w:hint="default" w:eastAsia="宋体"/>
        <w:sz w:val="28"/>
        <w:szCs w:val="28"/>
        <w:lang w:val="en-US" w:eastAsia="zh-CN"/>
      </w:rPr>
    </w:pPr>
    <w:r>
      <w:rPr>
        <w:rFonts w:hint="eastAsia"/>
        <w:sz w:val="28"/>
        <w:szCs w:val="28"/>
      </w:rPr>
      <w:t>中通客车</w:t>
    </w:r>
    <w:r>
      <w:rPr>
        <w:rFonts w:hint="eastAsia"/>
        <w:sz w:val="28"/>
        <w:szCs w:val="28"/>
        <w:lang w:val="en-US" w:eastAsia="zh-CN"/>
      </w:rPr>
      <w:t>股份有限公司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0325C"/>
    <w:multiLevelType w:val="multilevel"/>
    <w:tmpl w:val="06B0325C"/>
    <w:lvl w:ilvl="0" w:tentative="0">
      <w:start w:val="1"/>
      <w:numFmt w:val="decimal"/>
      <w:pStyle w:val="105"/>
      <w:lvlText w:val="%1."/>
      <w:lvlJc w:val="left"/>
      <w:pPr>
        <w:ind w:left="425" w:hanging="425"/>
      </w:pPr>
      <w:rPr>
        <w:rFonts w:hint="eastAsia"/>
      </w:rPr>
    </w:lvl>
    <w:lvl w:ilvl="1" w:tentative="0">
      <w:start w:val="1"/>
      <w:numFmt w:val="decimal"/>
      <w:pStyle w:val="106"/>
      <w:lvlText w:val="%1.%2."/>
      <w:lvlJc w:val="left"/>
      <w:pPr>
        <w:ind w:left="1134" w:hanging="567"/>
      </w:pPr>
      <w:rPr>
        <w:rFonts w:hint="eastAsia"/>
        <w:b w:val="0"/>
        <w:sz w:val="22"/>
        <w:szCs w:val="22"/>
      </w:rPr>
    </w:lvl>
    <w:lvl w:ilvl="2" w:tentative="0">
      <w:start w:val="1"/>
      <w:numFmt w:val="decimal"/>
      <w:pStyle w:val="107"/>
      <w:lvlText w:val="%1.%2.%3."/>
      <w:lvlJc w:val="left"/>
      <w:pPr>
        <w:ind w:left="709" w:hanging="709"/>
      </w:pPr>
      <w:rPr>
        <w:rFonts w:hint="eastAsia"/>
        <w:b w:val="0"/>
      </w:rPr>
    </w:lvl>
    <w:lvl w:ilvl="3" w:tentative="0">
      <w:start w:val="1"/>
      <w:numFmt w:val="bullet"/>
      <w:pStyle w:val="108"/>
      <w:lvlText w:val=""/>
      <w:lvlJc w:val="left"/>
      <w:pPr>
        <w:ind w:left="680" w:hanging="396"/>
      </w:pPr>
      <w:rPr>
        <w:rFonts w:hint="default" w:ascii="Wingdings" w:hAnsi="Wingdings"/>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pStyle w:val="110"/>
      <w:lvlText w:val="%1.%2.%3.%4.%5."/>
      <w:lvlJc w:val="left"/>
      <w:pPr>
        <w:ind w:left="1842" w:hanging="992"/>
      </w:pPr>
      <w:rPr>
        <w:rFonts w:hint="eastAsia"/>
        <w:color w:val="000000" w:themeColor="text1"/>
        <w14:textFill>
          <w14:solidFill>
            <w14:schemeClr w14:val="tx1"/>
          </w14:solidFill>
        </w14:textFill>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13BF44DB"/>
    <w:multiLevelType w:val="multilevel"/>
    <w:tmpl w:val="13BF44DB"/>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eastAsia="宋体" w:asciiTheme="majorEastAsia" w:hAnsiTheme="majorEastAsia"/>
        <w:b/>
      </w:rPr>
    </w:lvl>
    <w:lvl w:ilvl="2" w:tentative="0">
      <w:start w:val="1"/>
      <w:numFmt w:val="decimal"/>
      <w:suff w:val="nothing"/>
      <w:lvlText w:val="%1.%2.%3"/>
      <w:lvlJc w:val="left"/>
      <w:pPr>
        <w:ind w:left="720" w:hanging="720"/>
      </w:pPr>
      <w:rPr>
        <w:rFonts w:hint="default" w:eastAsia="宋体" w:cs="Calibri" w:asciiTheme="minorEastAsia" w:hAnsiTheme="minorEastAsia"/>
        <w:b w:val="0"/>
        <w:sz w:val="24"/>
        <w:szCs w:val="24"/>
        <w:lang w:val="en-US"/>
      </w:rPr>
    </w:lvl>
    <w:lvl w:ilvl="3" w:tentative="0">
      <w:start w:val="1"/>
      <w:numFmt w:val="decimal"/>
      <w:suff w:val="nothing"/>
      <w:lvlText w:val="%1.%2.%3.%4"/>
      <w:lvlJc w:val="left"/>
      <w:pPr>
        <w:ind w:left="0" w:firstLine="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212C5CDE"/>
    <w:multiLevelType w:val="multilevel"/>
    <w:tmpl w:val="212C5CDE"/>
    <w:lvl w:ilvl="0" w:tentative="0">
      <w:start w:val="1"/>
      <w:numFmt w:val="chineseCountingThousand"/>
      <w:pStyle w:val="87"/>
      <w:suff w:val="space"/>
      <w:lvlText w:val="(%1)"/>
      <w:lvlJc w:val="left"/>
      <w:pPr>
        <w:ind w:left="0" w:firstLine="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CB0EB2"/>
    <w:multiLevelType w:val="multilevel"/>
    <w:tmpl w:val="25CB0EB2"/>
    <w:lvl w:ilvl="0" w:tentative="0">
      <w:start w:val="1"/>
      <w:numFmt w:val="bullet"/>
      <w:pStyle w:val="7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80"/>
      <w:lvlText w:val=""/>
      <w:lvlJc w:val="left"/>
      <w:pPr>
        <w:tabs>
          <w:tab w:val="left" w:pos="5382"/>
        </w:tabs>
        <w:ind w:left="5382"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ABD46A5"/>
    <w:multiLevelType w:val="multilevel"/>
    <w:tmpl w:val="2ABD46A5"/>
    <w:lvl w:ilvl="0" w:tentative="0">
      <w:start w:val="1"/>
      <w:numFmt w:val="decimal"/>
      <w:pStyle w:val="3"/>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pStyle w:val="82"/>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2F6A2EA5"/>
    <w:multiLevelType w:val="multilevel"/>
    <w:tmpl w:val="2F6A2EA5"/>
    <w:lvl w:ilvl="0" w:tentative="0">
      <w:start w:val="1"/>
      <w:numFmt w:val="decimal"/>
      <w:pStyle w:val="88"/>
      <w:lvlText w:val="%1."/>
      <w:lvlJc w:val="left"/>
      <w:pPr>
        <w:tabs>
          <w:tab w:val="left" w:pos="425"/>
        </w:tabs>
        <w:ind w:left="425" w:hanging="425"/>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tentative="0">
      <w:start w:val="1"/>
      <w:numFmt w:val="decimal"/>
      <w:pStyle w:val="89"/>
      <w:lvlText w:val="%1.%2."/>
      <w:lvlJc w:val="left"/>
      <w:pPr>
        <w:tabs>
          <w:tab w:val="left" w:pos="567"/>
        </w:tabs>
        <w:ind w:left="567" w:hanging="567"/>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2" w:tentative="0">
      <w:start w:val="1"/>
      <w:numFmt w:val="decimal"/>
      <w:pStyle w:val="91"/>
      <w:lvlText w:val="%1.%2.%3."/>
      <w:lvlJc w:val="left"/>
      <w:pPr>
        <w:tabs>
          <w:tab w:val="left" w:pos="709"/>
        </w:tabs>
        <w:ind w:left="709" w:hanging="709"/>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3" w:tentative="0">
      <w:start w:val="1"/>
      <w:numFmt w:val="decimal"/>
      <w:pStyle w:val="92"/>
      <w:lvlText w:val="%1.%2.%3.%4."/>
      <w:lvlJc w:val="left"/>
      <w:pPr>
        <w:tabs>
          <w:tab w:val="left" w:pos="851"/>
        </w:tabs>
        <w:ind w:left="851" w:hanging="851"/>
      </w:pPr>
      <w:rPr>
        <w:rFonts w:cs="Times New Roman"/>
      </w:rPr>
    </w:lvl>
    <w:lvl w:ilvl="4" w:tentative="0">
      <w:start w:val="1"/>
      <w:numFmt w:val="decimal"/>
      <w:lvlText w:val="%1.%2.%3.%4.%5."/>
      <w:lvlJc w:val="left"/>
      <w:pPr>
        <w:tabs>
          <w:tab w:val="left" w:pos="992"/>
        </w:tabs>
        <w:ind w:left="992" w:hanging="992"/>
      </w:pPr>
      <w:rPr>
        <w:rFonts w:cs="Times New Roman"/>
      </w:rPr>
    </w:lvl>
    <w:lvl w:ilvl="5" w:tentative="0">
      <w:start w:val="1"/>
      <w:numFmt w:val="decimal"/>
      <w:lvlText w:val="%1.%2.%3.%4.%5.%6."/>
      <w:lvlJc w:val="left"/>
      <w:pPr>
        <w:tabs>
          <w:tab w:val="left" w:pos="1134"/>
        </w:tabs>
        <w:ind w:left="1134" w:hanging="1134"/>
      </w:pPr>
      <w:rPr>
        <w:rFonts w:cs="Times New Roman"/>
      </w:rPr>
    </w:lvl>
    <w:lvl w:ilvl="6" w:tentative="0">
      <w:start w:val="1"/>
      <w:numFmt w:val="decimal"/>
      <w:lvlText w:val="%1.%2.%3.%4.%5.%6.%7."/>
      <w:lvlJc w:val="left"/>
      <w:pPr>
        <w:tabs>
          <w:tab w:val="left" w:pos="1276"/>
        </w:tabs>
        <w:ind w:left="1276" w:hanging="1276"/>
      </w:pPr>
      <w:rPr>
        <w:rFonts w:cs="Times New Roman"/>
      </w:rPr>
    </w:lvl>
    <w:lvl w:ilvl="7" w:tentative="0">
      <w:start w:val="1"/>
      <w:numFmt w:val="decimal"/>
      <w:lvlText w:val="%1.%2.%3.%4.%5.%6.%7.%8."/>
      <w:lvlJc w:val="left"/>
      <w:pPr>
        <w:tabs>
          <w:tab w:val="left" w:pos="1418"/>
        </w:tabs>
        <w:ind w:left="1418" w:hanging="1418"/>
      </w:pPr>
      <w:rPr>
        <w:rFonts w:cs="Times New Roman"/>
      </w:rPr>
    </w:lvl>
    <w:lvl w:ilvl="8" w:tentative="0">
      <w:start w:val="1"/>
      <w:numFmt w:val="decimal"/>
      <w:lvlText w:val="%1.%2.%3.%4.%5.%6.%7.%8.%9."/>
      <w:lvlJc w:val="left"/>
      <w:pPr>
        <w:tabs>
          <w:tab w:val="left" w:pos="1559"/>
        </w:tabs>
        <w:ind w:left="1559" w:hanging="1559"/>
      </w:pPr>
      <w:rPr>
        <w:rFonts w:cs="Times New Roman"/>
      </w:rPr>
    </w:lvl>
  </w:abstractNum>
  <w:abstractNum w:abstractNumId="6">
    <w:nsid w:val="73E60333"/>
    <w:multiLevelType w:val="multilevel"/>
    <w:tmpl w:val="73E60333"/>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Theme="minorEastAsia" w:hAnsiTheme="minorEastAsia" w:eastAsiaTheme="minorEastAsia"/>
      </w:rPr>
    </w:lvl>
    <w:lvl w:ilvl="2" w:tentative="0">
      <w:start w:val="1"/>
      <w:numFmt w:val="decimal"/>
      <w:lvlText w:val="%1.%2.%3"/>
      <w:lvlJc w:val="left"/>
      <w:pPr>
        <w:ind w:left="720" w:hanging="720"/>
      </w:pPr>
      <w:rPr>
        <w:rFonts w:hint="default" w:ascii="宋体" w:hAnsi="宋体" w:eastAsia="宋体"/>
        <w:sz w:val="24"/>
        <w:szCs w:val="24"/>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4"/>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yN2I0NGVmMTQxM2E2ZWM0NzQwZjdmNDkwMjJkMzUifQ=="/>
    <w:docVar w:name="KSO_WPS_MARK_KEY" w:val="747da934-fe76-4292-8163-b0f5ed730958"/>
  </w:docVars>
  <w:rsids>
    <w:rsidRoot w:val="00172A27"/>
    <w:rsid w:val="000007AF"/>
    <w:rsid w:val="00000C5F"/>
    <w:rsid w:val="000015C1"/>
    <w:rsid w:val="00001839"/>
    <w:rsid w:val="00001DC3"/>
    <w:rsid w:val="0000233F"/>
    <w:rsid w:val="00003CB6"/>
    <w:rsid w:val="00003CDF"/>
    <w:rsid w:val="00003DFE"/>
    <w:rsid w:val="000050E3"/>
    <w:rsid w:val="000051FE"/>
    <w:rsid w:val="0000551A"/>
    <w:rsid w:val="0000563D"/>
    <w:rsid w:val="00005B01"/>
    <w:rsid w:val="000060BB"/>
    <w:rsid w:val="00006627"/>
    <w:rsid w:val="0000765E"/>
    <w:rsid w:val="00007708"/>
    <w:rsid w:val="000106F3"/>
    <w:rsid w:val="000107E8"/>
    <w:rsid w:val="00010D03"/>
    <w:rsid w:val="00010D20"/>
    <w:rsid w:val="000110F9"/>
    <w:rsid w:val="000111CC"/>
    <w:rsid w:val="000115B6"/>
    <w:rsid w:val="00012DB3"/>
    <w:rsid w:val="000134DD"/>
    <w:rsid w:val="0001378A"/>
    <w:rsid w:val="00013DAB"/>
    <w:rsid w:val="00014724"/>
    <w:rsid w:val="00015046"/>
    <w:rsid w:val="0001507E"/>
    <w:rsid w:val="00015958"/>
    <w:rsid w:val="00016DC1"/>
    <w:rsid w:val="00017721"/>
    <w:rsid w:val="00017899"/>
    <w:rsid w:val="00017C9F"/>
    <w:rsid w:val="00017D43"/>
    <w:rsid w:val="00017EF5"/>
    <w:rsid w:val="00020E35"/>
    <w:rsid w:val="000213FC"/>
    <w:rsid w:val="0002154D"/>
    <w:rsid w:val="00021974"/>
    <w:rsid w:val="00021C07"/>
    <w:rsid w:val="00021C9F"/>
    <w:rsid w:val="00021D0F"/>
    <w:rsid w:val="00021DEE"/>
    <w:rsid w:val="00021FD2"/>
    <w:rsid w:val="0002281E"/>
    <w:rsid w:val="00022A84"/>
    <w:rsid w:val="00022ED4"/>
    <w:rsid w:val="000230E4"/>
    <w:rsid w:val="0002312D"/>
    <w:rsid w:val="00023783"/>
    <w:rsid w:val="000247AE"/>
    <w:rsid w:val="00024B8A"/>
    <w:rsid w:val="00024D8B"/>
    <w:rsid w:val="00024FE6"/>
    <w:rsid w:val="000257D3"/>
    <w:rsid w:val="00025833"/>
    <w:rsid w:val="00025A9E"/>
    <w:rsid w:val="00025B76"/>
    <w:rsid w:val="00026EC9"/>
    <w:rsid w:val="0003048D"/>
    <w:rsid w:val="00030669"/>
    <w:rsid w:val="000306D5"/>
    <w:rsid w:val="0003133C"/>
    <w:rsid w:val="000315EF"/>
    <w:rsid w:val="0003184E"/>
    <w:rsid w:val="00031A0D"/>
    <w:rsid w:val="00031CF6"/>
    <w:rsid w:val="00032245"/>
    <w:rsid w:val="00032684"/>
    <w:rsid w:val="00032CC8"/>
    <w:rsid w:val="00032FD0"/>
    <w:rsid w:val="00033EA5"/>
    <w:rsid w:val="0003441C"/>
    <w:rsid w:val="0003483D"/>
    <w:rsid w:val="00034B5A"/>
    <w:rsid w:val="00034F53"/>
    <w:rsid w:val="00035191"/>
    <w:rsid w:val="00035238"/>
    <w:rsid w:val="000355E7"/>
    <w:rsid w:val="00035C1D"/>
    <w:rsid w:val="00035F9C"/>
    <w:rsid w:val="000367F5"/>
    <w:rsid w:val="0003775C"/>
    <w:rsid w:val="0003793A"/>
    <w:rsid w:val="00037BE6"/>
    <w:rsid w:val="00037F51"/>
    <w:rsid w:val="00040418"/>
    <w:rsid w:val="00040514"/>
    <w:rsid w:val="000408E8"/>
    <w:rsid w:val="00040DEA"/>
    <w:rsid w:val="00041B82"/>
    <w:rsid w:val="0004261B"/>
    <w:rsid w:val="000427BA"/>
    <w:rsid w:val="00042815"/>
    <w:rsid w:val="00042AAD"/>
    <w:rsid w:val="000431BB"/>
    <w:rsid w:val="00043AA2"/>
    <w:rsid w:val="0004445B"/>
    <w:rsid w:val="00044D53"/>
    <w:rsid w:val="00044DC0"/>
    <w:rsid w:val="00045479"/>
    <w:rsid w:val="00045D72"/>
    <w:rsid w:val="00046C13"/>
    <w:rsid w:val="00046EE2"/>
    <w:rsid w:val="000470E2"/>
    <w:rsid w:val="00047689"/>
    <w:rsid w:val="00047BC5"/>
    <w:rsid w:val="000500E5"/>
    <w:rsid w:val="0005011F"/>
    <w:rsid w:val="00051118"/>
    <w:rsid w:val="00051760"/>
    <w:rsid w:val="00051E38"/>
    <w:rsid w:val="000520BD"/>
    <w:rsid w:val="00052F02"/>
    <w:rsid w:val="00052F81"/>
    <w:rsid w:val="00053543"/>
    <w:rsid w:val="00053797"/>
    <w:rsid w:val="00053819"/>
    <w:rsid w:val="00053AE2"/>
    <w:rsid w:val="00054838"/>
    <w:rsid w:val="0005596A"/>
    <w:rsid w:val="0005627B"/>
    <w:rsid w:val="00056B10"/>
    <w:rsid w:val="00057182"/>
    <w:rsid w:val="000575DA"/>
    <w:rsid w:val="00057FB5"/>
    <w:rsid w:val="00060E61"/>
    <w:rsid w:val="00061246"/>
    <w:rsid w:val="0006135B"/>
    <w:rsid w:val="00061943"/>
    <w:rsid w:val="000623C3"/>
    <w:rsid w:val="00062B4D"/>
    <w:rsid w:val="00062C1B"/>
    <w:rsid w:val="00063090"/>
    <w:rsid w:val="00063107"/>
    <w:rsid w:val="000632B2"/>
    <w:rsid w:val="000637E1"/>
    <w:rsid w:val="00064A38"/>
    <w:rsid w:val="00064DAE"/>
    <w:rsid w:val="00064E16"/>
    <w:rsid w:val="00064F48"/>
    <w:rsid w:val="00065218"/>
    <w:rsid w:val="00065253"/>
    <w:rsid w:val="0006526F"/>
    <w:rsid w:val="0006527D"/>
    <w:rsid w:val="000657EE"/>
    <w:rsid w:val="00065BEA"/>
    <w:rsid w:val="00066981"/>
    <w:rsid w:val="00067046"/>
    <w:rsid w:val="000675A9"/>
    <w:rsid w:val="000676D7"/>
    <w:rsid w:val="00070010"/>
    <w:rsid w:val="0007094A"/>
    <w:rsid w:val="00070976"/>
    <w:rsid w:val="000711D7"/>
    <w:rsid w:val="00071B67"/>
    <w:rsid w:val="00071C95"/>
    <w:rsid w:val="00071D93"/>
    <w:rsid w:val="00072933"/>
    <w:rsid w:val="00072D98"/>
    <w:rsid w:val="000734F2"/>
    <w:rsid w:val="00073A0D"/>
    <w:rsid w:val="00073CFC"/>
    <w:rsid w:val="00073E06"/>
    <w:rsid w:val="000743EF"/>
    <w:rsid w:val="00074768"/>
    <w:rsid w:val="00074B2F"/>
    <w:rsid w:val="00075194"/>
    <w:rsid w:val="000758EB"/>
    <w:rsid w:val="00075C72"/>
    <w:rsid w:val="00075ED8"/>
    <w:rsid w:val="0007609D"/>
    <w:rsid w:val="000775C6"/>
    <w:rsid w:val="00077AD7"/>
    <w:rsid w:val="00077E8B"/>
    <w:rsid w:val="0008013B"/>
    <w:rsid w:val="0008025C"/>
    <w:rsid w:val="0008077B"/>
    <w:rsid w:val="000812CF"/>
    <w:rsid w:val="000815BD"/>
    <w:rsid w:val="0008163B"/>
    <w:rsid w:val="000817F7"/>
    <w:rsid w:val="00081BB7"/>
    <w:rsid w:val="00082258"/>
    <w:rsid w:val="0008245B"/>
    <w:rsid w:val="00082F66"/>
    <w:rsid w:val="00082FB2"/>
    <w:rsid w:val="0008305F"/>
    <w:rsid w:val="0008323C"/>
    <w:rsid w:val="000836DD"/>
    <w:rsid w:val="00083B51"/>
    <w:rsid w:val="00084D0E"/>
    <w:rsid w:val="0008509A"/>
    <w:rsid w:val="000853B8"/>
    <w:rsid w:val="000854D8"/>
    <w:rsid w:val="000865D4"/>
    <w:rsid w:val="00087017"/>
    <w:rsid w:val="00087115"/>
    <w:rsid w:val="000902DD"/>
    <w:rsid w:val="00090337"/>
    <w:rsid w:val="000904CA"/>
    <w:rsid w:val="00090585"/>
    <w:rsid w:val="00090693"/>
    <w:rsid w:val="00090D53"/>
    <w:rsid w:val="00091294"/>
    <w:rsid w:val="00091535"/>
    <w:rsid w:val="00091A2A"/>
    <w:rsid w:val="00091D23"/>
    <w:rsid w:val="00091D39"/>
    <w:rsid w:val="00091D8B"/>
    <w:rsid w:val="00091DB8"/>
    <w:rsid w:val="00091FBC"/>
    <w:rsid w:val="00092497"/>
    <w:rsid w:val="00092535"/>
    <w:rsid w:val="00092951"/>
    <w:rsid w:val="0009392A"/>
    <w:rsid w:val="0009499C"/>
    <w:rsid w:val="000949CB"/>
    <w:rsid w:val="00094E87"/>
    <w:rsid w:val="00095700"/>
    <w:rsid w:val="00095B0D"/>
    <w:rsid w:val="00095FE9"/>
    <w:rsid w:val="000962EC"/>
    <w:rsid w:val="00096759"/>
    <w:rsid w:val="00096AB1"/>
    <w:rsid w:val="0009708A"/>
    <w:rsid w:val="00097870"/>
    <w:rsid w:val="000A08BB"/>
    <w:rsid w:val="000A12E2"/>
    <w:rsid w:val="000A159E"/>
    <w:rsid w:val="000A190E"/>
    <w:rsid w:val="000A1FAF"/>
    <w:rsid w:val="000A2078"/>
    <w:rsid w:val="000A2280"/>
    <w:rsid w:val="000A2397"/>
    <w:rsid w:val="000A2794"/>
    <w:rsid w:val="000A291D"/>
    <w:rsid w:val="000A2974"/>
    <w:rsid w:val="000A2E32"/>
    <w:rsid w:val="000A2EA3"/>
    <w:rsid w:val="000A35FC"/>
    <w:rsid w:val="000A55D7"/>
    <w:rsid w:val="000A572F"/>
    <w:rsid w:val="000A578C"/>
    <w:rsid w:val="000A5E75"/>
    <w:rsid w:val="000A5F4B"/>
    <w:rsid w:val="000A6435"/>
    <w:rsid w:val="000A6CF4"/>
    <w:rsid w:val="000B00F4"/>
    <w:rsid w:val="000B0129"/>
    <w:rsid w:val="000B0494"/>
    <w:rsid w:val="000B07A0"/>
    <w:rsid w:val="000B07E7"/>
    <w:rsid w:val="000B0BC0"/>
    <w:rsid w:val="000B1E42"/>
    <w:rsid w:val="000B1E95"/>
    <w:rsid w:val="000B2144"/>
    <w:rsid w:val="000B23AA"/>
    <w:rsid w:val="000B2C84"/>
    <w:rsid w:val="000B3238"/>
    <w:rsid w:val="000B3F15"/>
    <w:rsid w:val="000B4436"/>
    <w:rsid w:val="000B4463"/>
    <w:rsid w:val="000B4542"/>
    <w:rsid w:val="000B4E06"/>
    <w:rsid w:val="000B50B2"/>
    <w:rsid w:val="000B58B4"/>
    <w:rsid w:val="000B6ACF"/>
    <w:rsid w:val="000B70FE"/>
    <w:rsid w:val="000B7255"/>
    <w:rsid w:val="000B732B"/>
    <w:rsid w:val="000B73D1"/>
    <w:rsid w:val="000B7469"/>
    <w:rsid w:val="000B7C70"/>
    <w:rsid w:val="000B7DE8"/>
    <w:rsid w:val="000B7ECC"/>
    <w:rsid w:val="000C039E"/>
    <w:rsid w:val="000C141B"/>
    <w:rsid w:val="000C15D0"/>
    <w:rsid w:val="000C1CC1"/>
    <w:rsid w:val="000C1D8C"/>
    <w:rsid w:val="000C20F3"/>
    <w:rsid w:val="000C20F5"/>
    <w:rsid w:val="000C2AB1"/>
    <w:rsid w:val="000C3186"/>
    <w:rsid w:val="000C344C"/>
    <w:rsid w:val="000C3B24"/>
    <w:rsid w:val="000C3B2B"/>
    <w:rsid w:val="000C42D1"/>
    <w:rsid w:val="000C4604"/>
    <w:rsid w:val="000C4887"/>
    <w:rsid w:val="000C5F29"/>
    <w:rsid w:val="000C64B2"/>
    <w:rsid w:val="000C66C7"/>
    <w:rsid w:val="000C6785"/>
    <w:rsid w:val="000C6899"/>
    <w:rsid w:val="000C74A8"/>
    <w:rsid w:val="000C76D6"/>
    <w:rsid w:val="000C7897"/>
    <w:rsid w:val="000D0185"/>
    <w:rsid w:val="000D0932"/>
    <w:rsid w:val="000D0A1F"/>
    <w:rsid w:val="000D0EC9"/>
    <w:rsid w:val="000D1433"/>
    <w:rsid w:val="000D165A"/>
    <w:rsid w:val="000D1A3A"/>
    <w:rsid w:val="000D271F"/>
    <w:rsid w:val="000D2B73"/>
    <w:rsid w:val="000D2B7A"/>
    <w:rsid w:val="000D2E40"/>
    <w:rsid w:val="000D3141"/>
    <w:rsid w:val="000D47EC"/>
    <w:rsid w:val="000D5186"/>
    <w:rsid w:val="000D53C0"/>
    <w:rsid w:val="000D549B"/>
    <w:rsid w:val="000D567F"/>
    <w:rsid w:val="000D66F9"/>
    <w:rsid w:val="000D6800"/>
    <w:rsid w:val="000D6F83"/>
    <w:rsid w:val="000D71F9"/>
    <w:rsid w:val="000D7734"/>
    <w:rsid w:val="000E00E6"/>
    <w:rsid w:val="000E0DB4"/>
    <w:rsid w:val="000E1142"/>
    <w:rsid w:val="000E2091"/>
    <w:rsid w:val="000E24CF"/>
    <w:rsid w:val="000E330C"/>
    <w:rsid w:val="000E36F9"/>
    <w:rsid w:val="000E3D5D"/>
    <w:rsid w:val="000E3F34"/>
    <w:rsid w:val="000E41EF"/>
    <w:rsid w:val="000E4B22"/>
    <w:rsid w:val="000E4BB7"/>
    <w:rsid w:val="000E5589"/>
    <w:rsid w:val="000E58E4"/>
    <w:rsid w:val="000E5CCC"/>
    <w:rsid w:val="000E63F5"/>
    <w:rsid w:val="000E64D0"/>
    <w:rsid w:val="000E6D1D"/>
    <w:rsid w:val="000F0238"/>
    <w:rsid w:val="000F1AC9"/>
    <w:rsid w:val="000F1F53"/>
    <w:rsid w:val="000F217F"/>
    <w:rsid w:val="000F2B52"/>
    <w:rsid w:val="000F2B72"/>
    <w:rsid w:val="000F3AB5"/>
    <w:rsid w:val="000F4396"/>
    <w:rsid w:val="000F4551"/>
    <w:rsid w:val="000F5039"/>
    <w:rsid w:val="000F7B95"/>
    <w:rsid w:val="000F7EE2"/>
    <w:rsid w:val="00100026"/>
    <w:rsid w:val="001000E1"/>
    <w:rsid w:val="0010125F"/>
    <w:rsid w:val="00101B03"/>
    <w:rsid w:val="0010236C"/>
    <w:rsid w:val="001024C6"/>
    <w:rsid w:val="0010375B"/>
    <w:rsid w:val="00103959"/>
    <w:rsid w:val="001048DC"/>
    <w:rsid w:val="00104A6D"/>
    <w:rsid w:val="00104D06"/>
    <w:rsid w:val="001054AC"/>
    <w:rsid w:val="00105E45"/>
    <w:rsid w:val="0010634E"/>
    <w:rsid w:val="001067BC"/>
    <w:rsid w:val="00106FE0"/>
    <w:rsid w:val="001078C9"/>
    <w:rsid w:val="001117BB"/>
    <w:rsid w:val="00111BEC"/>
    <w:rsid w:val="001120FC"/>
    <w:rsid w:val="00112434"/>
    <w:rsid w:val="0011354B"/>
    <w:rsid w:val="00113742"/>
    <w:rsid w:val="0011384D"/>
    <w:rsid w:val="00113D29"/>
    <w:rsid w:val="00113EF2"/>
    <w:rsid w:val="0011447D"/>
    <w:rsid w:val="00114F51"/>
    <w:rsid w:val="001156D3"/>
    <w:rsid w:val="00115DF2"/>
    <w:rsid w:val="00116339"/>
    <w:rsid w:val="001168EB"/>
    <w:rsid w:val="00116D39"/>
    <w:rsid w:val="00116F3C"/>
    <w:rsid w:val="00117255"/>
    <w:rsid w:val="00117AA2"/>
    <w:rsid w:val="00117B1F"/>
    <w:rsid w:val="00122421"/>
    <w:rsid w:val="00123B44"/>
    <w:rsid w:val="00123D3F"/>
    <w:rsid w:val="00124955"/>
    <w:rsid w:val="00125C02"/>
    <w:rsid w:val="00126667"/>
    <w:rsid w:val="00126A1F"/>
    <w:rsid w:val="00130008"/>
    <w:rsid w:val="0013042D"/>
    <w:rsid w:val="00130957"/>
    <w:rsid w:val="00131C81"/>
    <w:rsid w:val="001320BB"/>
    <w:rsid w:val="001325EB"/>
    <w:rsid w:val="00132A06"/>
    <w:rsid w:val="00132B96"/>
    <w:rsid w:val="00133025"/>
    <w:rsid w:val="001342DA"/>
    <w:rsid w:val="00134A07"/>
    <w:rsid w:val="00134A6C"/>
    <w:rsid w:val="001350D9"/>
    <w:rsid w:val="00135144"/>
    <w:rsid w:val="001352DE"/>
    <w:rsid w:val="00135C15"/>
    <w:rsid w:val="00135EED"/>
    <w:rsid w:val="00135F95"/>
    <w:rsid w:val="00140078"/>
    <w:rsid w:val="001402F5"/>
    <w:rsid w:val="00140654"/>
    <w:rsid w:val="00140FCF"/>
    <w:rsid w:val="001413A4"/>
    <w:rsid w:val="00141974"/>
    <w:rsid w:val="001419F5"/>
    <w:rsid w:val="00142A3D"/>
    <w:rsid w:val="00142DA5"/>
    <w:rsid w:val="00142DD4"/>
    <w:rsid w:val="0014325B"/>
    <w:rsid w:val="00143E60"/>
    <w:rsid w:val="001448F3"/>
    <w:rsid w:val="00144C95"/>
    <w:rsid w:val="00144F59"/>
    <w:rsid w:val="00145A65"/>
    <w:rsid w:val="0014631A"/>
    <w:rsid w:val="001465F8"/>
    <w:rsid w:val="00146A98"/>
    <w:rsid w:val="001470CE"/>
    <w:rsid w:val="001470FE"/>
    <w:rsid w:val="00147264"/>
    <w:rsid w:val="001472C5"/>
    <w:rsid w:val="00147D08"/>
    <w:rsid w:val="00150027"/>
    <w:rsid w:val="001501E1"/>
    <w:rsid w:val="001501EB"/>
    <w:rsid w:val="00150462"/>
    <w:rsid w:val="001505ED"/>
    <w:rsid w:val="00150E09"/>
    <w:rsid w:val="001512AF"/>
    <w:rsid w:val="00152453"/>
    <w:rsid w:val="00152C80"/>
    <w:rsid w:val="00153980"/>
    <w:rsid w:val="00153A7D"/>
    <w:rsid w:val="00153C72"/>
    <w:rsid w:val="00154059"/>
    <w:rsid w:val="00155365"/>
    <w:rsid w:val="001553D1"/>
    <w:rsid w:val="00155683"/>
    <w:rsid w:val="00155742"/>
    <w:rsid w:val="00155EAB"/>
    <w:rsid w:val="00155F55"/>
    <w:rsid w:val="00156107"/>
    <w:rsid w:val="001566C5"/>
    <w:rsid w:val="001572E2"/>
    <w:rsid w:val="0015742A"/>
    <w:rsid w:val="001575C9"/>
    <w:rsid w:val="001577E2"/>
    <w:rsid w:val="00157CE2"/>
    <w:rsid w:val="00157EFB"/>
    <w:rsid w:val="00160BD9"/>
    <w:rsid w:val="00160C39"/>
    <w:rsid w:val="00160D3E"/>
    <w:rsid w:val="001610CB"/>
    <w:rsid w:val="00161537"/>
    <w:rsid w:val="0016218A"/>
    <w:rsid w:val="001627DB"/>
    <w:rsid w:val="001629BF"/>
    <w:rsid w:val="00162FE2"/>
    <w:rsid w:val="00163636"/>
    <w:rsid w:val="00163CD3"/>
    <w:rsid w:val="00163F90"/>
    <w:rsid w:val="001642A3"/>
    <w:rsid w:val="00164741"/>
    <w:rsid w:val="00164B07"/>
    <w:rsid w:val="00165099"/>
    <w:rsid w:val="00165A95"/>
    <w:rsid w:val="00165E8D"/>
    <w:rsid w:val="00166127"/>
    <w:rsid w:val="0016618B"/>
    <w:rsid w:val="001665F8"/>
    <w:rsid w:val="0016667C"/>
    <w:rsid w:val="00167CFC"/>
    <w:rsid w:val="001703A1"/>
    <w:rsid w:val="00170B14"/>
    <w:rsid w:val="00170D04"/>
    <w:rsid w:val="0017104A"/>
    <w:rsid w:val="00171298"/>
    <w:rsid w:val="0017144D"/>
    <w:rsid w:val="00171883"/>
    <w:rsid w:val="00171E35"/>
    <w:rsid w:val="00171E95"/>
    <w:rsid w:val="00172A27"/>
    <w:rsid w:val="00172E77"/>
    <w:rsid w:val="00172FE3"/>
    <w:rsid w:val="00173C65"/>
    <w:rsid w:val="001742D2"/>
    <w:rsid w:val="001747A5"/>
    <w:rsid w:val="00174CFE"/>
    <w:rsid w:val="00174E7F"/>
    <w:rsid w:val="00175470"/>
    <w:rsid w:val="0017581C"/>
    <w:rsid w:val="00175D02"/>
    <w:rsid w:val="00177B74"/>
    <w:rsid w:val="001805E5"/>
    <w:rsid w:val="00181022"/>
    <w:rsid w:val="0018125D"/>
    <w:rsid w:val="001814FB"/>
    <w:rsid w:val="00184457"/>
    <w:rsid w:val="0018457A"/>
    <w:rsid w:val="00184D98"/>
    <w:rsid w:val="00184EAA"/>
    <w:rsid w:val="0018508F"/>
    <w:rsid w:val="001855FE"/>
    <w:rsid w:val="0018584C"/>
    <w:rsid w:val="0018692E"/>
    <w:rsid w:val="001873C2"/>
    <w:rsid w:val="00187B5A"/>
    <w:rsid w:val="00187D81"/>
    <w:rsid w:val="0019103F"/>
    <w:rsid w:val="001915F9"/>
    <w:rsid w:val="00191897"/>
    <w:rsid w:val="00191980"/>
    <w:rsid w:val="00191E06"/>
    <w:rsid w:val="00192614"/>
    <w:rsid w:val="001933D5"/>
    <w:rsid w:val="00194B98"/>
    <w:rsid w:val="00194CF0"/>
    <w:rsid w:val="00195D83"/>
    <w:rsid w:val="0019657E"/>
    <w:rsid w:val="00196CB3"/>
    <w:rsid w:val="0019709D"/>
    <w:rsid w:val="001970BE"/>
    <w:rsid w:val="0019732E"/>
    <w:rsid w:val="00197375"/>
    <w:rsid w:val="00197E08"/>
    <w:rsid w:val="001A0D55"/>
    <w:rsid w:val="001A0D85"/>
    <w:rsid w:val="001A0F36"/>
    <w:rsid w:val="001A1023"/>
    <w:rsid w:val="001A138E"/>
    <w:rsid w:val="001A1ECE"/>
    <w:rsid w:val="001A204E"/>
    <w:rsid w:val="001A2321"/>
    <w:rsid w:val="001A2EAC"/>
    <w:rsid w:val="001A2EF7"/>
    <w:rsid w:val="001A340A"/>
    <w:rsid w:val="001A3A90"/>
    <w:rsid w:val="001A3C20"/>
    <w:rsid w:val="001A4267"/>
    <w:rsid w:val="001A4282"/>
    <w:rsid w:val="001A4CCD"/>
    <w:rsid w:val="001A7D84"/>
    <w:rsid w:val="001A7E2F"/>
    <w:rsid w:val="001B03FE"/>
    <w:rsid w:val="001B0D15"/>
    <w:rsid w:val="001B1253"/>
    <w:rsid w:val="001B1481"/>
    <w:rsid w:val="001B1687"/>
    <w:rsid w:val="001B1A03"/>
    <w:rsid w:val="001B1E15"/>
    <w:rsid w:val="001B235E"/>
    <w:rsid w:val="001B2656"/>
    <w:rsid w:val="001B2FD6"/>
    <w:rsid w:val="001B38B6"/>
    <w:rsid w:val="001B3904"/>
    <w:rsid w:val="001B399C"/>
    <w:rsid w:val="001B46A5"/>
    <w:rsid w:val="001B481B"/>
    <w:rsid w:val="001B4BAD"/>
    <w:rsid w:val="001B4D14"/>
    <w:rsid w:val="001B4D39"/>
    <w:rsid w:val="001B511B"/>
    <w:rsid w:val="001B5232"/>
    <w:rsid w:val="001B5C04"/>
    <w:rsid w:val="001B5DED"/>
    <w:rsid w:val="001B5FA4"/>
    <w:rsid w:val="001B6A75"/>
    <w:rsid w:val="001B6A7B"/>
    <w:rsid w:val="001B770A"/>
    <w:rsid w:val="001B77C6"/>
    <w:rsid w:val="001C009C"/>
    <w:rsid w:val="001C0D07"/>
    <w:rsid w:val="001C0F34"/>
    <w:rsid w:val="001C1760"/>
    <w:rsid w:val="001C1E40"/>
    <w:rsid w:val="001C1F69"/>
    <w:rsid w:val="001C2008"/>
    <w:rsid w:val="001C2B23"/>
    <w:rsid w:val="001C2E4D"/>
    <w:rsid w:val="001C310D"/>
    <w:rsid w:val="001C3477"/>
    <w:rsid w:val="001C3AF9"/>
    <w:rsid w:val="001C431B"/>
    <w:rsid w:val="001C46B2"/>
    <w:rsid w:val="001C47E3"/>
    <w:rsid w:val="001C4A17"/>
    <w:rsid w:val="001C53F1"/>
    <w:rsid w:val="001C617D"/>
    <w:rsid w:val="001C67EC"/>
    <w:rsid w:val="001C698A"/>
    <w:rsid w:val="001C6B0E"/>
    <w:rsid w:val="001C6FC1"/>
    <w:rsid w:val="001C7232"/>
    <w:rsid w:val="001D1420"/>
    <w:rsid w:val="001D192C"/>
    <w:rsid w:val="001D19CC"/>
    <w:rsid w:val="001D1A05"/>
    <w:rsid w:val="001D2444"/>
    <w:rsid w:val="001D257C"/>
    <w:rsid w:val="001D3078"/>
    <w:rsid w:val="001D3F09"/>
    <w:rsid w:val="001D41BF"/>
    <w:rsid w:val="001D63F8"/>
    <w:rsid w:val="001D64B9"/>
    <w:rsid w:val="001D7DBB"/>
    <w:rsid w:val="001D7EAA"/>
    <w:rsid w:val="001E01A4"/>
    <w:rsid w:val="001E0A2B"/>
    <w:rsid w:val="001E0B8E"/>
    <w:rsid w:val="001E1368"/>
    <w:rsid w:val="001E1515"/>
    <w:rsid w:val="001E1781"/>
    <w:rsid w:val="001E1BB5"/>
    <w:rsid w:val="001E2904"/>
    <w:rsid w:val="001E2E02"/>
    <w:rsid w:val="001E336B"/>
    <w:rsid w:val="001E37A3"/>
    <w:rsid w:val="001E3951"/>
    <w:rsid w:val="001E4B30"/>
    <w:rsid w:val="001E4B48"/>
    <w:rsid w:val="001E53F5"/>
    <w:rsid w:val="001E5504"/>
    <w:rsid w:val="001E5BF6"/>
    <w:rsid w:val="001E6164"/>
    <w:rsid w:val="001E6330"/>
    <w:rsid w:val="001E644B"/>
    <w:rsid w:val="001E76F3"/>
    <w:rsid w:val="001E7911"/>
    <w:rsid w:val="001E7BC6"/>
    <w:rsid w:val="001F0361"/>
    <w:rsid w:val="001F0E91"/>
    <w:rsid w:val="001F188A"/>
    <w:rsid w:val="001F1C5C"/>
    <w:rsid w:val="001F1C72"/>
    <w:rsid w:val="001F2939"/>
    <w:rsid w:val="001F2A0F"/>
    <w:rsid w:val="001F2B48"/>
    <w:rsid w:val="001F3385"/>
    <w:rsid w:val="001F394E"/>
    <w:rsid w:val="001F40C4"/>
    <w:rsid w:val="001F4695"/>
    <w:rsid w:val="001F4B67"/>
    <w:rsid w:val="001F5414"/>
    <w:rsid w:val="001F5B2D"/>
    <w:rsid w:val="001F5B81"/>
    <w:rsid w:val="001F5CC5"/>
    <w:rsid w:val="001F6009"/>
    <w:rsid w:val="001F61FC"/>
    <w:rsid w:val="001F65E8"/>
    <w:rsid w:val="001F663A"/>
    <w:rsid w:val="001F70F9"/>
    <w:rsid w:val="001F7BEB"/>
    <w:rsid w:val="001F7E5E"/>
    <w:rsid w:val="00200042"/>
    <w:rsid w:val="00200319"/>
    <w:rsid w:val="0020062B"/>
    <w:rsid w:val="00200C38"/>
    <w:rsid w:val="00201BE8"/>
    <w:rsid w:val="00202094"/>
    <w:rsid w:val="002030F3"/>
    <w:rsid w:val="00204A07"/>
    <w:rsid w:val="00204A35"/>
    <w:rsid w:val="00204D1F"/>
    <w:rsid w:val="002064D5"/>
    <w:rsid w:val="00207DED"/>
    <w:rsid w:val="00210024"/>
    <w:rsid w:val="00211770"/>
    <w:rsid w:val="00211AF3"/>
    <w:rsid w:val="00211C33"/>
    <w:rsid w:val="002124EC"/>
    <w:rsid w:val="0021274C"/>
    <w:rsid w:val="00213499"/>
    <w:rsid w:val="00213B4E"/>
    <w:rsid w:val="0021400C"/>
    <w:rsid w:val="00214226"/>
    <w:rsid w:val="002151E1"/>
    <w:rsid w:val="0021552F"/>
    <w:rsid w:val="002155C8"/>
    <w:rsid w:val="00215937"/>
    <w:rsid w:val="00215D68"/>
    <w:rsid w:val="002162E7"/>
    <w:rsid w:val="002167C5"/>
    <w:rsid w:val="00216C28"/>
    <w:rsid w:val="002177C4"/>
    <w:rsid w:val="00217D5D"/>
    <w:rsid w:val="00217E5F"/>
    <w:rsid w:val="00220BC6"/>
    <w:rsid w:val="00220C4D"/>
    <w:rsid w:val="0022101C"/>
    <w:rsid w:val="002214ED"/>
    <w:rsid w:val="0022181B"/>
    <w:rsid w:val="0022202D"/>
    <w:rsid w:val="00222176"/>
    <w:rsid w:val="00222AB4"/>
    <w:rsid w:val="002232F3"/>
    <w:rsid w:val="00224675"/>
    <w:rsid w:val="00224AF6"/>
    <w:rsid w:val="00225B7D"/>
    <w:rsid w:val="00225F51"/>
    <w:rsid w:val="002260B4"/>
    <w:rsid w:val="00226582"/>
    <w:rsid w:val="0022671F"/>
    <w:rsid w:val="00226816"/>
    <w:rsid w:val="00226818"/>
    <w:rsid w:val="00227153"/>
    <w:rsid w:val="002303E0"/>
    <w:rsid w:val="0023050F"/>
    <w:rsid w:val="00230B86"/>
    <w:rsid w:val="00230D9E"/>
    <w:rsid w:val="0023109E"/>
    <w:rsid w:val="00231374"/>
    <w:rsid w:val="00231959"/>
    <w:rsid w:val="002323AF"/>
    <w:rsid w:val="002324BC"/>
    <w:rsid w:val="00232519"/>
    <w:rsid w:val="00232B5B"/>
    <w:rsid w:val="0023364D"/>
    <w:rsid w:val="002337B0"/>
    <w:rsid w:val="00233C0A"/>
    <w:rsid w:val="00234CDE"/>
    <w:rsid w:val="00234DD7"/>
    <w:rsid w:val="00236CBB"/>
    <w:rsid w:val="00237F94"/>
    <w:rsid w:val="00240EFB"/>
    <w:rsid w:val="00241B75"/>
    <w:rsid w:val="00241B8E"/>
    <w:rsid w:val="00242D89"/>
    <w:rsid w:val="0024310D"/>
    <w:rsid w:val="00243622"/>
    <w:rsid w:val="00244DDE"/>
    <w:rsid w:val="00245370"/>
    <w:rsid w:val="0024588C"/>
    <w:rsid w:val="00245BFE"/>
    <w:rsid w:val="0024640F"/>
    <w:rsid w:val="002464CD"/>
    <w:rsid w:val="00246664"/>
    <w:rsid w:val="00246970"/>
    <w:rsid w:val="00246F43"/>
    <w:rsid w:val="00247A9D"/>
    <w:rsid w:val="00247CE7"/>
    <w:rsid w:val="0025008D"/>
    <w:rsid w:val="00250799"/>
    <w:rsid w:val="00250F44"/>
    <w:rsid w:val="00252954"/>
    <w:rsid w:val="0025314D"/>
    <w:rsid w:val="0025389E"/>
    <w:rsid w:val="00253AC6"/>
    <w:rsid w:val="00253E27"/>
    <w:rsid w:val="00253F3C"/>
    <w:rsid w:val="00254427"/>
    <w:rsid w:val="002549DB"/>
    <w:rsid w:val="00254A9C"/>
    <w:rsid w:val="00255ACA"/>
    <w:rsid w:val="002561F4"/>
    <w:rsid w:val="00256ACD"/>
    <w:rsid w:val="00257726"/>
    <w:rsid w:val="00257C36"/>
    <w:rsid w:val="00260ADD"/>
    <w:rsid w:val="00260BCB"/>
    <w:rsid w:val="00260FB6"/>
    <w:rsid w:val="00261309"/>
    <w:rsid w:val="00261665"/>
    <w:rsid w:val="00261C17"/>
    <w:rsid w:val="0026201C"/>
    <w:rsid w:val="002623E5"/>
    <w:rsid w:val="0026257E"/>
    <w:rsid w:val="002629F3"/>
    <w:rsid w:val="00263430"/>
    <w:rsid w:val="00263C0A"/>
    <w:rsid w:val="00264392"/>
    <w:rsid w:val="00264397"/>
    <w:rsid w:val="00264468"/>
    <w:rsid w:val="00264485"/>
    <w:rsid w:val="0026487D"/>
    <w:rsid w:val="0026569A"/>
    <w:rsid w:val="00265A4A"/>
    <w:rsid w:val="00265F3A"/>
    <w:rsid w:val="002661C2"/>
    <w:rsid w:val="00266640"/>
    <w:rsid w:val="00266BA9"/>
    <w:rsid w:val="00266FBE"/>
    <w:rsid w:val="002670E2"/>
    <w:rsid w:val="002673BD"/>
    <w:rsid w:val="0027119E"/>
    <w:rsid w:val="002719BE"/>
    <w:rsid w:val="00271C23"/>
    <w:rsid w:val="002721D8"/>
    <w:rsid w:val="002723AD"/>
    <w:rsid w:val="00272631"/>
    <w:rsid w:val="00272681"/>
    <w:rsid w:val="0027295A"/>
    <w:rsid w:val="00272AE3"/>
    <w:rsid w:val="002739A9"/>
    <w:rsid w:val="0027401F"/>
    <w:rsid w:val="00274249"/>
    <w:rsid w:val="00274719"/>
    <w:rsid w:val="00275204"/>
    <w:rsid w:val="00275B08"/>
    <w:rsid w:val="002763DE"/>
    <w:rsid w:val="00277081"/>
    <w:rsid w:val="00277090"/>
    <w:rsid w:val="00277A0E"/>
    <w:rsid w:val="00280B0E"/>
    <w:rsid w:val="00280B44"/>
    <w:rsid w:val="00280E7B"/>
    <w:rsid w:val="00280F2D"/>
    <w:rsid w:val="00280FDB"/>
    <w:rsid w:val="0028197F"/>
    <w:rsid w:val="00281E03"/>
    <w:rsid w:val="002821F3"/>
    <w:rsid w:val="002823FB"/>
    <w:rsid w:val="00282CF0"/>
    <w:rsid w:val="00282D72"/>
    <w:rsid w:val="002831C3"/>
    <w:rsid w:val="00283579"/>
    <w:rsid w:val="0028367D"/>
    <w:rsid w:val="00285012"/>
    <w:rsid w:val="002850E4"/>
    <w:rsid w:val="00285A9B"/>
    <w:rsid w:val="002867A7"/>
    <w:rsid w:val="00286E5A"/>
    <w:rsid w:val="002873BD"/>
    <w:rsid w:val="002878AA"/>
    <w:rsid w:val="00287CCF"/>
    <w:rsid w:val="00290566"/>
    <w:rsid w:val="00290872"/>
    <w:rsid w:val="00290EE6"/>
    <w:rsid w:val="00292748"/>
    <w:rsid w:val="00292840"/>
    <w:rsid w:val="00292A3E"/>
    <w:rsid w:val="002939C1"/>
    <w:rsid w:val="00293ADE"/>
    <w:rsid w:val="002941EB"/>
    <w:rsid w:val="00294C9A"/>
    <w:rsid w:val="00295AD1"/>
    <w:rsid w:val="00296160"/>
    <w:rsid w:val="002962F5"/>
    <w:rsid w:val="002963E1"/>
    <w:rsid w:val="002964DE"/>
    <w:rsid w:val="00296F43"/>
    <w:rsid w:val="002975C1"/>
    <w:rsid w:val="00297929"/>
    <w:rsid w:val="00297B89"/>
    <w:rsid w:val="002A0023"/>
    <w:rsid w:val="002A0120"/>
    <w:rsid w:val="002A0674"/>
    <w:rsid w:val="002A0F5E"/>
    <w:rsid w:val="002A18A8"/>
    <w:rsid w:val="002A2019"/>
    <w:rsid w:val="002A28C4"/>
    <w:rsid w:val="002A2C3B"/>
    <w:rsid w:val="002A5FDC"/>
    <w:rsid w:val="002A61BD"/>
    <w:rsid w:val="002A6202"/>
    <w:rsid w:val="002A6A56"/>
    <w:rsid w:val="002A72C5"/>
    <w:rsid w:val="002A7540"/>
    <w:rsid w:val="002A75DB"/>
    <w:rsid w:val="002B11AD"/>
    <w:rsid w:val="002B1565"/>
    <w:rsid w:val="002B1746"/>
    <w:rsid w:val="002B1D8A"/>
    <w:rsid w:val="002B20FA"/>
    <w:rsid w:val="002B277C"/>
    <w:rsid w:val="002B2DB1"/>
    <w:rsid w:val="002B3256"/>
    <w:rsid w:val="002B3AF1"/>
    <w:rsid w:val="002B3F65"/>
    <w:rsid w:val="002B3F95"/>
    <w:rsid w:val="002B3FAB"/>
    <w:rsid w:val="002B42EC"/>
    <w:rsid w:val="002B4C7B"/>
    <w:rsid w:val="002B5446"/>
    <w:rsid w:val="002B5756"/>
    <w:rsid w:val="002B57CC"/>
    <w:rsid w:val="002B69F3"/>
    <w:rsid w:val="002B735D"/>
    <w:rsid w:val="002B769A"/>
    <w:rsid w:val="002B79A7"/>
    <w:rsid w:val="002B7F2D"/>
    <w:rsid w:val="002C0919"/>
    <w:rsid w:val="002C11E4"/>
    <w:rsid w:val="002C1285"/>
    <w:rsid w:val="002C12AA"/>
    <w:rsid w:val="002C1713"/>
    <w:rsid w:val="002C267C"/>
    <w:rsid w:val="002C2987"/>
    <w:rsid w:val="002C312E"/>
    <w:rsid w:val="002C36C5"/>
    <w:rsid w:val="002C3C4E"/>
    <w:rsid w:val="002C501C"/>
    <w:rsid w:val="002C5067"/>
    <w:rsid w:val="002C5877"/>
    <w:rsid w:val="002C5ACC"/>
    <w:rsid w:val="002C6752"/>
    <w:rsid w:val="002C6A6F"/>
    <w:rsid w:val="002C733C"/>
    <w:rsid w:val="002C745A"/>
    <w:rsid w:val="002C7473"/>
    <w:rsid w:val="002C76F3"/>
    <w:rsid w:val="002D0A61"/>
    <w:rsid w:val="002D13A3"/>
    <w:rsid w:val="002D15D8"/>
    <w:rsid w:val="002D19F5"/>
    <w:rsid w:val="002D1F84"/>
    <w:rsid w:val="002D2607"/>
    <w:rsid w:val="002D26F3"/>
    <w:rsid w:val="002D2CFE"/>
    <w:rsid w:val="002D2DDA"/>
    <w:rsid w:val="002D2E27"/>
    <w:rsid w:val="002D2E39"/>
    <w:rsid w:val="002D2FFD"/>
    <w:rsid w:val="002D33E6"/>
    <w:rsid w:val="002D33EA"/>
    <w:rsid w:val="002D3919"/>
    <w:rsid w:val="002D3B93"/>
    <w:rsid w:val="002D3DD3"/>
    <w:rsid w:val="002D3F6D"/>
    <w:rsid w:val="002D469B"/>
    <w:rsid w:val="002D4CCE"/>
    <w:rsid w:val="002D58AB"/>
    <w:rsid w:val="002D6259"/>
    <w:rsid w:val="002D6BD9"/>
    <w:rsid w:val="002E018E"/>
    <w:rsid w:val="002E03F4"/>
    <w:rsid w:val="002E0E67"/>
    <w:rsid w:val="002E12B8"/>
    <w:rsid w:val="002E23F4"/>
    <w:rsid w:val="002E2BFA"/>
    <w:rsid w:val="002E2C09"/>
    <w:rsid w:val="002E2CF3"/>
    <w:rsid w:val="002E3099"/>
    <w:rsid w:val="002E38F9"/>
    <w:rsid w:val="002E4E1E"/>
    <w:rsid w:val="002E61E9"/>
    <w:rsid w:val="002E640C"/>
    <w:rsid w:val="002E6832"/>
    <w:rsid w:val="002E6A0F"/>
    <w:rsid w:val="002E6D0A"/>
    <w:rsid w:val="002E6F09"/>
    <w:rsid w:val="002E6F9A"/>
    <w:rsid w:val="002E7B23"/>
    <w:rsid w:val="002E7E54"/>
    <w:rsid w:val="002F1157"/>
    <w:rsid w:val="002F1DB6"/>
    <w:rsid w:val="002F1EC1"/>
    <w:rsid w:val="002F3696"/>
    <w:rsid w:val="002F3829"/>
    <w:rsid w:val="002F388D"/>
    <w:rsid w:val="002F4075"/>
    <w:rsid w:val="002F521F"/>
    <w:rsid w:val="002F55EF"/>
    <w:rsid w:val="002F5D94"/>
    <w:rsid w:val="002F6702"/>
    <w:rsid w:val="002F72C5"/>
    <w:rsid w:val="002F757A"/>
    <w:rsid w:val="002F7A24"/>
    <w:rsid w:val="002F7F4A"/>
    <w:rsid w:val="00300DD6"/>
    <w:rsid w:val="003017C1"/>
    <w:rsid w:val="00301895"/>
    <w:rsid w:val="0030225B"/>
    <w:rsid w:val="003025AF"/>
    <w:rsid w:val="00302A89"/>
    <w:rsid w:val="00302E99"/>
    <w:rsid w:val="00303164"/>
    <w:rsid w:val="00303BB5"/>
    <w:rsid w:val="00303EEA"/>
    <w:rsid w:val="00304D07"/>
    <w:rsid w:val="00305295"/>
    <w:rsid w:val="00305994"/>
    <w:rsid w:val="00305E3B"/>
    <w:rsid w:val="00306108"/>
    <w:rsid w:val="00306426"/>
    <w:rsid w:val="00306774"/>
    <w:rsid w:val="00306F23"/>
    <w:rsid w:val="0030700D"/>
    <w:rsid w:val="00307138"/>
    <w:rsid w:val="003071E1"/>
    <w:rsid w:val="0030738E"/>
    <w:rsid w:val="00307ECD"/>
    <w:rsid w:val="00307F42"/>
    <w:rsid w:val="00310FE9"/>
    <w:rsid w:val="00311411"/>
    <w:rsid w:val="00311721"/>
    <w:rsid w:val="00311AA2"/>
    <w:rsid w:val="00311E53"/>
    <w:rsid w:val="00312484"/>
    <w:rsid w:val="00312630"/>
    <w:rsid w:val="00313728"/>
    <w:rsid w:val="00313A85"/>
    <w:rsid w:val="00313B72"/>
    <w:rsid w:val="00313C3C"/>
    <w:rsid w:val="00314003"/>
    <w:rsid w:val="00314519"/>
    <w:rsid w:val="00314717"/>
    <w:rsid w:val="003148A7"/>
    <w:rsid w:val="00315F20"/>
    <w:rsid w:val="00316DD3"/>
    <w:rsid w:val="00317FD8"/>
    <w:rsid w:val="00320375"/>
    <w:rsid w:val="00320749"/>
    <w:rsid w:val="0032101F"/>
    <w:rsid w:val="00321CD6"/>
    <w:rsid w:val="00321D15"/>
    <w:rsid w:val="00322396"/>
    <w:rsid w:val="003223FF"/>
    <w:rsid w:val="00322CB9"/>
    <w:rsid w:val="00323EDB"/>
    <w:rsid w:val="00323EEF"/>
    <w:rsid w:val="00324857"/>
    <w:rsid w:val="00324A12"/>
    <w:rsid w:val="00324B8D"/>
    <w:rsid w:val="003258F3"/>
    <w:rsid w:val="00325C33"/>
    <w:rsid w:val="00326CC2"/>
    <w:rsid w:val="0032723A"/>
    <w:rsid w:val="00330399"/>
    <w:rsid w:val="00330940"/>
    <w:rsid w:val="00330F30"/>
    <w:rsid w:val="003312BC"/>
    <w:rsid w:val="003315B9"/>
    <w:rsid w:val="00331821"/>
    <w:rsid w:val="00331EAF"/>
    <w:rsid w:val="0033221B"/>
    <w:rsid w:val="00332519"/>
    <w:rsid w:val="00332A75"/>
    <w:rsid w:val="003331DC"/>
    <w:rsid w:val="003332A6"/>
    <w:rsid w:val="00333B4D"/>
    <w:rsid w:val="00333E64"/>
    <w:rsid w:val="0033484B"/>
    <w:rsid w:val="00334933"/>
    <w:rsid w:val="003357E2"/>
    <w:rsid w:val="003358A2"/>
    <w:rsid w:val="00335AC5"/>
    <w:rsid w:val="00335F73"/>
    <w:rsid w:val="0033620A"/>
    <w:rsid w:val="00336EA1"/>
    <w:rsid w:val="0033792C"/>
    <w:rsid w:val="0034080F"/>
    <w:rsid w:val="00341507"/>
    <w:rsid w:val="003417EC"/>
    <w:rsid w:val="00341D8B"/>
    <w:rsid w:val="003420A5"/>
    <w:rsid w:val="003429D5"/>
    <w:rsid w:val="00342F0A"/>
    <w:rsid w:val="0034320D"/>
    <w:rsid w:val="00343387"/>
    <w:rsid w:val="00343CC9"/>
    <w:rsid w:val="00343FFD"/>
    <w:rsid w:val="003442BE"/>
    <w:rsid w:val="00344316"/>
    <w:rsid w:val="0034443C"/>
    <w:rsid w:val="00344597"/>
    <w:rsid w:val="003445CD"/>
    <w:rsid w:val="003445E5"/>
    <w:rsid w:val="003449E9"/>
    <w:rsid w:val="003450E3"/>
    <w:rsid w:val="00345339"/>
    <w:rsid w:val="00345895"/>
    <w:rsid w:val="003458C3"/>
    <w:rsid w:val="00345B17"/>
    <w:rsid w:val="0034668E"/>
    <w:rsid w:val="003466B0"/>
    <w:rsid w:val="003467F7"/>
    <w:rsid w:val="003477D5"/>
    <w:rsid w:val="00347F41"/>
    <w:rsid w:val="00350248"/>
    <w:rsid w:val="003502F0"/>
    <w:rsid w:val="00350787"/>
    <w:rsid w:val="003507C9"/>
    <w:rsid w:val="00350FE7"/>
    <w:rsid w:val="00352790"/>
    <w:rsid w:val="00352832"/>
    <w:rsid w:val="00352B09"/>
    <w:rsid w:val="003530AA"/>
    <w:rsid w:val="00353165"/>
    <w:rsid w:val="00354617"/>
    <w:rsid w:val="00354855"/>
    <w:rsid w:val="003548DF"/>
    <w:rsid w:val="00354A42"/>
    <w:rsid w:val="00354BC1"/>
    <w:rsid w:val="00354C25"/>
    <w:rsid w:val="0035692E"/>
    <w:rsid w:val="00356D75"/>
    <w:rsid w:val="00356F9D"/>
    <w:rsid w:val="00360440"/>
    <w:rsid w:val="00360FB3"/>
    <w:rsid w:val="0036161B"/>
    <w:rsid w:val="00361DD8"/>
    <w:rsid w:val="003623FA"/>
    <w:rsid w:val="00362C55"/>
    <w:rsid w:val="00363038"/>
    <w:rsid w:val="00363F55"/>
    <w:rsid w:val="003641E9"/>
    <w:rsid w:val="00364209"/>
    <w:rsid w:val="00364B32"/>
    <w:rsid w:val="003653DC"/>
    <w:rsid w:val="003671A8"/>
    <w:rsid w:val="0036765F"/>
    <w:rsid w:val="00367685"/>
    <w:rsid w:val="00367A88"/>
    <w:rsid w:val="00370217"/>
    <w:rsid w:val="00370385"/>
    <w:rsid w:val="0037042A"/>
    <w:rsid w:val="003705F6"/>
    <w:rsid w:val="00371C72"/>
    <w:rsid w:val="00372FA3"/>
    <w:rsid w:val="00373F4D"/>
    <w:rsid w:val="003742DC"/>
    <w:rsid w:val="003745A5"/>
    <w:rsid w:val="00374F19"/>
    <w:rsid w:val="003752E6"/>
    <w:rsid w:val="00375850"/>
    <w:rsid w:val="00375AA4"/>
    <w:rsid w:val="00375B3E"/>
    <w:rsid w:val="00375C0D"/>
    <w:rsid w:val="00376130"/>
    <w:rsid w:val="0037620E"/>
    <w:rsid w:val="00376465"/>
    <w:rsid w:val="003769E6"/>
    <w:rsid w:val="00376D85"/>
    <w:rsid w:val="003771EC"/>
    <w:rsid w:val="003778C1"/>
    <w:rsid w:val="00380452"/>
    <w:rsid w:val="003805FF"/>
    <w:rsid w:val="0038098A"/>
    <w:rsid w:val="003816A5"/>
    <w:rsid w:val="00381751"/>
    <w:rsid w:val="00381818"/>
    <w:rsid w:val="0038185B"/>
    <w:rsid w:val="003828A0"/>
    <w:rsid w:val="003836B8"/>
    <w:rsid w:val="003840D5"/>
    <w:rsid w:val="0038471E"/>
    <w:rsid w:val="00385253"/>
    <w:rsid w:val="0038593E"/>
    <w:rsid w:val="00385DB1"/>
    <w:rsid w:val="00385E93"/>
    <w:rsid w:val="00385F64"/>
    <w:rsid w:val="00386176"/>
    <w:rsid w:val="0038645D"/>
    <w:rsid w:val="003867F5"/>
    <w:rsid w:val="00386FA4"/>
    <w:rsid w:val="003870E2"/>
    <w:rsid w:val="00387D47"/>
    <w:rsid w:val="00390959"/>
    <w:rsid w:val="00390C6C"/>
    <w:rsid w:val="003910FE"/>
    <w:rsid w:val="00391130"/>
    <w:rsid w:val="00391F21"/>
    <w:rsid w:val="00392D90"/>
    <w:rsid w:val="003937E4"/>
    <w:rsid w:val="003940E8"/>
    <w:rsid w:val="0039415F"/>
    <w:rsid w:val="0039476B"/>
    <w:rsid w:val="00394D58"/>
    <w:rsid w:val="00395333"/>
    <w:rsid w:val="0039571E"/>
    <w:rsid w:val="00395B9B"/>
    <w:rsid w:val="00396372"/>
    <w:rsid w:val="0039704F"/>
    <w:rsid w:val="00397292"/>
    <w:rsid w:val="00397557"/>
    <w:rsid w:val="00397B84"/>
    <w:rsid w:val="00397E59"/>
    <w:rsid w:val="003A06B1"/>
    <w:rsid w:val="003A0EEA"/>
    <w:rsid w:val="003A158B"/>
    <w:rsid w:val="003A2477"/>
    <w:rsid w:val="003A279A"/>
    <w:rsid w:val="003A3430"/>
    <w:rsid w:val="003A3642"/>
    <w:rsid w:val="003A37D7"/>
    <w:rsid w:val="003A5275"/>
    <w:rsid w:val="003A53F1"/>
    <w:rsid w:val="003A6980"/>
    <w:rsid w:val="003A78B4"/>
    <w:rsid w:val="003B0347"/>
    <w:rsid w:val="003B07A4"/>
    <w:rsid w:val="003B1698"/>
    <w:rsid w:val="003B1876"/>
    <w:rsid w:val="003B1E4A"/>
    <w:rsid w:val="003B29EE"/>
    <w:rsid w:val="003B333E"/>
    <w:rsid w:val="003B3CCD"/>
    <w:rsid w:val="003B3F69"/>
    <w:rsid w:val="003B43F5"/>
    <w:rsid w:val="003B44CF"/>
    <w:rsid w:val="003B48F5"/>
    <w:rsid w:val="003B497F"/>
    <w:rsid w:val="003B714E"/>
    <w:rsid w:val="003B75A6"/>
    <w:rsid w:val="003B76A6"/>
    <w:rsid w:val="003B7F1A"/>
    <w:rsid w:val="003C0554"/>
    <w:rsid w:val="003C087B"/>
    <w:rsid w:val="003C0DA7"/>
    <w:rsid w:val="003C120A"/>
    <w:rsid w:val="003C1F5E"/>
    <w:rsid w:val="003C268E"/>
    <w:rsid w:val="003C2E07"/>
    <w:rsid w:val="003C2FB2"/>
    <w:rsid w:val="003C3AEA"/>
    <w:rsid w:val="003C410D"/>
    <w:rsid w:val="003C49A0"/>
    <w:rsid w:val="003C4A32"/>
    <w:rsid w:val="003C4C08"/>
    <w:rsid w:val="003C4E8A"/>
    <w:rsid w:val="003C5C38"/>
    <w:rsid w:val="003C5DDC"/>
    <w:rsid w:val="003C641E"/>
    <w:rsid w:val="003C651E"/>
    <w:rsid w:val="003C65D4"/>
    <w:rsid w:val="003C67A1"/>
    <w:rsid w:val="003C67B4"/>
    <w:rsid w:val="003C73A6"/>
    <w:rsid w:val="003C7441"/>
    <w:rsid w:val="003C74F5"/>
    <w:rsid w:val="003C79DE"/>
    <w:rsid w:val="003C7A0A"/>
    <w:rsid w:val="003C7ED3"/>
    <w:rsid w:val="003D04C8"/>
    <w:rsid w:val="003D09AF"/>
    <w:rsid w:val="003D0B15"/>
    <w:rsid w:val="003D21EA"/>
    <w:rsid w:val="003D368A"/>
    <w:rsid w:val="003D3A78"/>
    <w:rsid w:val="003D3C5A"/>
    <w:rsid w:val="003D3F33"/>
    <w:rsid w:val="003D4A32"/>
    <w:rsid w:val="003D4A85"/>
    <w:rsid w:val="003D4BC0"/>
    <w:rsid w:val="003D61F6"/>
    <w:rsid w:val="003D6434"/>
    <w:rsid w:val="003D65ED"/>
    <w:rsid w:val="003D6F8F"/>
    <w:rsid w:val="003D756D"/>
    <w:rsid w:val="003D7F12"/>
    <w:rsid w:val="003E01AB"/>
    <w:rsid w:val="003E023F"/>
    <w:rsid w:val="003E0509"/>
    <w:rsid w:val="003E0C4E"/>
    <w:rsid w:val="003E1DC1"/>
    <w:rsid w:val="003E2730"/>
    <w:rsid w:val="003E286A"/>
    <w:rsid w:val="003E2D6D"/>
    <w:rsid w:val="003E2F97"/>
    <w:rsid w:val="003E349A"/>
    <w:rsid w:val="003E372F"/>
    <w:rsid w:val="003E3EBB"/>
    <w:rsid w:val="003E3F5E"/>
    <w:rsid w:val="003E4220"/>
    <w:rsid w:val="003E4867"/>
    <w:rsid w:val="003E50EC"/>
    <w:rsid w:val="003E5FBD"/>
    <w:rsid w:val="003E6015"/>
    <w:rsid w:val="003E63A6"/>
    <w:rsid w:val="003E66DF"/>
    <w:rsid w:val="003E6E1C"/>
    <w:rsid w:val="003F0F34"/>
    <w:rsid w:val="003F0F6D"/>
    <w:rsid w:val="003F1F39"/>
    <w:rsid w:val="003F3E6D"/>
    <w:rsid w:val="003F40D7"/>
    <w:rsid w:val="003F4229"/>
    <w:rsid w:val="003F42B6"/>
    <w:rsid w:val="003F47DC"/>
    <w:rsid w:val="003F4B11"/>
    <w:rsid w:val="003F4DC3"/>
    <w:rsid w:val="003F4EF1"/>
    <w:rsid w:val="003F5742"/>
    <w:rsid w:val="003F5973"/>
    <w:rsid w:val="003F5A38"/>
    <w:rsid w:val="003F64AF"/>
    <w:rsid w:val="003F66AF"/>
    <w:rsid w:val="003F69E6"/>
    <w:rsid w:val="003F70C7"/>
    <w:rsid w:val="003F740F"/>
    <w:rsid w:val="0040010A"/>
    <w:rsid w:val="00400540"/>
    <w:rsid w:val="00400A20"/>
    <w:rsid w:val="00400A4B"/>
    <w:rsid w:val="00400CAA"/>
    <w:rsid w:val="00400DF1"/>
    <w:rsid w:val="004019B9"/>
    <w:rsid w:val="00401FB9"/>
    <w:rsid w:val="00402261"/>
    <w:rsid w:val="00402B5B"/>
    <w:rsid w:val="00402FC8"/>
    <w:rsid w:val="004032DB"/>
    <w:rsid w:val="0040335B"/>
    <w:rsid w:val="0040393B"/>
    <w:rsid w:val="00403B9D"/>
    <w:rsid w:val="004043AB"/>
    <w:rsid w:val="00404747"/>
    <w:rsid w:val="0040481B"/>
    <w:rsid w:val="00404D41"/>
    <w:rsid w:val="0040531F"/>
    <w:rsid w:val="004057E9"/>
    <w:rsid w:val="00405870"/>
    <w:rsid w:val="00405A53"/>
    <w:rsid w:val="00405A5F"/>
    <w:rsid w:val="00405DB0"/>
    <w:rsid w:val="004064BD"/>
    <w:rsid w:val="00406C91"/>
    <w:rsid w:val="00407708"/>
    <w:rsid w:val="0040778D"/>
    <w:rsid w:val="004102B0"/>
    <w:rsid w:val="00410704"/>
    <w:rsid w:val="004114B6"/>
    <w:rsid w:val="00411548"/>
    <w:rsid w:val="0041195B"/>
    <w:rsid w:val="00411A1C"/>
    <w:rsid w:val="00411C1F"/>
    <w:rsid w:val="00411F0E"/>
    <w:rsid w:val="00412191"/>
    <w:rsid w:val="004126E6"/>
    <w:rsid w:val="004127C8"/>
    <w:rsid w:val="00413A1F"/>
    <w:rsid w:val="00413F66"/>
    <w:rsid w:val="0041416F"/>
    <w:rsid w:val="004143E5"/>
    <w:rsid w:val="0041441F"/>
    <w:rsid w:val="004159FF"/>
    <w:rsid w:val="00415B8B"/>
    <w:rsid w:val="00415BE3"/>
    <w:rsid w:val="00415DB4"/>
    <w:rsid w:val="00415F02"/>
    <w:rsid w:val="00415F6A"/>
    <w:rsid w:val="0041688F"/>
    <w:rsid w:val="00416C68"/>
    <w:rsid w:val="00417ABB"/>
    <w:rsid w:val="00417CCE"/>
    <w:rsid w:val="00417DC6"/>
    <w:rsid w:val="00420F53"/>
    <w:rsid w:val="004211C5"/>
    <w:rsid w:val="00421899"/>
    <w:rsid w:val="00422A0B"/>
    <w:rsid w:val="0042386C"/>
    <w:rsid w:val="00423C23"/>
    <w:rsid w:val="00424090"/>
    <w:rsid w:val="004241F5"/>
    <w:rsid w:val="00424CC9"/>
    <w:rsid w:val="00425B26"/>
    <w:rsid w:val="00425E62"/>
    <w:rsid w:val="004260C7"/>
    <w:rsid w:val="00426BBD"/>
    <w:rsid w:val="00427FAB"/>
    <w:rsid w:val="004300D0"/>
    <w:rsid w:val="00430244"/>
    <w:rsid w:val="0043027D"/>
    <w:rsid w:val="004303DF"/>
    <w:rsid w:val="004317A8"/>
    <w:rsid w:val="0043199A"/>
    <w:rsid w:val="00432926"/>
    <w:rsid w:val="0043409B"/>
    <w:rsid w:val="004341BA"/>
    <w:rsid w:val="004347B2"/>
    <w:rsid w:val="004357AA"/>
    <w:rsid w:val="00435CAC"/>
    <w:rsid w:val="004361B7"/>
    <w:rsid w:val="00437623"/>
    <w:rsid w:val="0043776F"/>
    <w:rsid w:val="00440AA4"/>
    <w:rsid w:val="00441155"/>
    <w:rsid w:val="004413D1"/>
    <w:rsid w:val="004414FB"/>
    <w:rsid w:val="00441BEC"/>
    <w:rsid w:val="00441ECE"/>
    <w:rsid w:val="00442B20"/>
    <w:rsid w:val="0044339C"/>
    <w:rsid w:val="00443548"/>
    <w:rsid w:val="00443AF4"/>
    <w:rsid w:val="00443E14"/>
    <w:rsid w:val="00443F59"/>
    <w:rsid w:val="00444573"/>
    <w:rsid w:val="004445E7"/>
    <w:rsid w:val="004445FB"/>
    <w:rsid w:val="00444CCF"/>
    <w:rsid w:val="00444DE9"/>
    <w:rsid w:val="00445903"/>
    <w:rsid w:val="00446244"/>
    <w:rsid w:val="00446281"/>
    <w:rsid w:val="00446441"/>
    <w:rsid w:val="0044651A"/>
    <w:rsid w:val="004471D8"/>
    <w:rsid w:val="00447B2C"/>
    <w:rsid w:val="004501ED"/>
    <w:rsid w:val="00450488"/>
    <w:rsid w:val="00450C8C"/>
    <w:rsid w:val="00450FF1"/>
    <w:rsid w:val="004512F6"/>
    <w:rsid w:val="004515CE"/>
    <w:rsid w:val="00451891"/>
    <w:rsid w:val="00452BC5"/>
    <w:rsid w:val="004531FD"/>
    <w:rsid w:val="0045332D"/>
    <w:rsid w:val="004538EC"/>
    <w:rsid w:val="00453977"/>
    <w:rsid w:val="00453B37"/>
    <w:rsid w:val="00453CD0"/>
    <w:rsid w:val="00454109"/>
    <w:rsid w:val="004543D9"/>
    <w:rsid w:val="00454603"/>
    <w:rsid w:val="004546B4"/>
    <w:rsid w:val="00455387"/>
    <w:rsid w:val="004564E6"/>
    <w:rsid w:val="00456841"/>
    <w:rsid w:val="00456AB5"/>
    <w:rsid w:val="00456CF3"/>
    <w:rsid w:val="00457736"/>
    <w:rsid w:val="00457983"/>
    <w:rsid w:val="00460114"/>
    <w:rsid w:val="0046088E"/>
    <w:rsid w:val="00460F76"/>
    <w:rsid w:val="00460FE7"/>
    <w:rsid w:val="00461491"/>
    <w:rsid w:val="0046158C"/>
    <w:rsid w:val="0046194D"/>
    <w:rsid w:val="00461A65"/>
    <w:rsid w:val="00461C77"/>
    <w:rsid w:val="00461D0E"/>
    <w:rsid w:val="0046234A"/>
    <w:rsid w:val="004624E3"/>
    <w:rsid w:val="00462DFD"/>
    <w:rsid w:val="00463102"/>
    <w:rsid w:val="0046348B"/>
    <w:rsid w:val="00463FA2"/>
    <w:rsid w:val="00464B14"/>
    <w:rsid w:val="00464C70"/>
    <w:rsid w:val="00466A3B"/>
    <w:rsid w:val="00466E69"/>
    <w:rsid w:val="004670AA"/>
    <w:rsid w:val="004672C2"/>
    <w:rsid w:val="00467AE7"/>
    <w:rsid w:val="00467AFC"/>
    <w:rsid w:val="00467D7D"/>
    <w:rsid w:val="0047071B"/>
    <w:rsid w:val="00470C19"/>
    <w:rsid w:val="00470D51"/>
    <w:rsid w:val="00471425"/>
    <w:rsid w:val="00472338"/>
    <w:rsid w:val="00472CEB"/>
    <w:rsid w:val="00472D0D"/>
    <w:rsid w:val="00472DAB"/>
    <w:rsid w:val="00473390"/>
    <w:rsid w:val="004733DB"/>
    <w:rsid w:val="00474775"/>
    <w:rsid w:val="00474E8D"/>
    <w:rsid w:val="004767A1"/>
    <w:rsid w:val="00476C83"/>
    <w:rsid w:val="0047748D"/>
    <w:rsid w:val="004775D8"/>
    <w:rsid w:val="004776F5"/>
    <w:rsid w:val="00480262"/>
    <w:rsid w:val="0048086F"/>
    <w:rsid w:val="00480896"/>
    <w:rsid w:val="00480BE6"/>
    <w:rsid w:val="004816CF"/>
    <w:rsid w:val="0048241F"/>
    <w:rsid w:val="004833F6"/>
    <w:rsid w:val="00483854"/>
    <w:rsid w:val="004842FA"/>
    <w:rsid w:val="004858AF"/>
    <w:rsid w:val="00486302"/>
    <w:rsid w:val="00486DE7"/>
    <w:rsid w:val="004871D8"/>
    <w:rsid w:val="004879A0"/>
    <w:rsid w:val="00487EB5"/>
    <w:rsid w:val="00490797"/>
    <w:rsid w:val="00491148"/>
    <w:rsid w:val="00491ABF"/>
    <w:rsid w:val="00491EDB"/>
    <w:rsid w:val="00492C86"/>
    <w:rsid w:val="00493017"/>
    <w:rsid w:val="004936B7"/>
    <w:rsid w:val="00493AD0"/>
    <w:rsid w:val="00493D31"/>
    <w:rsid w:val="00493FF9"/>
    <w:rsid w:val="0049492D"/>
    <w:rsid w:val="004949C4"/>
    <w:rsid w:val="00495389"/>
    <w:rsid w:val="00495C4E"/>
    <w:rsid w:val="00496282"/>
    <w:rsid w:val="00496A98"/>
    <w:rsid w:val="00496E05"/>
    <w:rsid w:val="0049714F"/>
    <w:rsid w:val="00497174"/>
    <w:rsid w:val="00497229"/>
    <w:rsid w:val="0049753C"/>
    <w:rsid w:val="004A064E"/>
    <w:rsid w:val="004A0700"/>
    <w:rsid w:val="004A0AEB"/>
    <w:rsid w:val="004A0C9D"/>
    <w:rsid w:val="004A2A94"/>
    <w:rsid w:val="004A2CB6"/>
    <w:rsid w:val="004A3322"/>
    <w:rsid w:val="004A3880"/>
    <w:rsid w:val="004A4540"/>
    <w:rsid w:val="004A49B8"/>
    <w:rsid w:val="004A4FA1"/>
    <w:rsid w:val="004A544C"/>
    <w:rsid w:val="004A551F"/>
    <w:rsid w:val="004A5AE3"/>
    <w:rsid w:val="004A6457"/>
    <w:rsid w:val="004A76B7"/>
    <w:rsid w:val="004A79D1"/>
    <w:rsid w:val="004B0324"/>
    <w:rsid w:val="004B16B9"/>
    <w:rsid w:val="004B274A"/>
    <w:rsid w:val="004B27D4"/>
    <w:rsid w:val="004B27E6"/>
    <w:rsid w:val="004B30C8"/>
    <w:rsid w:val="004B31A8"/>
    <w:rsid w:val="004B31B4"/>
    <w:rsid w:val="004B33B9"/>
    <w:rsid w:val="004B3508"/>
    <w:rsid w:val="004B4C73"/>
    <w:rsid w:val="004B5800"/>
    <w:rsid w:val="004B6192"/>
    <w:rsid w:val="004B64D6"/>
    <w:rsid w:val="004B6B92"/>
    <w:rsid w:val="004B742A"/>
    <w:rsid w:val="004C0149"/>
    <w:rsid w:val="004C2273"/>
    <w:rsid w:val="004C30BE"/>
    <w:rsid w:val="004C3354"/>
    <w:rsid w:val="004C3780"/>
    <w:rsid w:val="004C3EF4"/>
    <w:rsid w:val="004C42EC"/>
    <w:rsid w:val="004C4B0F"/>
    <w:rsid w:val="004C4DBE"/>
    <w:rsid w:val="004C4E86"/>
    <w:rsid w:val="004C5182"/>
    <w:rsid w:val="004C5601"/>
    <w:rsid w:val="004C5CB9"/>
    <w:rsid w:val="004C63AF"/>
    <w:rsid w:val="004C63C8"/>
    <w:rsid w:val="004C7122"/>
    <w:rsid w:val="004D05A8"/>
    <w:rsid w:val="004D08B4"/>
    <w:rsid w:val="004D1852"/>
    <w:rsid w:val="004D247B"/>
    <w:rsid w:val="004D2B92"/>
    <w:rsid w:val="004D2D78"/>
    <w:rsid w:val="004D339F"/>
    <w:rsid w:val="004D3562"/>
    <w:rsid w:val="004D35B6"/>
    <w:rsid w:val="004D3AA2"/>
    <w:rsid w:val="004D3D4A"/>
    <w:rsid w:val="004D3FE6"/>
    <w:rsid w:val="004D40D6"/>
    <w:rsid w:val="004D42E1"/>
    <w:rsid w:val="004D46B9"/>
    <w:rsid w:val="004D47BE"/>
    <w:rsid w:val="004D49BA"/>
    <w:rsid w:val="004D552E"/>
    <w:rsid w:val="004D5D53"/>
    <w:rsid w:val="004D64D3"/>
    <w:rsid w:val="004D6842"/>
    <w:rsid w:val="004D6BBA"/>
    <w:rsid w:val="004D6FF4"/>
    <w:rsid w:val="004D708B"/>
    <w:rsid w:val="004D70BF"/>
    <w:rsid w:val="004D7914"/>
    <w:rsid w:val="004E12E6"/>
    <w:rsid w:val="004E17C7"/>
    <w:rsid w:val="004E1E05"/>
    <w:rsid w:val="004E1F15"/>
    <w:rsid w:val="004E2773"/>
    <w:rsid w:val="004E2D43"/>
    <w:rsid w:val="004E33E8"/>
    <w:rsid w:val="004E41ED"/>
    <w:rsid w:val="004E443F"/>
    <w:rsid w:val="004E5274"/>
    <w:rsid w:val="004E568E"/>
    <w:rsid w:val="004E5944"/>
    <w:rsid w:val="004E5A6D"/>
    <w:rsid w:val="004E61E3"/>
    <w:rsid w:val="004E623C"/>
    <w:rsid w:val="004E626F"/>
    <w:rsid w:val="004E656A"/>
    <w:rsid w:val="004E6765"/>
    <w:rsid w:val="004E6FAE"/>
    <w:rsid w:val="004E7220"/>
    <w:rsid w:val="004E7BC9"/>
    <w:rsid w:val="004E7C51"/>
    <w:rsid w:val="004F0F57"/>
    <w:rsid w:val="004F12CA"/>
    <w:rsid w:val="004F1DD4"/>
    <w:rsid w:val="004F22F5"/>
    <w:rsid w:val="004F2CAB"/>
    <w:rsid w:val="004F3651"/>
    <w:rsid w:val="004F3794"/>
    <w:rsid w:val="004F38B8"/>
    <w:rsid w:val="004F3CF5"/>
    <w:rsid w:val="004F53AF"/>
    <w:rsid w:val="004F5447"/>
    <w:rsid w:val="004F55E6"/>
    <w:rsid w:val="004F55F6"/>
    <w:rsid w:val="004F5E5E"/>
    <w:rsid w:val="004F6430"/>
    <w:rsid w:val="004F6460"/>
    <w:rsid w:val="004F6777"/>
    <w:rsid w:val="004F6926"/>
    <w:rsid w:val="004F7629"/>
    <w:rsid w:val="004F7822"/>
    <w:rsid w:val="00500EC4"/>
    <w:rsid w:val="0050113C"/>
    <w:rsid w:val="00503003"/>
    <w:rsid w:val="0050342F"/>
    <w:rsid w:val="00503F20"/>
    <w:rsid w:val="00504337"/>
    <w:rsid w:val="00504681"/>
    <w:rsid w:val="00504CBC"/>
    <w:rsid w:val="0050576C"/>
    <w:rsid w:val="00505A1B"/>
    <w:rsid w:val="0050686F"/>
    <w:rsid w:val="00506CE6"/>
    <w:rsid w:val="0050712F"/>
    <w:rsid w:val="00507974"/>
    <w:rsid w:val="00507BAE"/>
    <w:rsid w:val="00507F85"/>
    <w:rsid w:val="0051027F"/>
    <w:rsid w:val="0051038C"/>
    <w:rsid w:val="00510421"/>
    <w:rsid w:val="00510693"/>
    <w:rsid w:val="00510767"/>
    <w:rsid w:val="0051076A"/>
    <w:rsid w:val="00510870"/>
    <w:rsid w:val="00510E65"/>
    <w:rsid w:val="0051148B"/>
    <w:rsid w:val="005114F4"/>
    <w:rsid w:val="00511CE2"/>
    <w:rsid w:val="00511DC2"/>
    <w:rsid w:val="0051200D"/>
    <w:rsid w:val="00512104"/>
    <w:rsid w:val="00512C35"/>
    <w:rsid w:val="00512F92"/>
    <w:rsid w:val="005147A9"/>
    <w:rsid w:val="00514B55"/>
    <w:rsid w:val="00515158"/>
    <w:rsid w:val="005151B4"/>
    <w:rsid w:val="0051550C"/>
    <w:rsid w:val="00515CF9"/>
    <w:rsid w:val="00516137"/>
    <w:rsid w:val="00516247"/>
    <w:rsid w:val="0051641F"/>
    <w:rsid w:val="00516AFF"/>
    <w:rsid w:val="005170E5"/>
    <w:rsid w:val="005170EC"/>
    <w:rsid w:val="005177C6"/>
    <w:rsid w:val="00520709"/>
    <w:rsid w:val="005208CC"/>
    <w:rsid w:val="0052142B"/>
    <w:rsid w:val="005218A5"/>
    <w:rsid w:val="00521C6A"/>
    <w:rsid w:val="00522A89"/>
    <w:rsid w:val="00522E11"/>
    <w:rsid w:val="005233E4"/>
    <w:rsid w:val="0052341D"/>
    <w:rsid w:val="00523617"/>
    <w:rsid w:val="00523A8F"/>
    <w:rsid w:val="00523FDE"/>
    <w:rsid w:val="00524656"/>
    <w:rsid w:val="00524F9E"/>
    <w:rsid w:val="00524FA2"/>
    <w:rsid w:val="005256DC"/>
    <w:rsid w:val="00525EFD"/>
    <w:rsid w:val="00525F99"/>
    <w:rsid w:val="00526131"/>
    <w:rsid w:val="005262E2"/>
    <w:rsid w:val="0052653D"/>
    <w:rsid w:val="00526A22"/>
    <w:rsid w:val="00526E11"/>
    <w:rsid w:val="00527203"/>
    <w:rsid w:val="00527376"/>
    <w:rsid w:val="00527E87"/>
    <w:rsid w:val="005304A7"/>
    <w:rsid w:val="00530515"/>
    <w:rsid w:val="00531224"/>
    <w:rsid w:val="00531380"/>
    <w:rsid w:val="00532095"/>
    <w:rsid w:val="00532764"/>
    <w:rsid w:val="005328A0"/>
    <w:rsid w:val="005334DA"/>
    <w:rsid w:val="0053371D"/>
    <w:rsid w:val="00534442"/>
    <w:rsid w:val="00535466"/>
    <w:rsid w:val="005369F3"/>
    <w:rsid w:val="00536D4C"/>
    <w:rsid w:val="005370B2"/>
    <w:rsid w:val="005372A9"/>
    <w:rsid w:val="0054013E"/>
    <w:rsid w:val="005402B6"/>
    <w:rsid w:val="0054169F"/>
    <w:rsid w:val="005421A3"/>
    <w:rsid w:val="00542642"/>
    <w:rsid w:val="00542CD9"/>
    <w:rsid w:val="005434EE"/>
    <w:rsid w:val="00543A63"/>
    <w:rsid w:val="0054565A"/>
    <w:rsid w:val="00545B57"/>
    <w:rsid w:val="00545BFD"/>
    <w:rsid w:val="005461A3"/>
    <w:rsid w:val="0054620E"/>
    <w:rsid w:val="005475F2"/>
    <w:rsid w:val="005477B0"/>
    <w:rsid w:val="005477BF"/>
    <w:rsid w:val="005477D4"/>
    <w:rsid w:val="00547BCC"/>
    <w:rsid w:val="00547EF5"/>
    <w:rsid w:val="0055054A"/>
    <w:rsid w:val="00550C79"/>
    <w:rsid w:val="00552EE9"/>
    <w:rsid w:val="00553AF9"/>
    <w:rsid w:val="00553B77"/>
    <w:rsid w:val="005541E4"/>
    <w:rsid w:val="005558A4"/>
    <w:rsid w:val="00556371"/>
    <w:rsid w:val="005563A2"/>
    <w:rsid w:val="00556479"/>
    <w:rsid w:val="005567CE"/>
    <w:rsid w:val="005569C4"/>
    <w:rsid w:val="005571AB"/>
    <w:rsid w:val="00557670"/>
    <w:rsid w:val="00561967"/>
    <w:rsid w:val="00561CC1"/>
    <w:rsid w:val="00562723"/>
    <w:rsid w:val="00562AED"/>
    <w:rsid w:val="00564CA1"/>
    <w:rsid w:val="0056531A"/>
    <w:rsid w:val="0056545C"/>
    <w:rsid w:val="00566033"/>
    <w:rsid w:val="00566252"/>
    <w:rsid w:val="005666FD"/>
    <w:rsid w:val="00566AC9"/>
    <w:rsid w:val="00567030"/>
    <w:rsid w:val="0056743D"/>
    <w:rsid w:val="00567506"/>
    <w:rsid w:val="0057032F"/>
    <w:rsid w:val="005703A0"/>
    <w:rsid w:val="00570B5A"/>
    <w:rsid w:val="00570C77"/>
    <w:rsid w:val="00570F2C"/>
    <w:rsid w:val="0057231C"/>
    <w:rsid w:val="0057238D"/>
    <w:rsid w:val="005729B0"/>
    <w:rsid w:val="00572B53"/>
    <w:rsid w:val="00573023"/>
    <w:rsid w:val="00573327"/>
    <w:rsid w:val="005737C0"/>
    <w:rsid w:val="00573D68"/>
    <w:rsid w:val="005743FE"/>
    <w:rsid w:val="00574478"/>
    <w:rsid w:val="0057450F"/>
    <w:rsid w:val="0057472F"/>
    <w:rsid w:val="00574ABF"/>
    <w:rsid w:val="00574CF2"/>
    <w:rsid w:val="005751D7"/>
    <w:rsid w:val="00575719"/>
    <w:rsid w:val="0057580A"/>
    <w:rsid w:val="00575B84"/>
    <w:rsid w:val="00576584"/>
    <w:rsid w:val="00576ABC"/>
    <w:rsid w:val="00576FF0"/>
    <w:rsid w:val="00577336"/>
    <w:rsid w:val="005776EE"/>
    <w:rsid w:val="00577903"/>
    <w:rsid w:val="00580056"/>
    <w:rsid w:val="005806F4"/>
    <w:rsid w:val="00580F0F"/>
    <w:rsid w:val="005811F3"/>
    <w:rsid w:val="005813F8"/>
    <w:rsid w:val="0058153E"/>
    <w:rsid w:val="00581C6B"/>
    <w:rsid w:val="00581F76"/>
    <w:rsid w:val="0058278F"/>
    <w:rsid w:val="00582C06"/>
    <w:rsid w:val="0058329F"/>
    <w:rsid w:val="00584136"/>
    <w:rsid w:val="00584223"/>
    <w:rsid w:val="00585A7F"/>
    <w:rsid w:val="00590C96"/>
    <w:rsid w:val="00591AF6"/>
    <w:rsid w:val="00592502"/>
    <w:rsid w:val="0059273D"/>
    <w:rsid w:val="00592826"/>
    <w:rsid w:val="00592AC9"/>
    <w:rsid w:val="00593FF9"/>
    <w:rsid w:val="0059418F"/>
    <w:rsid w:val="005941F1"/>
    <w:rsid w:val="005950B1"/>
    <w:rsid w:val="00595403"/>
    <w:rsid w:val="00595413"/>
    <w:rsid w:val="00595488"/>
    <w:rsid w:val="005954E5"/>
    <w:rsid w:val="00595D1C"/>
    <w:rsid w:val="00595F50"/>
    <w:rsid w:val="0059732A"/>
    <w:rsid w:val="005976D1"/>
    <w:rsid w:val="005977D1"/>
    <w:rsid w:val="00597B32"/>
    <w:rsid w:val="005A0C09"/>
    <w:rsid w:val="005A104A"/>
    <w:rsid w:val="005A2DE5"/>
    <w:rsid w:val="005A31CB"/>
    <w:rsid w:val="005A3878"/>
    <w:rsid w:val="005A3AAB"/>
    <w:rsid w:val="005A3C73"/>
    <w:rsid w:val="005A52EF"/>
    <w:rsid w:val="005A5E83"/>
    <w:rsid w:val="005A60C8"/>
    <w:rsid w:val="005A66AC"/>
    <w:rsid w:val="005A6788"/>
    <w:rsid w:val="005A69DB"/>
    <w:rsid w:val="005A69E8"/>
    <w:rsid w:val="005A7839"/>
    <w:rsid w:val="005A7B2B"/>
    <w:rsid w:val="005A7D84"/>
    <w:rsid w:val="005B03AF"/>
    <w:rsid w:val="005B06D2"/>
    <w:rsid w:val="005B179D"/>
    <w:rsid w:val="005B2794"/>
    <w:rsid w:val="005B49CF"/>
    <w:rsid w:val="005B4D40"/>
    <w:rsid w:val="005B52E5"/>
    <w:rsid w:val="005B5420"/>
    <w:rsid w:val="005B6177"/>
    <w:rsid w:val="005B6230"/>
    <w:rsid w:val="005B6573"/>
    <w:rsid w:val="005B68C6"/>
    <w:rsid w:val="005C0F47"/>
    <w:rsid w:val="005C1440"/>
    <w:rsid w:val="005C1CEA"/>
    <w:rsid w:val="005C24C7"/>
    <w:rsid w:val="005C2E19"/>
    <w:rsid w:val="005C4971"/>
    <w:rsid w:val="005C5084"/>
    <w:rsid w:val="005C50EC"/>
    <w:rsid w:val="005C555C"/>
    <w:rsid w:val="005C578F"/>
    <w:rsid w:val="005C5923"/>
    <w:rsid w:val="005C5D08"/>
    <w:rsid w:val="005C64D6"/>
    <w:rsid w:val="005C68D8"/>
    <w:rsid w:val="005C6C46"/>
    <w:rsid w:val="005C71A5"/>
    <w:rsid w:val="005C7A89"/>
    <w:rsid w:val="005C7AEE"/>
    <w:rsid w:val="005D0016"/>
    <w:rsid w:val="005D091A"/>
    <w:rsid w:val="005D1293"/>
    <w:rsid w:val="005D163E"/>
    <w:rsid w:val="005D2C2E"/>
    <w:rsid w:val="005D31CA"/>
    <w:rsid w:val="005D31FD"/>
    <w:rsid w:val="005D3C39"/>
    <w:rsid w:val="005D4370"/>
    <w:rsid w:val="005D528C"/>
    <w:rsid w:val="005D56E7"/>
    <w:rsid w:val="005D5B0E"/>
    <w:rsid w:val="005D6410"/>
    <w:rsid w:val="005D6CC4"/>
    <w:rsid w:val="005D7152"/>
    <w:rsid w:val="005D7891"/>
    <w:rsid w:val="005D78B1"/>
    <w:rsid w:val="005D7B7F"/>
    <w:rsid w:val="005E06CB"/>
    <w:rsid w:val="005E1168"/>
    <w:rsid w:val="005E11F7"/>
    <w:rsid w:val="005E12A7"/>
    <w:rsid w:val="005E1529"/>
    <w:rsid w:val="005E17E4"/>
    <w:rsid w:val="005E2903"/>
    <w:rsid w:val="005E29D0"/>
    <w:rsid w:val="005E3005"/>
    <w:rsid w:val="005E38EB"/>
    <w:rsid w:val="005E3B75"/>
    <w:rsid w:val="005E42AC"/>
    <w:rsid w:val="005E46FF"/>
    <w:rsid w:val="005E4FE2"/>
    <w:rsid w:val="005E6EFC"/>
    <w:rsid w:val="005E72BD"/>
    <w:rsid w:val="005E77D9"/>
    <w:rsid w:val="005E7810"/>
    <w:rsid w:val="005F038E"/>
    <w:rsid w:val="005F07E8"/>
    <w:rsid w:val="005F11DA"/>
    <w:rsid w:val="005F1374"/>
    <w:rsid w:val="005F14FE"/>
    <w:rsid w:val="005F15C7"/>
    <w:rsid w:val="005F1C03"/>
    <w:rsid w:val="005F224C"/>
    <w:rsid w:val="005F29EE"/>
    <w:rsid w:val="005F2D56"/>
    <w:rsid w:val="005F3588"/>
    <w:rsid w:val="005F40B7"/>
    <w:rsid w:val="005F4E23"/>
    <w:rsid w:val="005F67A2"/>
    <w:rsid w:val="005F7028"/>
    <w:rsid w:val="005F771B"/>
    <w:rsid w:val="005F7FDC"/>
    <w:rsid w:val="0060033F"/>
    <w:rsid w:val="00600364"/>
    <w:rsid w:val="006005A0"/>
    <w:rsid w:val="00601566"/>
    <w:rsid w:val="00601E25"/>
    <w:rsid w:val="0060200A"/>
    <w:rsid w:val="006022DC"/>
    <w:rsid w:val="00602F45"/>
    <w:rsid w:val="006037B5"/>
    <w:rsid w:val="00603911"/>
    <w:rsid w:val="00604EC9"/>
    <w:rsid w:val="0060568A"/>
    <w:rsid w:val="00605C0E"/>
    <w:rsid w:val="0060646A"/>
    <w:rsid w:val="00606626"/>
    <w:rsid w:val="006067ED"/>
    <w:rsid w:val="006070B1"/>
    <w:rsid w:val="00610BFF"/>
    <w:rsid w:val="006112B6"/>
    <w:rsid w:val="0061138F"/>
    <w:rsid w:val="0061155D"/>
    <w:rsid w:val="00611D69"/>
    <w:rsid w:val="00611E15"/>
    <w:rsid w:val="00611EC6"/>
    <w:rsid w:val="0061302A"/>
    <w:rsid w:val="0061386C"/>
    <w:rsid w:val="00613D1B"/>
    <w:rsid w:val="006141C7"/>
    <w:rsid w:val="006143DA"/>
    <w:rsid w:val="00614BD7"/>
    <w:rsid w:val="00614D87"/>
    <w:rsid w:val="00615080"/>
    <w:rsid w:val="00616281"/>
    <w:rsid w:val="0061644B"/>
    <w:rsid w:val="0061673E"/>
    <w:rsid w:val="00616927"/>
    <w:rsid w:val="00616D5F"/>
    <w:rsid w:val="00617417"/>
    <w:rsid w:val="0061756B"/>
    <w:rsid w:val="0062096C"/>
    <w:rsid w:val="00620BC4"/>
    <w:rsid w:val="00620C17"/>
    <w:rsid w:val="00620C20"/>
    <w:rsid w:val="0062211B"/>
    <w:rsid w:val="00622C8D"/>
    <w:rsid w:val="0062403F"/>
    <w:rsid w:val="0062515E"/>
    <w:rsid w:val="006255E9"/>
    <w:rsid w:val="00626364"/>
    <w:rsid w:val="006300CF"/>
    <w:rsid w:val="0063025D"/>
    <w:rsid w:val="00630521"/>
    <w:rsid w:val="00630C34"/>
    <w:rsid w:val="00631AA4"/>
    <w:rsid w:val="00631E95"/>
    <w:rsid w:val="00632179"/>
    <w:rsid w:val="0063252D"/>
    <w:rsid w:val="0063297D"/>
    <w:rsid w:val="006329AB"/>
    <w:rsid w:val="00632F2F"/>
    <w:rsid w:val="0063367A"/>
    <w:rsid w:val="00633A10"/>
    <w:rsid w:val="00633A11"/>
    <w:rsid w:val="006346F4"/>
    <w:rsid w:val="00634806"/>
    <w:rsid w:val="00634CF1"/>
    <w:rsid w:val="00635471"/>
    <w:rsid w:val="00635786"/>
    <w:rsid w:val="00635EB0"/>
    <w:rsid w:val="006360E6"/>
    <w:rsid w:val="0063655A"/>
    <w:rsid w:val="006368D7"/>
    <w:rsid w:val="00636B37"/>
    <w:rsid w:val="00636BCB"/>
    <w:rsid w:val="00636C35"/>
    <w:rsid w:val="00636C4D"/>
    <w:rsid w:val="0063757A"/>
    <w:rsid w:val="006376D0"/>
    <w:rsid w:val="00637C5E"/>
    <w:rsid w:val="00637EC3"/>
    <w:rsid w:val="006404A9"/>
    <w:rsid w:val="00641551"/>
    <w:rsid w:val="00642077"/>
    <w:rsid w:val="0064219A"/>
    <w:rsid w:val="0064250E"/>
    <w:rsid w:val="006426E3"/>
    <w:rsid w:val="00642C5A"/>
    <w:rsid w:val="006430A1"/>
    <w:rsid w:val="0064339F"/>
    <w:rsid w:val="00643A58"/>
    <w:rsid w:val="00643CA8"/>
    <w:rsid w:val="00644CEA"/>
    <w:rsid w:val="00644EB7"/>
    <w:rsid w:val="006452B7"/>
    <w:rsid w:val="0064533E"/>
    <w:rsid w:val="006462D7"/>
    <w:rsid w:val="006468E5"/>
    <w:rsid w:val="00646E84"/>
    <w:rsid w:val="00647F88"/>
    <w:rsid w:val="006503DB"/>
    <w:rsid w:val="006508F1"/>
    <w:rsid w:val="00651380"/>
    <w:rsid w:val="00651658"/>
    <w:rsid w:val="0065167E"/>
    <w:rsid w:val="00651691"/>
    <w:rsid w:val="00651EA6"/>
    <w:rsid w:val="006521B2"/>
    <w:rsid w:val="0065289A"/>
    <w:rsid w:val="006529A1"/>
    <w:rsid w:val="00652B8A"/>
    <w:rsid w:val="00652DB9"/>
    <w:rsid w:val="00653008"/>
    <w:rsid w:val="00653080"/>
    <w:rsid w:val="006532C8"/>
    <w:rsid w:val="00653603"/>
    <w:rsid w:val="006536D3"/>
    <w:rsid w:val="0065371B"/>
    <w:rsid w:val="00654163"/>
    <w:rsid w:val="006545CF"/>
    <w:rsid w:val="0065476F"/>
    <w:rsid w:val="00655181"/>
    <w:rsid w:val="00655257"/>
    <w:rsid w:val="006555FB"/>
    <w:rsid w:val="00655701"/>
    <w:rsid w:val="00655F07"/>
    <w:rsid w:val="00657207"/>
    <w:rsid w:val="00657256"/>
    <w:rsid w:val="006578A4"/>
    <w:rsid w:val="00660737"/>
    <w:rsid w:val="006620C9"/>
    <w:rsid w:val="0066234B"/>
    <w:rsid w:val="00663631"/>
    <w:rsid w:val="006640A5"/>
    <w:rsid w:val="00664581"/>
    <w:rsid w:val="00664D62"/>
    <w:rsid w:val="0066510D"/>
    <w:rsid w:val="006655BB"/>
    <w:rsid w:val="00665858"/>
    <w:rsid w:val="0066608E"/>
    <w:rsid w:val="00666264"/>
    <w:rsid w:val="00666947"/>
    <w:rsid w:val="00666C69"/>
    <w:rsid w:val="00666D6B"/>
    <w:rsid w:val="00667423"/>
    <w:rsid w:val="0067021A"/>
    <w:rsid w:val="006705A1"/>
    <w:rsid w:val="00671219"/>
    <w:rsid w:val="006722A8"/>
    <w:rsid w:val="00672F5D"/>
    <w:rsid w:val="006735AF"/>
    <w:rsid w:val="006749F7"/>
    <w:rsid w:val="00674F2A"/>
    <w:rsid w:val="006750AF"/>
    <w:rsid w:val="0067533E"/>
    <w:rsid w:val="00675F97"/>
    <w:rsid w:val="00675FC2"/>
    <w:rsid w:val="00676341"/>
    <w:rsid w:val="00676789"/>
    <w:rsid w:val="00677B69"/>
    <w:rsid w:val="00680174"/>
    <w:rsid w:val="006804FA"/>
    <w:rsid w:val="0068060B"/>
    <w:rsid w:val="00680693"/>
    <w:rsid w:val="006808FE"/>
    <w:rsid w:val="006809A1"/>
    <w:rsid w:val="00681C83"/>
    <w:rsid w:val="00682D78"/>
    <w:rsid w:val="00682F23"/>
    <w:rsid w:val="00683272"/>
    <w:rsid w:val="00683B16"/>
    <w:rsid w:val="0068415E"/>
    <w:rsid w:val="00684C25"/>
    <w:rsid w:val="006865C0"/>
    <w:rsid w:val="0068726D"/>
    <w:rsid w:val="00687592"/>
    <w:rsid w:val="00687A5E"/>
    <w:rsid w:val="00687A70"/>
    <w:rsid w:val="006917F9"/>
    <w:rsid w:val="00691BFA"/>
    <w:rsid w:val="006927EB"/>
    <w:rsid w:val="006928E6"/>
    <w:rsid w:val="00693C6A"/>
    <w:rsid w:val="00693E06"/>
    <w:rsid w:val="006941C8"/>
    <w:rsid w:val="00694359"/>
    <w:rsid w:val="00694460"/>
    <w:rsid w:val="0069471D"/>
    <w:rsid w:val="00694A77"/>
    <w:rsid w:val="006952B4"/>
    <w:rsid w:val="0069550B"/>
    <w:rsid w:val="0069567E"/>
    <w:rsid w:val="0069582D"/>
    <w:rsid w:val="00695951"/>
    <w:rsid w:val="00696CC2"/>
    <w:rsid w:val="006973DD"/>
    <w:rsid w:val="00697A27"/>
    <w:rsid w:val="00697B3F"/>
    <w:rsid w:val="00697B4D"/>
    <w:rsid w:val="006A04DF"/>
    <w:rsid w:val="006A0604"/>
    <w:rsid w:val="006A0854"/>
    <w:rsid w:val="006A0914"/>
    <w:rsid w:val="006A0A4F"/>
    <w:rsid w:val="006A0D0E"/>
    <w:rsid w:val="006A0FDC"/>
    <w:rsid w:val="006A10AB"/>
    <w:rsid w:val="006A1CD0"/>
    <w:rsid w:val="006A1E75"/>
    <w:rsid w:val="006A2BF3"/>
    <w:rsid w:val="006A2C8C"/>
    <w:rsid w:val="006A2E1A"/>
    <w:rsid w:val="006A32D7"/>
    <w:rsid w:val="006A36F2"/>
    <w:rsid w:val="006A3A89"/>
    <w:rsid w:val="006A3B49"/>
    <w:rsid w:val="006A3FAE"/>
    <w:rsid w:val="006A41BC"/>
    <w:rsid w:val="006A455D"/>
    <w:rsid w:val="006A4668"/>
    <w:rsid w:val="006A4700"/>
    <w:rsid w:val="006A4C37"/>
    <w:rsid w:val="006A5B00"/>
    <w:rsid w:val="006A5DC4"/>
    <w:rsid w:val="006A68ED"/>
    <w:rsid w:val="006A6D4B"/>
    <w:rsid w:val="006A75D9"/>
    <w:rsid w:val="006A7658"/>
    <w:rsid w:val="006B0027"/>
    <w:rsid w:val="006B045A"/>
    <w:rsid w:val="006B141E"/>
    <w:rsid w:val="006B1532"/>
    <w:rsid w:val="006B1BE5"/>
    <w:rsid w:val="006B1C78"/>
    <w:rsid w:val="006B2659"/>
    <w:rsid w:val="006B26B5"/>
    <w:rsid w:val="006B278D"/>
    <w:rsid w:val="006B3E45"/>
    <w:rsid w:val="006B40FE"/>
    <w:rsid w:val="006B45C2"/>
    <w:rsid w:val="006B463B"/>
    <w:rsid w:val="006B52A9"/>
    <w:rsid w:val="006B52CC"/>
    <w:rsid w:val="006B61E0"/>
    <w:rsid w:val="006B661E"/>
    <w:rsid w:val="006B6A2B"/>
    <w:rsid w:val="006B7337"/>
    <w:rsid w:val="006B7A78"/>
    <w:rsid w:val="006B7E79"/>
    <w:rsid w:val="006C039E"/>
    <w:rsid w:val="006C052D"/>
    <w:rsid w:val="006C08CF"/>
    <w:rsid w:val="006C0A4A"/>
    <w:rsid w:val="006C21C3"/>
    <w:rsid w:val="006C3AA4"/>
    <w:rsid w:val="006C3F30"/>
    <w:rsid w:val="006C431A"/>
    <w:rsid w:val="006C4CB6"/>
    <w:rsid w:val="006C57B4"/>
    <w:rsid w:val="006C58F6"/>
    <w:rsid w:val="006C5982"/>
    <w:rsid w:val="006C5CC8"/>
    <w:rsid w:val="006C6175"/>
    <w:rsid w:val="006C676B"/>
    <w:rsid w:val="006C6C0F"/>
    <w:rsid w:val="006C6C4E"/>
    <w:rsid w:val="006C719F"/>
    <w:rsid w:val="006D0380"/>
    <w:rsid w:val="006D0B85"/>
    <w:rsid w:val="006D0BBB"/>
    <w:rsid w:val="006D1087"/>
    <w:rsid w:val="006D272D"/>
    <w:rsid w:val="006D2923"/>
    <w:rsid w:val="006D29F6"/>
    <w:rsid w:val="006D2D15"/>
    <w:rsid w:val="006D39B8"/>
    <w:rsid w:val="006D39D7"/>
    <w:rsid w:val="006D4732"/>
    <w:rsid w:val="006D4ED8"/>
    <w:rsid w:val="006D5767"/>
    <w:rsid w:val="006D5A0A"/>
    <w:rsid w:val="006D5B25"/>
    <w:rsid w:val="006D5B8D"/>
    <w:rsid w:val="006D60F4"/>
    <w:rsid w:val="006D624B"/>
    <w:rsid w:val="006D6354"/>
    <w:rsid w:val="006D64B0"/>
    <w:rsid w:val="006D6782"/>
    <w:rsid w:val="006D7663"/>
    <w:rsid w:val="006D7AFC"/>
    <w:rsid w:val="006E0425"/>
    <w:rsid w:val="006E0811"/>
    <w:rsid w:val="006E083A"/>
    <w:rsid w:val="006E099C"/>
    <w:rsid w:val="006E1BFC"/>
    <w:rsid w:val="006E207A"/>
    <w:rsid w:val="006E2BD3"/>
    <w:rsid w:val="006E2CE2"/>
    <w:rsid w:val="006E346A"/>
    <w:rsid w:val="006E34C1"/>
    <w:rsid w:val="006E3966"/>
    <w:rsid w:val="006E39E0"/>
    <w:rsid w:val="006E3FAC"/>
    <w:rsid w:val="006E3FF7"/>
    <w:rsid w:val="006E489B"/>
    <w:rsid w:val="006E4D67"/>
    <w:rsid w:val="006E4D7B"/>
    <w:rsid w:val="006E50E6"/>
    <w:rsid w:val="006E5BEA"/>
    <w:rsid w:val="006E67BB"/>
    <w:rsid w:val="006E72DA"/>
    <w:rsid w:val="006E7312"/>
    <w:rsid w:val="006E7BBF"/>
    <w:rsid w:val="006E7CF3"/>
    <w:rsid w:val="006E7D16"/>
    <w:rsid w:val="006E7F56"/>
    <w:rsid w:val="006F0D2C"/>
    <w:rsid w:val="006F0F05"/>
    <w:rsid w:val="006F12AC"/>
    <w:rsid w:val="006F1362"/>
    <w:rsid w:val="006F32FD"/>
    <w:rsid w:val="006F3622"/>
    <w:rsid w:val="006F3666"/>
    <w:rsid w:val="006F3825"/>
    <w:rsid w:val="006F3C68"/>
    <w:rsid w:val="006F3D04"/>
    <w:rsid w:val="006F4666"/>
    <w:rsid w:val="006F4B0C"/>
    <w:rsid w:val="006F4BD5"/>
    <w:rsid w:val="006F52C5"/>
    <w:rsid w:val="006F5558"/>
    <w:rsid w:val="006F560A"/>
    <w:rsid w:val="006F738D"/>
    <w:rsid w:val="006F7D87"/>
    <w:rsid w:val="007004D0"/>
    <w:rsid w:val="0070110F"/>
    <w:rsid w:val="007015C4"/>
    <w:rsid w:val="00701B31"/>
    <w:rsid w:val="00702060"/>
    <w:rsid w:val="0070214D"/>
    <w:rsid w:val="007021B1"/>
    <w:rsid w:val="0070223C"/>
    <w:rsid w:val="007022B0"/>
    <w:rsid w:val="0070262C"/>
    <w:rsid w:val="007027FB"/>
    <w:rsid w:val="00702A48"/>
    <w:rsid w:val="00702BC5"/>
    <w:rsid w:val="00704A16"/>
    <w:rsid w:val="00704A57"/>
    <w:rsid w:val="00704B49"/>
    <w:rsid w:val="00704DB8"/>
    <w:rsid w:val="00705C36"/>
    <w:rsid w:val="00705C61"/>
    <w:rsid w:val="00705EAC"/>
    <w:rsid w:val="00705ECF"/>
    <w:rsid w:val="00706A50"/>
    <w:rsid w:val="00707315"/>
    <w:rsid w:val="007079D1"/>
    <w:rsid w:val="00710701"/>
    <w:rsid w:val="0071077A"/>
    <w:rsid w:val="00710B25"/>
    <w:rsid w:val="00712541"/>
    <w:rsid w:val="00712DAE"/>
    <w:rsid w:val="00713083"/>
    <w:rsid w:val="0071344E"/>
    <w:rsid w:val="00713522"/>
    <w:rsid w:val="00713859"/>
    <w:rsid w:val="00713B07"/>
    <w:rsid w:val="00713DC8"/>
    <w:rsid w:val="00714386"/>
    <w:rsid w:val="007147F2"/>
    <w:rsid w:val="00714C50"/>
    <w:rsid w:val="00715901"/>
    <w:rsid w:val="00715B99"/>
    <w:rsid w:val="00715C7D"/>
    <w:rsid w:val="0071628D"/>
    <w:rsid w:val="00716C09"/>
    <w:rsid w:val="00716D8F"/>
    <w:rsid w:val="00716F99"/>
    <w:rsid w:val="00717065"/>
    <w:rsid w:val="00717149"/>
    <w:rsid w:val="0071719F"/>
    <w:rsid w:val="00717C06"/>
    <w:rsid w:val="00717EE9"/>
    <w:rsid w:val="007204EC"/>
    <w:rsid w:val="0072078F"/>
    <w:rsid w:val="007207E9"/>
    <w:rsid w:val="00720C62"/>
    <w:rsid w:val="00721612"/>
    <w:rsid w:val="00721B13"/>
    <w:rsid w:val="00722124"/>
    <w:rsid w:val="00722550"/>
    <w:rsid w:val="00722554"/>
    <w:rsid w:val="00722602"/>
    <w:rsid w:val="00722D8B"/>
    <w:rsid w:val="00723B2C"/>
    <w:rsid w:val="00723BCF"/>
    <w:rsid w:val="00723C03"/>
    <w:rsid w:val="00723F12"/>
    <w:rsid w:val="007246D0"/>
    <w:rsid w:val="0072520B"/>
    <w:rsid w:val="00725507"/>
    <w:rsid w:val="00725EE6"/>
    <w:rsid w:val="007272E9"/>
    <w:rsid w:val="00727CD8"/>
    <w:rsid w:val="00730C3D"/>
    <w:rsid w:val="00730E38"/>
    <w:rsid w:val="00731B2A"/>
    <w:rsid w:val="00731CFD"/>
    <w:rsid w:val="00731E21"/>
    <w:rsid w:val="00731FE9"/>
    <w:rsid w:val="00731FFC"/>
    <w:rsid w:val="0073296A"/>
    <w:rsid w:val="00732B05"/>
    <w:rsid w:val="00732E57"/>
    <w:rsid w:val="0073340E"/>
    <w:rsid w:val="00733AEE"/>
    <w:rsid w:val="0073441B"/>
    <w:rsid w:val="00734DE6"/>
    <w:rsid w:val="00734ECC"/>
    <w:rsid w:val="00735106"/>
    <w:rsid w:val="007352CF"/>
    <w:rsid w:val="00735594"/>
    <w:rsid w:val="00735937"/>
    <w:rsid w:val="00735958"/>
    <w:rsid w:val="00735AFD"/>
    <w:rsid w:val="00735CF3"/>
    <w:rsid w:val="00736F7A"/>
    <w:rsid w:val="00737B56"/>
    <w:rsid w:val="00737CA8"/>
    <w:rsid w:val="00737DD9"/>
    <w:rsid w:val="00737F38"/>
    <w:rsid w:val="00740CA9"/>
    <w:rsid w:val="00741031"/>
    <w:rsid w:val="00741453"/>
    <w:rsid w:val="00741676"/>
    <w:rsid w:val="007429B0"/>
    <w:rsid w:val="00742A9F"/>
    <w:rsid w:val="00742F80"/>
    <w:rsid w:val="007444C0"/>
    <w:rsid w:val="0074483C"/>
    <w:rsid w:val="00744CFC"/>
    <w:rsid w:val="00745688"/>
    <w:rsid w:val="00747406"/>
    <w:rsid w:val="007500C9"/>
    <w:rsid w:val="0075070E"/>
    <w:rsid w:val="0075078B"/>
    <w:rsid w:val="00751050"/>
    <w:rsid w:val="00751571"/>
    <w:rsid w:val="00751A79"/>
    <w:rsid w:val="00751C36"/>
    <w:rsid w:val="0075253E"/>
    <w:rsid w:val="007529F5"/>
    <w:rsid w:val="00752BC0"/>
    <w:rsid w:val="007533EC"/>
    <w:rsid w:val="0075394F"/>
    <w:rsid w:val="0075417E"/>
    <w:rsid w:val="007543BB"/>
    <w:rsid w:val="007543CC"/>
    <w:rsid w:val="007553B4"/>
    <w:rsid w:val="00755D03"/>
    <w:rsid w:val="00756B6A"/>
    <w:rsid w:val="0075703C"/>
    <w:rsid w:val="0075708B"/>
    <w:rsid w:val="007577E6"/>
    <w:rsid w:val="007578B3"/>
    <w:rsid w:val="00757EDA"/>
    <w:rsid w:val="00761718"/>
    <w:rsid w:val="00761722"/>
    <w:rsid w:val="007621A4"/>
    <w:rsid w:val="007624E6"/>
    <w:rsid w:val="007638CC"/>
    <w:rsid w:val="00763C0D"/>
    <w:rsid w:val="00763D01"/>
    <w:rsid w:val="00763F07"/>
    <w:rsid w:val="00763F2D"/>
    <w:rsid w:val="00764B15"/>
    <w:rsid w:val="00765DD2"/>
    <w:rsid w:val="0076742A"/>
    <w:rsid w:val="00767F30"/>
    <w:rsid w:val="0077013D"/>
    <w:rsid w:val="00770596"/>
    <w:rsid w:val="00770649"/>
    <w:rsid w:val="00770A7C"/>
    <w:rsid w:val="00771DC5"/>
    <w:rsid w:val="00772586"/>
    <w:rsid w:val="0077291A"/>
    <w:rsid w:val="00772D25"/>
    <w:rsid w:val="0077345B"/>
    <w:rsid w:val="00773685"/>
    <w:rsid w:val="00774272"/>
    <w:rsid w:val="007745EE"/>
    <w:rsid w:val="00774E0D"/>
    <w:rsid w:val="00775226"/>
    <w:rsid w:val="00775307"/>
    <w:rsid w:val="007757B5"/>
    <w:rsid w:val="00775C02"/>
    <w:rsid w:val="00775C42"/>
    <w:rsid w:val="007764D7"/>
    <w:rsid w:val="00776EFD"/>
    <w:rsid w:val="007775AA"/>
    <w:rsid w:val="00777A19"/>
    <w:rsid w:val="00777A9F"/>
    <w:rsid w:val="0078050C"/>
    <w:rsid w:val="00780DD6"/>
    <w:rsid w:val="00780E8C"/>
    <w:rsid w:val="0078108C"/>
    <w:rsid w:val="0078119F"/>
    <w:rsid w:val="00781368"/>
    <w:rsid w:val="0078184F"/>
    <w:rsid w:val="00781A31"/>
    <w:rsid w:val="00781F44"/>
    <w:rsid w:val="00781F7B"/>
    <w:rsid w:val="00782602"/>
    <w:rsid w:val="007848B4"/>
    <w:rsid w:val="00784A1A"/>
    <w:rsid w:val="0078530F"/>
    <w:rsid w:val="00786F2D"/>
    <w:rsid w:val="0078733A"/>
    <w:rsid w:val="00787A31"/>
    <w:rsid w:val="00787E4E"/>
    <w:rsid w:val="00791A27"/>
    <w:rsid w:val="00791CA7"/>
    <w:rsid w:val="007922C3"/>
    <w:rsid w:val="007923A7"/>
    <w:rsid w:val="007929EB"/>
    <w:rsid w:val="00792CB7"/>
    <w:rsid w:val="00792E5A"/>
    <w:rsid w:val="00792FE8"/>
    <w:rsid w:val="00793031"/>
    <w:rsid w:val="007935E5"/>
    <w:rsid w:val="007939D0"/>
    <w:rsid w:val="0079407C"/>
    <w:rsid w:val="007942EC"/>
    <w:rsid w:val="00794685"/>
    <w:rsid w:val="0079487B"/>
    <w:rsid w:val="0079501C"/>
    <w:rsid w:val="007955BB"/>
    <w:rsid w:val="0079568D"/>
    <w:rsid w:val="00795BAB"/>
    <w:rsid w:val="0079611E"/>
    <w:rsid w:val="0079754B"/>
    <w:rsid w:val="00797B6C"/>
    <w:rsid w:val="007A0103"/>
    <w:rsid w:val="007A01B5"/>
    <w:rsid w:val="007A02BE"/>
    <w:rsid w:val="007A0A06"/>
    <w:rsid w:val="007A1CED"/>
    <w:rsid w:val="007A1DE5"/>
    <w:rsid w:val="007A1F3A"/>
    <w:rsid w:val="007A253D"/>
    <w:rsid w:val="007A2E9D"/>
    <w:rsid w:val="007A3480"/>
    <w:rsid w:val="007A3A37"/>
    <w:rsid w:val="007A3AF3"/>
    <w:rsid w:val="007A59A6"/>
    <w:rsid w:val="007A5AF0"/>
    <w:rsid w:val="007A6E5D"/>
    <w:rsid w:val="007A733C"/>
    <w:rsid w:val="007A756C"/>
    <w:rsid w:val="007B026A"/>
    <w:rsid w:val="007B092A"/>
    <w:rsid w:val="007B0EB4"/>
    <w:rsid w:val="007B13F7"/>
    <w:rsid w:val="007B1853"/>
    <w:rsid w:val="007B2029"/>
    <w:rsid w:val="007B22B3"/>
    <w:rsid w:val="007B271F"/>
    <w:rsid w:val="007B2B26"/>
    <w:rsid w:val="007B3008"/>
    <w:rsid w:val="007B30C1"/>
    <w:rsid w:val="007B3CB7"/>
    <w:rsid w:val="007B3D44"/>
    <w:rsid w:val="007B4E60"/>
    <w:rsid w:val="007B527C"/>
    <w:rsid w:val="007B66BA"/>
    <w:rsid w:val="007B6F2F"/>
    <w:rsid w:val="007C001B"/>
    <w:rsid w:val="007C0237"/>
    <w:rsid w:val="007C032B"/>
    <w:rsid w:val="007C0C3C"/>
    <w:rsid w:val="007C0F7B"/>
    <w:rsid w:val="007C15B9"/>
    <w:rsid w:val="007C1C94"/>
    <w:rsid w:val="007C1FDD"/>
    <w:rsid w:val="007C3D2E"/>
    <w:rsid w:val="007C4200"/>
    <w:rsid w:val="007C48C6"/>
    <w:rsid w:val="007C4F10"/>
    <w:rsid w:val="007C4F23"/>
    <w:rsid w:val="007C62B6"/>
    <w:rsid w:val="007D0D6E"/>
    <w:rsid w:val="007D1583"/>
    <w:rsid w:val="007D17AB"/>
    <w:rsid w:val="007D1B75"/>
    <w:rsid w:val="007D36C3"/>
    <w:rsid w:val="007D4055"/>
    <w:rsid w:val="007D4825"/>
    <w:rsid w:val="007D6759"/>
    <w:rsid w:val="007D70D9"/>
    <w:rsid w:val="007D73B8"/>
    <w:rsid w:val="007D784A"/>
    <w:rsid w:val="007D7CD0"/>
    <w:rsid w:val="007E009C"/>
    <w:rsid w:val="007E0849"/>
    <w:rsid w:val="007E0E04"/>
    <w:rsid w:val="007E19C1"/>
    <w:rsid w:val="007E1AC4"/>
    <w:rsid w:val="007E1D89"/>
    <w:rsid w:val="007E2E82"/>
    <w:rsid w:val="007E311C"/>
    <w:rsid w:val="007E3690"/>
    <w:rsid w:val="007E3A4D"/>
    <w:rsid w:val="007E3D0C"/>
    <w:rsid w:val="007E4004"/>
    <w:rsid w:val="007E42B8"/>
    <w:rsid w:val="007E4E10"/>
    <w:rsid w:val="007E4F0E"/>
    <w:rsid w:val="007E5E2C"/>
    <w:rsid w:val="007E611F"/>
    <w:rsid w:val="007E65BF"/>
    <w:rsid w:val="007E66E1"/>
    <w:rsid w:val="007E6ED5"/>
    <w:rsid w:val="007E727C"/>
    <w:rsid w:val="007E73AB"/>
    <w:rsid w:val="007E78A2"/>
    <w:rsid w:val="007E7B92"/>
    <w:rsid w:val="007F00A2"/>
    <w:rsid w:val="007F04A7"/>
    <w:rsid w:val="007F0696"/>
    <w:rsid w:val="007F075C"/>
    <w:rsid w:val="007F1863"/>
    <w:rsid w:val="007F1934"/>
    <w:rsid w:val="007F23D7"/>
    <w:rsid w:val="007F29E2"/>
    <w:rsid w:val="007F2A4B"/>
    <w:rsid w:val="007F2AA0"/>
    <w:rsid w:val="007F307F"/>
    <w:rsid w:val="007F3525"/>
    <w:rsid w:val="007F453E"/>
    <w:rsid w:val="007F6DC4"/>
    <w:rsid w:val="007F7D92"/>
    <w:rsid w:val="007F7DED"/>
    <w:rsid w:val="00800279"/>
    <w:rsid w:val="0080038C"/>
    <w:rsid w:val="00800C5D"/>
    <w:rsid w:val="008013FC"/>
    <w:rsid w:val="0080178C"/>
    <w:rsid w:val="00801D07"/>
    <w:rsid w:val="00801DC1"/>
    <w:rsid w:val="00801DD8"/>
    <w:rsid w:val="00801ECD"/>
    <w:rsid w:val="00802235"/>
    <w:rsid w:val="008029F9"/>
    <w:rsid w:val="00802BBE"/>
    <w:rsid w:val="00802FB5"/>
    <w:rsid w:val="008036D3"/>
    <w:rsid w:val="00803AD3"/>
    <w:rsid w:val="00803C73"/>
    <w:rsid w:val="00803FD2"/>
    <w:rsid w:val="00804A7D"/>
    <w:rsid w:val="00804B82"/>
    <w:rsid w:val="00805A20"/>
    <w:rsid w:val="00805D86"/>
    <w:rsid w:val="00805F2B"/>
    <w:rsid w:val="008065E4"/>
    <w:rsid w:val="008075BA"/>
    <w:rsid w:val="00807869"/>
    <w:rsid w:val="00807EDD"/>
    <w:rsid w:val="0081111D"/>
    <w:rsid w:val="0081116A"/>
    <w:rsid w:val="00811439"/>
    <w:rsid w:val="00811728"/>
    <w:rsid w:val="0081276C"/>
    <w:rsid w:val="00812DFF"/>
    <w:rsid w:val="008134A7"/>
    <w:rsid w:val="008147CA"/>
    <w:rsid w:val="00814D73"/>
    <w:rsid w:val="00814F46"/>
    <w:rsid w:val="0081520C"/>
    <w:rsid w:val="008158F2"/>
    <w:rsid w:val="00815938"/>
    <w:rsid w:val="00815C5E"/>
    <w:rsid w:val="00815F84"/>
    <w:rsid w:val="008164A2"/>
    <w:rsid w:val="008169A1"/>
    <w:rsid w:val="00816DCE"/>
    <w:rsid w:val="00817608"/>
    <w:rsid w:val="008179BF"/>
    <w:rsid w:val="00817B17"/>
    <w:rsid w:val="008211A2"/>
    <w:rsid w:val="00823292"/>
    <w:rsid w:val="00823306"/>
    <w:rsid w:val="0082367D"/>
    <w:rsid w:val="008245BE"/>
    <w:rsid w:val="0082464A"/>
    <w:rsid w:val="008247F1"/>
    <w:rsid w:val="008252AD"/>
    <w:rsid w:val="008259F9"/>
    <w:rsid w:val="0082625F"/>
    <w:rsid w:val="008270FA"/>
    <w:rsid w:val="008275B4"/>
    <w:rsid w:val="0082789A"/>
    <w:rsid w:val="00827E64"/>
    <w:rsid w:val="008300EF"/>
    <w:rsid w:val="00830E9B"/>
    <w:rsid w:val="008313A7"/>
    <w:rsid w:val="00831698"/>
    <w:rsid w:val="00831776"/>
    <w:rsid w:val="00831D33"/>
    <w:rsid w:val="00832E1E"/>
    <w:rsid w:val="00834000"/>
    <w:rsid w:val="00834F5C"/>
    <w:rsid w:val="008350C1"/>
    <w:rsid w:val="00835AD4"/>
    <w:rsid w:val="0083641E"/>
    <w:rsid w:val="00837CCB"/>
    <w:rsid w:val="00840145"/>
    <w:rsid w:val="008404DD"/>
    <w:rsid w:val="008407DB"/>
    <w:rsid w:val="00840FF2"/>
    <w:rsid w:val="0084237F"/>
    <w:rsid w:val="00842519"/>
    <w:rsid w:val="008429E6"/>
    <w:rsid w:val="00843095"/>
    <w:rsid w:val="008431EA"/>
    <w:rsid w:val="008436A2"/>
    <w:rsid w:val="00844612"/>
    <w:rsid w:val="00844762"/>
    <w:rsid w:val="008451EA"/>
    <w:rsid w:val="00845B8E"/>
    <w:rsid w:val="0084646B"/>
    <w:rsid w:val="008474F4"/>
    <w:rsid w:val="00847A1C"/>
    <w:rsid w:val="00847F66"/>
    <w:rsid w:val="00850A25"/>
    <w:rsid w:val="00850A89"/>
    <w:rsid w:val="00850BA3"/>
    <w:rsid w:val="00850C17"/>
    <w:rsid w:val="00851441"/>
    <w:rsid w:val="00851863"/>
    <w:rsid w:val="00851E90"/>
    <w:rsid w:val="00852568"/>
    <w:rsid w:val="00852F66"/>
    <w:rsid w:val="00853490"/>
    <w:rsid w:val="008536A8"/>
    <w:rsid w:val="00853BC9"/>
    <w:rsid w:val="008549BF"/>
    <w:rsid w:val="00854BFB"/>
    <w:rsid w:val="008555B6"/>
    <w:rsid w:val="00855B09"/>
    <w:rsid w:val="00855E73"/>
    <w:rsid w:val="0085638B"/>
    <w:rsid w:val="008568AC"/>
    <w:rsid w:val="008606CF"/>
    <w:rsid w:val="00860792"/>
    <w:rsid w:val="008619DF"/>
    <w:rsid w:val="008623D9"/>
    <w:rsid w:val="00862DAA"/>
    <w:rsid w:val="008631E2"/>
    <w:rsid w:val="00863454"/>
    <w:rsid w:val="0086383A"/>
    <w:rsid w:val="00864ED7"/>
    <w:rsid w:val="00864FEC"/>
    <w:rsid w:val="00865675"/>
    <w:rsid w:val="00865B6E"/>
    <w:rsid w:val="00866156"/>
    <w:rsid w:val="008667F9"/>
    <w:rsid w:val="008667FB"/>
    <w:rsid w:val="00866925"/>
    <w:rsid w:val="0086739A"/>
    <w:rsid w:val="0086776F"/>
    <w:rsid w:val="00870BAD"/>
    <w:rsid w:val="008711C6"/>
    <w:rsid w:val="00872B50"/>
    <w:rsid w:val="008732D2"/>
    <w:rsid w:val="00873636"/>
    <w:rsid w:val="0087378B"/>
    <w:rsid w:val="00873819"/>
    <w:rsid w:val="008738A2"/>
    <w:rsid w:val="0087397B"/>
    <w:rsid w:val="00873BB2"/>
    <w:rsid w:val="00874048"/>
    <w:rsid w:val="0087436D"/>
    <w:rsid w:val="008748A0"/>
    <w:rsid w:val="00874BF0"/>
    <w:rsid w:val="00874EE7"/>
    <w:rsid w:val="008756AC"/>
    <w:rsid w:val="00875B81"/>
    <w:rsid w:val="00875BC2"/>
    <w:rsid w:val="008771F7"/>
    <w:rsid w:val="00877ACF"/>
    <w:rsid w:val="008803B3"/>
    <w:rsid w:val="00880A20"/>
    <w:rsid w:val="00880D43"/>
    <w:rsid w:val="00880ED3"/>
    <w:rsid w:val="008811B9"/>
    <w:rsid w:val="008819EA"/>
    <w:rsid w:val="00881BC0"/>
    <w:rsid w:val="0088249C"/>
    <w:rsid w:val="0088268E"/>
    <w:rsid w:val="00882C8F"/>
    <w:rsid w:val="00883A1B"/>
    <w:rsid w:val="00884205"/>
    <w:rsid w:val="00884BCB"/>
    <w:rsid w:val="00884C72"/>
    <w:rsid w:val="008855FC"/>
    <w:rsid w:val="00886A8D"/>
    <w:rsid w:val="0088775D"/>
    <w:rsid w:val="00887EB0"/>
    <w:rsid w:val="00890A1C"/>
    <w:rsid w:val="00890FA5"/>
    <w:rsid w:val="00891073"/>
    <w:rsid w:val="008913A8"/>
    <w:rsid w:val="0089189E"/>
    <w:rsid w:val="008918A0"/>
    <w:rsid w:val="00891E54"/>
    <w:rsid w:val="00892448"/>
    <w:rsid w:val="008927EA"/>
    <w:rsid w:val="00892DFA"/>
    <w:rsid w:val="00893042"/>
    <w:rsid w:val="008931FB"/>
    <w:rsid w:val="00893549"/>
    <w:rsid w:val="0089381B"/>
    <w:rsid w:val="008938BA"/>
    <w:rsid w:val="00894433"/>
    <w:rsid w:val="00894915"/>
    <w:rsid w:val="00894DCA"/>
    <w:rsid w:val="00894E02"/>
    <w:rsid w:val="00894F1D"/>
    <w:rsid w:val="00895E51"/>
    <w:rsid w:val="0089656E"/>
    <w:rsid w:val="00896872"/>
    <w:rsid w:val="00896954"/>
    <w:rsid w:val="00896F59"/>
    <w:rsid w:val="00897224"/>
    <w:rsid w:val="008A0D01"/>
    <w:rsid w:val="008A140D"/>
    <w:rsid w:val="008A2C3A"/>
    <w:rsid w:val="008A2C47"/>
    <w:rsid w:val="008A3408"/>
    <w:rsid w:val="008A3C5E"/>
    <w:rsid w:val="008A3D7B"/>
    <w:rsid w:val="008A43C8"/>
    <w:rsid w:val="008A47D1"/>
    <w:rsid w:val="008A47FC"/>
    <w:rsid w:val="008A4870"/>
    <w:rsid w:val="008A4D4E"/>
    <w:rsid w:val="008A6916"/>
    <w:rsid w:val="008A6F15"/>
    <w:rsid w:val="008A70A6"/>
    <w:rsid w:val="008A72CC"/>
    <w:rsid w:val="008A7362"/>
    <w:rsid w:val="008A77DC"/>
    <w:rsid w:val="008A79A1"/>
    <w:rsid w:val="008A7A1A"/>
    <w:rsid w:val="008A7AB3"/>
    <w:rsid w:val="008A7ABC"/>
    <w:rsid w:val="008B02B4"/>
    <w:rsid w:val="008B0701"/>
    <w:rsid w:val="008B0C96"/>
    <w:rsid w:val="008B19F0"/>
    <w:rsid w:val="008B2694"/>
    <w:rsid w:val="008B26FB"/>
    <w:rsid w:val="008B33FD"/>
    <w:rsid w:val="008B3C3D"/>
    <w:rsid w:val="008B3D4D"/>
    <w:rsid w:val="008B3F23"/>
    <w:rsid w:val="008B411E"/>
    <w:rsid w:val="008B4218"/>
    <w:rsid w:val="008B4729"/>
    <w:rsid w:val="008B4C9C"/>
    <w:rsid w:val="008B4FC8"/>
    <w:rsid w:val="008B5359"/>
    <w:rsid w:val="008B549B"/>
    <w:rsid w:val="008B59E6"/>
    <w:rsid w:val="008B6119"/>
    <w:rsid w:val="008B6713"/>
    <w:rsid w:val="008B6A05"/>
    <w:rsid w:val="008B6D1B"/>
    <w:rsid w:val="008B6E52"/>
    <w:rsid w:val="008B6ED4"/>
    <w:rsid w:val="008B7156"/>
    <w:rsid w:val="008B7D28"/>
    <w:rsid w:val="008B7ED1"/>
    <w:rsid w:val="008C0852"/>
    <w:rsid w:val="008C0BE2"/>
    <w:rsid w:val="008C0D2A"/>
    <w:rsid w:val="008C12F3"/>
    <w:rsid w:val="008C1C64"/>
    <w:rsid w:val="008C1C75"/>
    <w:rsid w:val="008C1CFA"/>
    <w:rsid w:val="008C1E58"/>
    <w:rsid w:val="008C1EC0"/>
    <w:rsid w:val="008C201C"/>
    <w:rsid w:val="008C5517"/>
    <w:rsid w:val="008C5B7D"/>
    <w:rsid w:val="008C65C6"/>
    <w:rsid w:val="008C6D8C"/>
    <w:rsid w:val="008C6F4F"/>
    <w:rsid w:val="008C700A"/>
    <w:rsid w:val="008C7384"/>
    <w:rsid w:val="008C7A06"/>
    <w:rsid w:val="008D12E6"/>
    <w:rsid w:val="008D15F2"/>
    <w:rsid w:val="008D1F72"/>
    <w:rsid w:val="008D22E8"/>
    <w:rsid w:val="008D25B9"/>
    <w:rsid w:val="008D2CE7"/>
    <w:rsid w:val="008D2FB6"/>
    <w:rsid w:val="008D393E"/>
    <w:rsid w:val="008D3C1D"/>
    <w:rsid w:val="008D430B"/>
    <w:rsid w:val="008D48DA"/>
    <w:rsid w:val="008D4B3B"/>
    <w:rsid w:val="008D53D6"/>
    <w:rsid w:val="008D56B5"/>
    <w:rsid w:val="008D629B"/>
    <w:rsid w:val="008D6D78"/>
    <w:rsid w:val="008D6DF3"/>
    <w:rsid w:val="008D70C9"/>
    <w:rsid w:val="008D7191"/>
    <w:rsid w:val="008D7B23"/>
    <w:rsid w:val="008D7B95"/>
    <w:rsid w:val="008E0D05"/>
    <w:rsid w:val="008E0FED"/>
    <w:rsid w:val="008E14EC"/>
    <w:rsid w:val="008E1804"/>
    <w:rsid w:val="008E2177"/>
    <w:rsid w:val="008E2406"/>
    <w:rsid w:val="008E26E6"/>
    <w:rsid w:val="008E38EA"/>
    <w:rsid w:val="008E41C4"/>
    <w:rsid w:val="008E4AF5"/>
    <w:rsid w:val="008E4C24"/>
    <w:rsid w:val="008E5016"/>
    <w:rsid w:val="008E5D42"/>
    <w:rsid w:val="008E65DC"/>
    <w:rsid w:val="008E6748"/>
    <w:rsid w:val="008E680E"/>
    <w:rsid w:val="008E6DCA"/>
    <w:rsid w:val="008F0A70"/>
    <w:rsid w:val="008F12A8"/>
    <w:rsid w:val="008F1ED8"/>
    <w:rsid w:val="008F241C"/>
    <w:rsid w:val="008F2652"/>
    <w:rsid w:val="008F27DA"/>
    <w:rsid w:val="008F39E0"/>
    <w:rsid w:val="008F3C22"/>
    <w:rsid w:val="008F3E60"/>
    <w:rsid w:val="008F44AD"/>
    <w:rsid w:val="008F463B"/>
    <w:rsid w:val="008F48AB"/>
    <w:rsid w:val="008F4948"/>
    <w:rsid w:val="008F49DA"/>
    <w:rsid w:val="008F4C90"/>
    <w:rsid w:val="008F5483"/>
    <w:rsid w:val="008F5F85"/>
    <w:rsid w:val="008F61AD"/>
    <w:rsid w:val="008F6218"/>
    <w:rsid w:val="008F6E14"/>
    <w:rsid w:val="008F70BD"/>
    <w:rsid w:val="008F7461"/>
    <w:rsid w:val="008F7A03"/>
    <w:rsid w:val="008F7B22"/>
    <w:rsid w:val="00900250"/>
    <w:rsid w:val="0090065B"/>
    <w:rsid w:val="00900BB8"/>
    <w:rsid w:val="00901FB9"/>
    <w:rsid w:val="009028A2"/>
    <w:rsid w:val="009032FB"/>
    <w:rsid w:val="009043FE"/>
    <w:rsid w:val="0090446D"/>
    <w:rsid w:val="00904B2B"/>
    <w:rsid w:val="00906249"/>
    <w:rsid w:val="0090650A"/>
    <w:rsid w:val="0090652C"/>
    <w:rsid w:val="009071D9"/>
    <w:rsid w:val="00907656"/>
    <w:rsid w:val="00907D89"/>
    <w:rsid w:val="009102E2"/>
    <w:rsid w:val="00910753"/>
    <w:rsid w:val="00910956"/>
    <w:rsid w:val="00910AF0"/>
    <w:rsid w:val="00910C58"/>
    <w:rsid w:val="00910DDC"/>
    <w:rsid w:val="00910E42"/>
    <w:rsid w:val="009110AF"/>
    <w:rsid w:val="0091156E"/>
    <w:rsid w:val="009118E2"/>
    <w:rsid w:val="00911E8E"/>
    <w:rsid w:val="00911F6B"/>
    <w:rsid w:val="00912127"/>
    <w:rsid w:val="00912717"/>
    <w:rsid w:val="00912729"/>
    <w:rsid w:val="00912747"/>
    <w:rsid w:val="009129A3"/>
    <w:rsid w:val="00912C94"/>
    <w:rsid w:val="00913174"/>
    <w:rsid w:val="00914346"/>
    <w:rsid w:val="00914962"/>
    <w:rsid w:val="00914E61"/>
    <w:rsid w:val="00915486"/>
    <w:rsid w:val="00915678"/>
    <w:rsid w:val="009157EC"/>
    <w:rsid w:val="009159FE"/>
    <w:rsid w:val="00915A15"/>
    <w:rsid w:val="00915C0A"/>
    <w:rsid w:val="009160B7"/>
    <w:rsid w:val="00916A40"/>
    <w:rsid w:val="00916B03"/>
    <w:rsid w:val="00917130"/>
    <w:rsid w:val="0092009F"/>
    <w:rsid w:val="009202F3"/>
    <w:rsid w:val="00920A9E"/>
    <w:rsid w:val="00920B3E"/>
    <w:rsid w:val="009212C8"/>
    <w:rsid w:val="009212D8"/>
    <w:rsid w:val="00921A3B"/>
    <w:rsid w:val="00921D65"/>
    <w:rsid w:val="009220C0"/>
    <w:rsid w:val="009229D1"/>
    <w:rsid w:val="00922B7B"/>
    <w:rsid w:val="0092364C"/>
    <w:rsid w:val="00925130"/>
    <w:rsid w:val="00925A68"/>
    <w:rsid w:val="00926102"/>
    <w:rsid w:val="00926107"/>
    <w:rsid w:val="00926482"/>
    <w:rsid w:val="009265CF"/>
    <w:rsid w:val="00926A9C"/>
    <w:rsid w:val="00927544"/>
    <w:rsid w:val="00930DBE"/>
    <w:rsid w:val="00930F56"/>
    <w:rsid w:val="009314D8"/>
    <w:rsid w:val="0093219C"/>
    <w:rsid w:val="00932743"/>
    <w:rsid w:val="009335DB"/>
    <w:rsid w:val="009337C4"/>
    <w:rsid w:val="009339E9"/>
    <w:rsid w:val="009339FF"/>
    <w:rsid w:val="00933D87"/>
    <w:rsid w:val="00933E8B"/>
    <w:rsid w:val="009349C9"/>
    <w:rsid w:val="00934A0A"/>
    <w:rsid w:val="0093519C"/>
    <w:rsid w:val="0093539E"/>
    <w:rsid w:val="0093546C"/>
    <w:rsid w:val="009355A0"/>
    <w:rsid w:val="00936F88"/>
    <w:rsid w:val="0093707B"/>
    <w:rsid w:val="009377F4"/>
    <w:rsid w:val="00937A7C"/>
    <w:rsid w:val="009407B2"/>
    <w:rsid w:val="009414CD"/>
    <w:rsid w:val="00941A2F"/>
    <w:rsid w:val="00941A6F"/>
    <w:rsid w:val="00941C71"/>
    <w:rsid w:val="0094485C"/>
    <w:rsid w:val="00944C91"/>
    <w:rsid w:val="00944F73"/>
    <w:rsid w:val="00944FDD"/>
    <w:rsid w:val="00945B7E"/>
    <w:rsid w:val="00945D1E"/>
    <w:rsid w:val="00945E91"/>
    <w:rsid w:val="009467D1"/>
    <w:rsid w:val="00946B23"/>
    <w:rsid w:val="009474D7"/>
    <w:rsid w:val="00947BF9"/>
    <w:rsid w:val="00950A01"/>
    <w:rsid w:val="00950AAA"/>
    <w:rsid w:val="00950EA7"/>
    <w:rsid w:val="00951605"/>
    <w:rsid w:val="00951632"/>
    <w:rsid w:val="00951D41"/>
    <w:rsid w:val="00951F29"/>
    <w:rsid w:val="00951FED"/>
    <w:rsid w:val="009524CF"/>
    <w:rsid w:val="0095262C"/>
    <w:rsid w:val="00952B09"/>
    <w:rsid w:val="00952D79"/>
    <w:rsid w:val="00952EF4"/>
    <w:rsid w:val="0095304F"/>
    <w:rsid w:val="009548DC"/>
    <w:rsid w:val="00954E97"/>
    <w:rsid w:val="009560FE"/>
    <w:rsid w:val="0095612D"/>
    <w:rsid w:val="00956162"/>
    <w:rsid w:val="009564FA"/>
    <w:rsid w:val="0095685B"/>
    <w:rsid w:val="00956AFD"/>
    <w:rsid w:val="00956B6A"/>
    <w:rsid w:val="00956C62"/>
    <w:rsid w:val="00956ECE"/>
    <w:rsid w:val="009571BD"/>
    <w:rsid w:val="00957491"/>
    <w:rsid w:val="00957B8C"/>
    <w:rsid w:val="00957BDB"/>
    <w:rsid w:val="00961B30"/>
    <w:rsid w:val="009620EC"/>
    <w:rsid w:val="0096265C"/>
    <w:rsid w:val="0096291A"/>
    <w:rsid w:val="00962B11"/>
    <w:rsid w:val="009630C2"/>
    <w:rsid w:val="0096320B"/>
    <w:rsid w:val="00963454"/>
    <w:rsid w:val="00963795"/>
    <w:rsid w:val="00963881"/>
    <w:rsid w:val="00963FC3"/>
    <w:rsid w:val="00964016"/>
    <w:rsid w:val="009641DB"/>
    <w:rsid w:val="00964C6F"/>
    <w:rsid w:val="00964F19"/>
    <w:rsid w:val="00964F42"/>
    <w:rsid w:val="009666E6"/>
    <w:rsid w:val="0096687A"/>
    <w:rsid w:val="009671B8"/>
    <w:rsid w:val="00967746"/>
    <w:rsid w:val="009701F5"/>
    <w:rsid w:val="00970222"/>
    <w:rsid w:val="00971BE7"/>
    <w:rsid w:val="0097214C"/>
    <w:rsid w:val="00972807"/>
    <w:rsid w:val="00972C6B"/>
    <w:rsid w:val="00973363"/>
    <w:rsid w:val="009739CD"/>
    <w:rsid w:val="00973F31"/>
    <w:rsid w:val="00974A85"/>
    <w:rsid w:val="00974CBD"/>
    <w:rsid w:val="00975089"/>
    <w:rsid w:val="009753E7"/>
    <w:rsid w:val="00975750"/>
    <w:rsid w:val="00975910"/>
    <w:rsid w:val="00975A76"/>
    <w:rsid w:val="00975FCA"/>
    <w:rsid w:val="0097632C"/>
    <w:rsid w:val="00976352"/>
    <w:rsid w:val="0097671C"/>
    <w:rsid w:val="00976886"/>
    <w:rsid w:val="00976CB1"/>
    <w:rsid w:val="0097719D"/>
    <w:rsid w:val="00977CA1"/>
    <w:rsid w:val="00977CB6"/>
    <w:rsid w:val="00977D66"/>
    <w:rsid w:val="00977FCF"/>
    <w:rsid w:val="00980777"/>
    <w:rsid w:val="00980924"/>
    <w:rsid w:val="00980ADC"/>
    <w:rsid w:val="00980C07"/>
    <w:rsid w:val="00981814"/>
    <w:rsid w:val="00981886"/>
    <w:rsid w:val="00981A66"/>
    <w:rsid w:val="00981EFC"/>
    <w:rsid w:val="00981FB3"/>
    <w:rsid w:val="00982056"/>
    <w:rsid w:val="009820E1"/>
    <w:rsid w:val="00982500"/>
    <w:rsid w:val="0098265E"/>
    <w:rsid w:val="009826BD"/>
    <w:rsid w:val="00983ACC"/>
    <w:rsid w:val="00983B59"/>
    <w:rsid w:val="009845E5"/>
    <w:rsid w:val="009849BD"/>
    <w:rsid w:val="0098535F"/>
    <w:rsid w:val="00985E35"/>
    <w:rsid w:val="00985F52"/>
    <w:rsid w:val="00985F63"/>
    <w:rsid w:val="00986154"/>
    <w:rsid w:val="00986506"/>
    <w:rsid w:val="00986A32"/>
    <w:rsid w:val="00987541"/>
    <w:rsid w:val="00990091"/>
    <w:rsid w:val="009903CE"/>
    <w:rsid w:val="009908E2"/>
    <w:rsid w:val="0099109C"/>
    <w:rsid w:val="009911FC"/>
    <w:rsid w:val="00991343"/>
    <w:rsid w:val="00991752"/>
    <w:rsid w:val="00991965"/>
    <w:rsid w:val="00992272"/>
    <w:rsid w:val="00992F20"/>
    <w:rsid w:val="00992FA6"/>
    <w:rsid w:val="009933D1"/>
    <w:rsid w:val="00993786"/>
    <w:rsid w:val="00993A5D"/>
    <w:rsid w:val="00993F1D"/>
    <w:rsid w:val="009947C3"/>
    <w:rsid w:val="00995873"/>
    <w:rsid w:val="00995E87"/>
    <w:rsid w:val="00995FAD"/>
    <w:rsid w:val="00995FFD"/>
    <w:rsid w:val="009963ED"/>
    <w:rsid w:val="00996A01"/>
    <w:rsid w:val="00996BF3"/>
    <w:rsid w:val="009974BD"/>
    <w:rsid w:val="00997686"/>
    <w:rsid w:val="009976E2"/>
    <w:rsid w:val="009979CC"/>
    <w:rsid w:val="00997DA7"/>
    <w:rsid w:val="009A055B"/>
    <w:rsid w:val="009A070D"/>
    <w:rsid w:val="009A0917"/>
    <w:rsid w:val="009A0C1F"/>
    <w:rsid w:val="009A11B5"/>
    <w:rsid w:val="009A15A4"/>
    <w:rsid w:val="009A23AA"/>
    <w:rsid w:val="009A2914"/>
    <w:rsid w:val="009A32BE"/>
    <w:rsid w:val="009A364D"/>
    <w:rsid w:val="009A3786"/>
    <w:rsid w:val="009A3FE4"/>
    <w:rsid w:val="009A49DC"/>
    <w:rsid w:val="009A4D29"/>
    <w:rsid w:val="009A541A"/>
    <w:rsid w:val="009A5769"/>
    <w:rsid w:val="009A610B"/>
    <w:rsid w:val="009A6122"/>
    <w:rsid w:val="009A61BE"/>
    <w:rsid w:val="009A651D"/>
    <w:rsid w:val="009A6A86"/>
    <w:rsid w:val="009A7240"/>
    <w:rsid w:val="009A7549"/>
    <w:rsid w:val="009A7827"/>
    <w:rsid w:val="009A796C"/>
    <w:rsid w:val="009A7D9B"/>
    <w:rsid w:val="009B0136"/>
    <w:rsid w:val="009B0670"/>
    <w:rsid w:val="009B0C12"/>
    <w:rsid w:val="009B0DB1"/>
    <w:rsid w:val="009B0E0B"/>
    <w:rsid w:val="009B114A"/>
    <w:rsid w:val="009B292F"/>
    <w:rsid w:val="009B38C2"/>
    <w:rsid w:val="009B42FE"/>
    <w:rsid w:val="009B4ABC"/>
    <w:rsid w:val="009B5074"/>
    <w:rsid w:val="009B593B"/>
    <w:rsid w:val="009B69ED"/>
    <w:rsid w:val="009B6B5E"/>
    <w:rsid w:val="009B6EF5"/>
    <w:rsid w:val="009C0C69"/>
    <w:rsid w:val="009C13D9"/>
    <w:rsid w:val="009C251D"/>
    <w:rsid w:val="009C2580"/>
    <w:rsid w:val="009C25B4"/>
    <w:rsid w:val="009C2E23"/>
    <w:rsid w:val="009C3235"/>
    <w:rsid w:val="009C366B"/>
    <w:rsid w:val="009C3AC9"/>
    <w:rsid w:val="009C3DFC"/>
    <w:rsid w:val="009C4EBC"/>
    <w:rsid w:val="009C5597"/>
    <w:rsid w:val="009C5686"/>
    <w:rsid w:val="009C5724"/>
    <w:rsid w:val="009C5EAE"/>
    <w:rsid w:val="009C5FA4"/>
    <w:rsid w:val="009C6DEA"/>
    <w:rsid w:val="009C7F67"/>
    <w:rsid w:val="009D026F"/>
    <w:rsid w:val="009D0478"/>
    <w:rsid w:val="009D0D3E"/>
    <w:rsid w:val="009D10C4"/>
    <w:rsid w:val="009D2029"/>
    <w:rsid w:val="009D259E"/>
    <w:rsid w:val="009D2661"/>
    <w:rsid w:val="009D3E45"/>
    <w:rsid w:val="009D416C"/>
    <w:rsid w:val="009D4547"/>
    <w:rsid w:val="009D463B"/>
    <w:rsid w:val="009D47B7"/>
    <w:rsid w:val="009D511F"/>
    <w:rsid w:val="009D5DE7"/>
    <w:rsid w:val="009D6C96"/>
    <w:rsid w:val="009D7321"/>
    <w:rsid w:val="009D78E0"/>
    <w:rsid w:val="009E02F4"/>
    <w:rsid w:val="009E1263"/>
    <w:rsid w:val="009E15DA"/>
    <w:rsid w:val="009E16AD"/>
    <w:rsid w:val="009E1B13"/>
    <w:rsid w:val="009E1D35"/>
    <w:rsid w:val="009E2367"/>
    <w:rsid w:val="009E26B0"/>
    <w:rsid w:val="009E33FB"/>
    <w:rsid w:val="009E36A2"/>
    <w:rsid w:val="009E5C8F"/>
    <w:rsid w:val="009E60B1"/>
    <w:rsid w:val="009E61A4"/>
    <w:rsid w:val="009E737C"/>
    <w:rsid w:val="009E7491"/>
    <w:rsid w:val="009F0187"/>
    <w:rsid w:val="009F0FFF"/>
    <w:rsid w:val="009F1C2E"/>
    <w:rsid w:val="009F2E5F"/>
    <w:rsid w:val="009F3938"/>
    <w:rsid w:val="009F3AED"/>
    <w:rsid w:val="009F3DB5"/>
    <w:rsid w:val="009F48EB"/>
    <w:rsid w:val="009F4C03"/>
    <w:rsid w:val="009F4DEC"/>
    <w:rsid w:val="009F674C"/>
    <w:rsid w:val="009F71C1"/>
    <w:rsid w:val="009F7ADB"/>
    <w:rsid w:val="009F7D4B"/>
    <w:rsid w:val="00A006E9"/>
    <w:rsid w:val="00A006F5"/>
    <w:rsid w:val="00A009C4"/>
    <w:rsid w:val="00A00E73"/>
    <w:rsid w:val="00A016A8"/>
    <w:rsid w:val="00A027DE"/>
    <w:rsid w:val="00A02E0F"/>
    <w:rsid w:val="00A05096"/>
    <w:rsid w:val="00A056C6"/>
    <w:rsid w:val="00A05BDD"/>
    <w:rsid w:val="00A101F0"/>
    <w:rsid w:val="00A1033C"/>
    <w:rsid w:val="00A10450"/>
    <w:rsid w:val="00A10468"/>
    <w:rsid w:val="00A10596"/>
    <w:rsid w:val="00A106A4"/>
    <w:rsid w:val="00A107B9"/>
    <w:rsid w:val="00A12160"/>
    <w:rsid w:val="00A12829"/>
    <w:rsid w:val="00A12E38"/>
    <w:rsid w:val="00A12F37"/>
    <w:rsid w:val="00A13136"/>
    <w:rsid w:val="00A13331"/>
    <w:rsid w:val="00A13877"/>
    <w:rsid w:val="00A14013"/>
    <w:rsid w:val="00A1401E"/>
    <w:rsid w:val="00A140DB"/>
    <w:rsid w:val="00A141E5"/>
    <w:rsid w:val="00A14219"/>
    <w:rsid w:val="00A14AD7"/>
    <w:rsid w:val="00A15198"/>
    <w:rsid w:val="00A15CEA"/>
    <w:rsid w:val="00A15CFD"/>
    <w:rsid w:val="00A15FA7"/>
    <w:rsid w:val="00A16F01"/>
    <w:rsid w:val="00A179E7"/>
    <w:rsid w:val="00A20034"/>
    <w:rsid w:val="00A204B7"/>
    <w:rsid w:val="00A204C1"/>
    <w:rsid w:val="00A20AF9"/>
    <w:rsid w:val="00A20C99"/>
    <w:rsid w:val="00A20D92"/>
    <w:rsid w:val="00A2111C"/>
    <w:rsid w:val="00A21767"/>
    <w:rsid w:val="00A22707"/>
    <w:rsid w:val="00A22CB2"/>
    <w:rsid w:val="00A22EB4"/>
    <w:rsid w:val="00A232A7"/>
    <w:rsid w:val="00A238A6"/>
    <w:rsid w:val="00A24E15"/>
    <w:rsid w:val="00A24F22"/>
    <w:rsid w:val="00A257CB"/>
    <w:rsid w:val="00A25DCE"/>
    <w:rsid w:val="00A26415"/>
    <w:rsid w:val="00A26520"/>
    <w:rsid w:val="00A27A40"/>
    <w:rsid w:val="00A3089F"/>
    <w:rsid w:val="00A315B5"/>
    <w:rsid w:val="00A31689"/>
    <w:rsid w:val="00A316CA"/>
    <w:rsid w:val="00A31A49"/>
    <w:rsid w:val="00A321CD"/>
    <w:rsid w:val="00A3237A"/>
    <w:rsid w:val="00A32864"/>
    <w:rsid w:val="00A33A98"/>
    <w:rsid w:val="00A3406B"/>
    <w:rsid w:val="00A342E3"/>
    <w:rsid w:val="00A34A30"/>
    <w:rsid w:val="00A34DC3"/>
    <w:rsid w:val="00A35A40"/>
    <w:rsid w:val="00A35C4C"/>
    <w:rsid w:val="00A35E13"/>
    <w:rsid w:val="00A361B9"/>
    <w:rsid w:val="00A3661F"/>
    <w:rsid w:val="00A368FA"/>
    <w:rsid w:val="00A36947"/>
    <w:rsid w:val="00A36B1E"/>
    <w:rsid w:val="00A36CE3"/>
    <w:rsid w:val="00A36E40"/>
    <w:rsid w:val="00A378DC"/>
    <w:rsid w:val="00A37E8D"/>
    <w:rsid w:val="00A40C90"/>
    <w:rsid w:val="00A41774"/>
    <w:rsid w:val="00A41B14"/>
    <w:rsid w:val="00A4213B"/>
    <w:rsid w:val="00A423BD"/>
    <w:rsid w:val="00A429FD"/>
    <w:rsid w:val="00A43023"/>
    <w:rsid w:val="00A4344D"/>
    <w:rsid w:val="00A43FA2"/>
    <w:rsid w:val="00A457D2"/>
    <w:rsid w:val="00A467FA"/>
    <w:rsid w:val="00A4683A"/>
    <w:rsid w:val="00A471FB"/>
    <w:rsid w:val="00A475DB"/>
    <w:rsid w:val="00A5058B"/>
    <w:rsid w:val="00A507F8"/>
    <w:rsid w:val="00A50FA4"/>
    <w:rsid w:val="00A5114C"/>
    <w:rsid w:val="00A51181"/>
    <w:rsid w:val="00A517DC"/>
    <w:rsid w:val="00A520B9"/>
    <w:rsid w:val="00A52471"/>
    <w:rsid w:val="00A52F91"/>
    <w:rsid w:val="00A53406"/>
    <w:rsid w:val="00A53AC4"/>
    <w:rsid w:val="00A543CD"/>
    <w:rsid w:val="00A54B9A"/>
    <w:rsid w:val="00A54E9B"/>
    <w:rsid w:val="00A55028"/>
    <w:rsid w:val="00A55E39"/>
    <w:rsid w:val="00A55F71"/>
    <w:rsid w:val="00A56859"/>
    <w:rsid w:val="00A56E67"/>
    <w:rsid w:val="00A57A00"/>
    <w:rsid w:val="00A603B8"/>
    <w:rsid w:val="00A60682"/>
    <w:rsid w:val="00A60765"/>
    <w:rsid w:val="00A60E25"/>
    <w:rsid w:val="00A61802"/>
    <w:rsid w:val="00A61C04"/>
    <w:rsid w:val="00A6214F"/>
    <w:rsid w:val="00A6274C"/>
    <w:rsid w:val="00A63B2F"/>
    <w:rsid w:val="00A63BFE"/>
    <w:rsid w:val="00A63D11"/>
    <w:rsid w:val="00A63ECC"/>
    <w:rsid w:val="00A64B60"/>
    <w:rsid w:val="00A6591B"/>
    <w:rsid w:val="00A65CB1"/>
    <w:rsid w:val="00A65F48"/>
    <w:rsid w:val="00A6604E"/>
    <w:rsid w:val="00A667CD"/>
    <w:rsid w:val="00A66964"/>
    <w:rsid w:val="00A66C3E"/>
    <w:rsid w:val="00A67054"/>
    <w:rsid w:val="00A671B4"/>
    <w:rsid w:val="00A703FB"/>
    <w:rsid w:val="00A7047A"/>
    <w:rsid w:val="00A70C70"/>
    <w:rsid w:val="00A70E34"/>
    <w:rsid w:val="00A70EDF"/>
    <w:rsid w:val="00A71281"/>
    <w:rsid w:val="00A71525"/>
    <w:rsid w:val="00A71A47"/>
    <w:rsid w:val="00A71C30"/>
    <w:rsid w:val="00A71E02"/>
    <w:rsid w:val="00A720FD"/>
    <w:rsid w:val="00A729C2"/>
    <w:rsid w:val="00A72BCA"/>
    <w:rsid w:val="00A72CF2"/>
    <w:rsid w:val="00A730B7"/>
    <w:rsid w:val="00A732C9"/>
    <w:rsid w:val="00A734EA"/>
    <w:rsid w:val="00A73DBE"/>
    <w:rsid w:val="00A7476C"/>
    <w:rsid w:val="00A76D5D"/>
    <w:rsid w:val="00A76F3D"/>
    <w:rsid w:val="00A770E1"/>
    <w:rsid w:val="00A777DE"/>
    <w:rsid w:val="00A77D46"/>
    <w:rsid w:val="00A80D22"/>
    <w:rsid w:val="00A81DC2"/>
    <w:rsid w:val="00A8224F"/>
    <w:rsid w:val="00A825D2"/>
    <w:rsid w:val="00A826A0"/>
    <w:rsid w:val="00A827DB"/>
    <w:rsid w:val="00A829A8"/>
    <w:rsid w:val="00A83726"/>
    <w:rsid w:val="00A83BB4"/>
    <w:rsid w:val="00A83D25"/>
    <w:rsid w:val="00A83EF5"/>
    <w:rsid w:val="00A84402"/>
    <w:rsid w:val="00A84AF3"/>
    <w:rsid w:val="00A84F5A"/>
    <w:rsid w:val="00A85325"/>
    <w:rsid w:val="00A85F9C"/>
    <w:rsid w:val="00A86009"/>
    <w:rsid w:val="00A9286C"/>
    <w:rsid w:val="00A930E7"/>
    <w:rsid w:val="00A937C3"/>
    <w:rsid w:val="00A93CA5"/>
    <w:rsid w:val="00A94F69"/>
    <w:rsid w:val="00A9520C"/>
    <w:rsid w:val="00A95CC5"/>
    <w:rsid w:val="00A95D2A"/>
    <w:rsid w:val="00A96415"/>
    <w:rsid w:val="00A97644"/>
    <w:rsid w:val="00A97848"/>
    <w:rsid w:val="00A97E47"/>
    <w:rsid w:val="00AA008A"/>
    <w:rsid w:val="00AA06B6"/>
    <w:rsid w:val="00AA08FE"/>
    <w:rsid w:val="00AA0F2E"/>
    <w:rsid w:val="00AA12BB"/>
    <w:rsid w:val="00AA1704"/>
    <w:rsid w:val="00AA1A56"/>
    <w:rsid w:val="00AA281D"/>
    <w:rsid w:val="00AA2A6D"/>
    <w:rsid w:val="00AA3419"/>
    <w:rsid w:val="00AA4419"/>
    <w:rsid w:val="00AA4458"/>
    <w:rsid w:val="00AA4790"/>
    <w:rsid w:val="00AA4AF0"/>
    <w:rsid w:val="00AA4EE2"/>
    <w:rsid w:val="00AA5352"/>
    <w:rsid w:val="00AA5A89"/>
    <w:rsid w:val="00AA5BA5"/>
    <w:rsid w:val="00AA5FDB"/>
    <w:rsid w:val="00AA6918"/>
    <w:rsid w:val="00AA76E9"/>
    <w:rsid w:val="00AA7ED6"/>
    <w:rsid w:val="00AB0C23"/>
    <w:rsid w:val="00AB12BD"/>
    <w:rsid w:val="00AB1658"/>
    <w:rsid w:val="00AB19D5"/>
    <w:rsid w:val="00AB1BAF"/>
    <w:rsid w:val="00AB334F"/>
    <w:rsid w:val="00AB3599"/>
    <w:rsid w:val="00AB36F3"/>
    <w:rsid w:val="00AB3A79"/>
    <w:rsid w:val="00AB3FB1"/>
    <w:rsid w:val="00AB41D7"/>
    <w:rsid w:val="00AB4502"/>
    <w:rsid w:val="00AB455D"/>
    <w:rsid w:val="00AB45B2"/>
    <w:rsid w:val="00AB4A80"/>
    <w:rsid w:val="00AB5035"/>
    <w:rsid w:val="00AB56CE"/>
    <w:rsid w:val="00AB5B09"/>
    <w:rsid w:val="00AB5F77"/>
    <w:rsid w:val="00AB61AD"/>
    <w:rsid w:val="00AB6778"/>
    <w:rsid w:val="00AB6AFD"/>
    <w:rsid w:val="00AB6E60"/>
    <w:rsid w:val="00AB704C"/>
    <w:rsid w:val="00AB70B0"/>
    <w:rsid w:val="00AB7970"/>
    <w:rsid w:val="00AC184E"/>
    <w:rsid w:val="00AC1A84"/>
    <w:rsid w:val="00AC1E9E"/>
    <w:rsid w:val="00AC295D"/>
    <w:rsid w:val="00AC435B"/>
    <w:rsid w:val="00AC4C88"/>
    <w:rsid w:val="00AC6729"/>
    <w:rsid w:val="00AC695E"/>
    <w:rsid w:val="00AC6E3A"/>
    <w:rsid w:val="00AC7E64"/>
    <w:rsid w:val="00AD089D"/>
    <w:rsid w:val="00AD15C6"/>
    <w:rsid w:val="00AD16C0"/>
    <w:rsid w:val="00AD1AA5"/>
    <w:rsid w:val="00AD1DE1"/>
    <w:rsid w:val="00AD2238"/>
    <w:rsid w:val="00AD2650"/>
    <w:rsid w:val="00AD3093"/>
    <w:rsid w:val="00AD30C3"/>
    <w:rsid w:val="00AD3D7E"/>
    <w:rsid w:val="00AD55B4"/>
    <w:rsid w:val="00AD57F9"/>
    <w:rsid w:val="00AD5FB0"/>
    <w:rsid w:val="00AD6555"/>
    <w:rsid w:val="00AD694B"/>
    <w:rsid w:val="00AD70E6"/>
    <w:rsid w:val="00AD7DAC"/>
    <w:rsid w:val="00AE12E7"/>
    <w:rsid w:val="00AE1557"/>
    <w:rsid w:val="00AE1AA0"/>
    <w:rsid w:val="00AE2D6F"/>
    <w:rsid w:val="00AE2D99"/>
    <w:rsid w:val="00AE3780"/>
    <w:rsid w:val="00AE3ECC"/>
    <w:rsid w:val="00AE5499"/>
    <w:rsid w:val="00AE5F9F"/>
    <w:rsid w:val="00AE6E21"/>
    <w:rsid w:val="00AE6FC5"/>
    <w:rsid w:val="00AE75F5"/>
    <w:rsid w:val="00AF06BE"/>
    <w:rsid w:val="00AF0ACD"/>
    <w:rsid w:val="00AF0FFE"/>
    <w:rsid w:val="00AF198E"/>
    <w:rsid w:val="00AF2216"/>
    <w:rsid w:val="00AF23DB"/>
    <w:rsid w:val="00AF32D8"/>
    <w:rsid w:val="00AF4413"/>
    <w:rsid w:val="00AF5929"/>
    <w:rsid w:val="00AF59D9"/>
    <w:rsid w:val="00AF5F85"/>
    <w:rsid w:val="00AF718D"/>
    <w:rsid w:val="00AF7554"/>
    <w:rsid w:val="00B00081"/>
    <w:rsid w:val="00B006D1"/>
    <w:rsid w:val="00B00FB9"/>
    <w:rsid w:val="00B01315"/>
    <w:rsid w:val="00B0141D"/>
    <w:rsid w:val="00B018B5"/>
    <w:rsid w:val="00B01955"/>
    <w:rsid w:val="00B022EC"/>
    <w:rsid w:val="00B025F2"/>
    <w:rsid w:val="00B02E40"/>
    <w:rsid w:val="00B03E63"/>
    <w:rsid w:val="00B04370"/>
    <w:rsid w:val="00B043B3"/>
    <w:rsid w:val="00B049CF"/>
    <w:rsid w:val="00B049E2"/>
    <w:rsid w:val="00B055DF"/>
    <w:rsid w:val="00B059E8"/>
    <w:rsid w:val="00B05B6B"/>
    <w:rsid w:val="00B05F77"/>
    <w:rsid w:val="00B06C1A"/>
    <w:rsid w:val="00B06F4A"/>
    <w:rsid w:val="00B070B8"/>
    <w:rsid w:val="00B10442"/>
    <w:rsid w:val="00B10D03"/>
    <w:rsid w:val="00B11F1F"/>
    <w:rsid w:val="00B12814"/>
    <w:rsid w:val="00B14743"/>
    <w:rsid w:val="00B1486F"/>
    <w:rsid w:val="00B15D45"/>
    <w:rsid w:val="00B16348"/>
    <w:rsid w:val="00B16632"/>
    <w:rsid w:val="00B16773"/>
    <w:rsid w:val="00B16FA3"/>
    <w:rsid w:val="00B17240"/>
    <w:rsid w:val="00B17B2C"/>
    <w:rsid w:val="00B20994"/>
    <w:rsid w:val="00B20AB0"/>
    <w:rsid w:val="00B20C90"/>
    <w:rsid w:val="00B20CB6"/>
    <w:rsid w:val="00B20D50"/>
    <w:rsid w:val="00B20DDB"/>
    <w:rsid w:val="00B20F1C"/>
    <w:rsid w:val="00B20F50"/>
    <w:rsid w:val="00B217AD"/>
    <w:rsid w:val="00B21B26"/>
    <w:rsid w:val="00B21F10"/>
    <w:rsid w:val="00B22D7F"/>
    <w:rsid w:val="00B2330A"/>
    <w:rsid w:val="00B23322"/>
    <w:rsid w:val="00B233ED"/>
    <w:rsid w:val="00B23889"/>
    <w:rsid w:val="00B23E3F"/>
    <w:rsid w:val="00B24757"/>
    <w:rsid w:val="00B24908"/>
    <w:rsid w:val="00B24AC8"/>
    <w:rsid w:val="00B25230"/>
    <w:rsid w:val="00B25960"/>
    <w:rsid w:val="00B27491"/>
    <w:rsid w:val="00B27523"/>
    <w:rsid w:val="00B275DB"/>
    <w:rsid w:val="00B30059"/>
    <w:rsid w:val="00B30719"/>
    <w:rsid w:val="00B30880"/>
    <w:rsid w:val="00B30FD2"/>
    <w:rsid w:val="00B310B3"/>
    <w:rsid w:val="00B319B7"/>
    <w:rsid w:val="00B31E73"/>
    <w:rsid w:val="00B327B2"/>
    <w:rsid w:val="00B32CA1"/>
    <w:rsid w:val="00B32D2C"/>
    <w:rsid w:val="00B32E90"/>
    <w:rsid w:val="00B32F08"/>
    <w:rsid w:val="00B34314"/>
    <w:rsid w:val="00B34768"/>
    <w:rsid w:val="00B34ABE"/>
    <w:rsid w:val="00B34FBF"/>
    <w:rsid w:val="00B3526B"/>
    <w:rsid w:val="00B35B35"/>
    <w:rsid w:val="00B36043"/>
    <w:rsid w:val="00B361E3"/>
    <w:rsid w:val="00B36417"/>
    <w:rsid w:val="00B367F0"/>
    <w:rsid w:val="00B4033D"/>
    <w:rsid w:val="00B403C5"/>
    <w:rsid w:val="00B408A7"/>
    <w:rsid w:val="00B40EB3"/>
    <w:rsid w:val="00B411E0"/>
    <w:rsid w:val="00B412E7"/>
    <w:rsid w:val="00B41B43"/>
    <w:rsid w:val="00B41BBC"/>
    <w:rsid w:val="00B4200C"/>
    <w:rsid w:val="00B423EB"/>
    <w:rsid w:val="00B42F00"/>
    <w:rsid w:val="00B43DC4"/>
    <w:rsid w:val="00B4412E"/>
    <w:rsid w:val="00B445C7"/>
    <w:rsid w:val="00B45A89"/>
    <w:rsid w:val="00B46AF0"/>
    <w:rsid w:val="00B47D3C"/>
    <w:rsid w:val="00B47F37"/>
    <w:rsid w:val="00B5020C"/>
    <w:rsid w:val="00B50529"/>
    <w:rsid w:val="00B5063A"/>
    <w:rsid w:val="00B5086A"/>
    <w:rsid w:val="00B51CDC"/>
    <w:rsid w:val="00B51D0F"/>
    <w:rsid w:val="00B520C3"/>
    <w:rsid w:val="00B52B16"/>
    <w:rsid w:val="00B52E58"/>
    <w:rsid w:val="00B530C5"/>
    <w:rsid w:val="00B53AFA"/>
    <w:rsid w:val="00B53C2E"/>
    <w:rsid w:val="00B54695"/>
    <w:rsid w:val="00B55082"/>
    <w:rsid w:val="00B5530A"/>
    <w:rsid w:val="00B554AD"/>
    <w:rsid w:val="00B558AC"/>
    <w:rsid w:val="00B55F89"/>
    <w:rsid w:val="00B55FC1"/>
    <w:rsid w:val="00B56C0E"/>
    <w:rsid w:val="00B60156"/>
    <w:rsid w:val="00B60934"/>
    <w:rsid w:val="00B60A1D"/>
    <w:rsid w:val="00B61E25"/>
    <w:rsid w:val="00B626EB"/>
    <w:rsid w:val="00B62874"/>
    <w:rsid w:val="00B62A6B"/>
    <w:rsid w:val="00B63816"/>
    <w:rsid w:val="00B639F0"/>
    <w:rsid w:val="00B63C0D"/>
    <w:rsid w:val="00B63D01"/>
    <w:rsid w:val="00B64034"/>
    <w:rsid w:val="00B6592F"/>
    <w:rsid w:val="00B65E47"/>
    <w:rsid w:val="00B65FEC"/>
    <w:rsid w:val="00B66026"/>
    <w:rsid w:val="00B66F92"/>
    <w:rsid w:val="00B67ED9"/>
    <w:rsid w:val="00B700B4"/>
    <w:rsid w:val="00B70B67"/>
    <w:rsid w:val="00B717F9"/>
    <w:rsid w:val="00B71962"/>
    <w:rsid w:val="00B71A55"/>
    <w:rsid w:val="00B7244E"/>
    <w:rsid w:val="00B72632"/>
    <w:rsid w:val="00B72968"/>
    <w:rsid w:val="00B72DF9"/>
    <w:rsid w:val="00B73054"/>
    <w:rsid w:val="00B73905"/>
    <w:rsid w:val="00B73953"/>
    <w:rsid w:val="00B75203"/>
    <w:rsid w:val="00B752ED"/>
    <w:rsid w:val="00B7589A"/>
    <w:rsid w:val="00B75C55"/>
    <w:rsid w:val="00B762A6"/>
    <w:rsid w:val="00B7663C"/>
    <w:rsid w:val="00B77942"/>
    <w:rsid w:val="00B77CA4"/>
    <w:rsid w:val="00B80F39"/>
    <w:rsid w:val="00B817D8"/>
    <w:rsid w:val="00B81E8D"/>
    <w:rsid w:val="00B82157"/>
    <w:rsid w:val="00B8238B"/>
    <w:rsid w:val="00B827B3"/>
    <w:rsid w:val="00B82F65"/>
    <w:rsid w:val="00B83010"/>
    <w:rsid w:val="00B83021"/>
    <w:rsid w:val="00B836FB"/>
    <w:rsid w:val="00B84CAE"/>
    <w:rsid w:val="00B85247"/>
    <w:rsid w:val="00B85639"/>
    <w:rsid w:val="00B85DBF"/>
    <w:rsid w:val="00B8622A"/>
    <w:rsid w:val="00B86DDE"/>
    <w:rsid w:val="00B870D9"/>
    <w:rsid w:val="00B871FE"/>
    <w:rsid w:val="00B87DDD"/>
    <w:rsid w:val="00B9056E"/>
    <w:rsid w:val="00B90753"/>
    <w:rsid w:val="00B90844"/>
    <w:rsid w:val="00B90845"/>
    <w:rsid w:val="00B90A2C"/>
    <w:rsid w:val="00B9173E"/>
    <w:rsid w:val="00B91B57"/>
    <w:rsid w:val="00B91F39"/>
    <w:rsid w:val="00B936D8"/>
    <w:rsid w:val="00B93CA2"/>
    <w:rsid w:val="00B9412C"/>
    <w:rsid w:val="00B94CF2"/>
    <w:rsid w:val="00B94D1A"/>
    <w:rsid w:val="00B94EEE"/>
    <w:rsid w:val="00B962F4"/>
    <w:rsid w:val="00B96883"/>
    <w:rsid w:val="00B96F37"/>
    <w:rsid w:val="00B97471"/>
    <w:rsid w:val="00B97950"/>
    <w:rsid w:val="00B97B67"/>
    <w:rsid w:val="00BA0095"/>
    <w:rsid w:val="00BA0349"/>
    <w:rsid w:val="00BA04B3"/>
    <w:rsid w:val="00BA080B"/>
    <w:rsid w:val="00BA0C79"/>
    <w:rsid w:val="00BA12F7"/>
    <w:rsid w:val="00BA14D9"/>
    <w:rsid w:val="00BA182B"/>
    <w:rsid w:val="00BA2E8C"/>
    <w:rsid w:val="00BA3103"/>
    <w:rsid w:val="00BA3742"/>
    <w:rsid w:val="00BA4070"/>
    <w:rsid w:val="00BA4545"/>
    <w:rsid w:val="00BA4B59"/>
    <w:rsid w:val="00BA4F0A"/>
    <w:rsid w:val="00BA59BD"/>
    <w:rsid w:val="00BA5A6D"/>
    <w:rsid w:val="00BA5AA8"/>
    <w:rsid w:val="00BA5E80"/>
    <w:rsid w:val="00BA662B"/>
    <w:rsid w:val="00BA7E4E"/>
    <w:rsid w:val="00BB00E1"/>
    <w:rsid w:val="00BB08AE"/>
    <w:rsid w:val="00BB0DFF"/>
    <w:rsid w:val="00BB1866"/>
    <w:rsid w:val="00BB2004"/>
    <w:rsid w:val="00BB2B11"/>
    <w:rsid w:val="00BB2EC6"/>
    <w:rsid w:val="00BB332B"/>
    <w:rsid w:val="00BB3ADE"/>
    <w:rsid w:val="00BB433E"/>
    <w:rsid w:val="00BB4613"/>
    <w:rsid w:val="00BB4B65"/>
    <w:rsid w:val="00BB5428"/>
    <w:rsid w:val="00BB63CD"/>
    <w:rsid w:val="00BB6493"/>
    <w:rsid w:val="00BB743D"/>
    <w:rsid w:val="00BC0007"/>
    <w:rsid w:val="00BC059E"/>
    <w:rsid w:val="00BC0BA9"/>
    <w:rsid w:val="00BC0BE3"/>
    <w:rsid w:val="00BC16FE"/>
    <w:rsid w:val="00BC1B32"/>
    <w:rsid w:val="00BC358C"/>
    <w:rsid w:val="00BC40C9"/>
    <w:rsid w:val="00BC5729"/>
    <w:rsid w:val="00BC573F"/>
    <w:rsid w:val="00BC63FF"/>
    <w:rsid w:val="00BC68B0"/>
    <w:rsid w:val="00BC7B8A"/>
    <w:rsid w:val="00BD0556"/>
    <w:rsid w:val="00BD0662"/>
    <w:rsid w:val="00BD08A8"/>
    <w:rsid w:val="00BD15CC"/>
    <w:rsid w:val="00BD1CF1"/>
    <w:rsid w:val="00BD2228"/>
    <w:rsid w:val="00BD2A04"/>
    <w:rsid w:val="00BD3523"/>
    <w:rsid w:val="00BD3607"/>
    <w:rsid w:val="00BD377B"/>
    <w:rsid w:val="00BD3891"/>
    <w:rsid w:val="00BD3A3D"/>
    <w:rsid w:val="00BD4AD3"/>
    <w:rsid w:val="00BD4CF2"/>
    <w:rsid w:val="00BD57C0"/>
    <w:rsid w:val="00BD57CB"/>
    <w:rsid w:val="00BD5832"/>
    <w:rsid w:val="00BD5BFA"/>
    <w:rsid w:val="00BD671F"/>
    <w:rsid w:val="00BD6A38"/>
    <w:rsid w:val="00BD6E2E"/>
    <w:rsid w:val="00BD7112"/>
    <w:rsid w:val="00BD7D2D"/>
    <w:rsid w:val="00BE024A"/>
    <w:rsid w:val="00BE0739"/>
    <w:rsid w:val="00BE11D8"/>
    <w:rsid w:val="00BE16AF"/>
    <w:rsid w:val="00BE1EDB"/>
    <w:rsid w:val="00BE2203"/>
    <w:rsid w:val="00BE27C0"/>
    <w:rsid w:val="00BE2E1B"/>
    <w:rsid w:val="00BE3E68"/>
    <w:rsid w:val="00BE4143"/>
    <w:rsid w:val="00BE41D8"/>
    <w:rsid w:val="00BE4468"/>
    <w:rsid w:val="00BE4A73"/>
    <w:rsid w:val="00BE4AAE"/>
    <w:rsid w:val="00BE4B36"/>
    <w:rsid w:val="00BE5AF7"/>
    <w:rsid w:val="00BE65A4"/>
    <w:rsid w:val="00BE671C"/>
    <w:rsid w:val="00BE799F"/>
    <w:rsid w:val="00BF0728"/>
    <w:rsid w:val="00BF0CEB"/>
    <w:rsid w:val="00BF0FBB"/>
    <w:rsid w:val="00BF126A"/>
    <w:rsid w:val="00BF17A6"/>
    <w:rsid w:val="00BF338F"/>
    <w:rsid w:val="00BF339C"/>
    <w:rsid w:val="00BF359C"/>
    <w:rsid w:val="00BF37C7"/>
    <w:rsid w:val="00BF399C"/>
    <w:rsid w:val="00BF5566"/>
    <w:rsid w:val="00BF5C87"/>
    <w:rsid w:val="00BF648A"/>
    <w:rsid w:val="00BF6BD3"/>
    <w:rsid w:val="00BF6EC5"/>
    <w:rsid w:val="00BF6F90"/>
    <w:rsid w:val="00C006EB"/>
    <w:rsid w:val="00C00997"/>
    <w:rsid w:val="00C00B52"/>
    <w:rsid w:val="00C01F8D"/>
    <w:rsid w:val="00C02610"/>
    <w:rsid w:val="00C02719"/>
    <w:rsid w:val="00C0277F"/>
    <w:rsid w:val="00C0349B"/>
    <w:rsid w:val="00C03814"/>
    <w:rsid w:val="00C04639"/>
    <w:rsid w:val="00C04DA0"/>
    <w:rsid w:val="00C04F3F"/>
    <w:rsid w:val="00C05812"/>
    <w:rsid w:val="00C0646E"/>
    <w:rsid w:val="00C06615"/>
    <w:rsid w:val="00C07210"/>
    <w:rsid w:val="00C075C5"/>
    <w:rsid w:val="00C07680"/>
    <w:rsid w:val="00C07BD1"/>
    <w:rsid w:val="00C07BF5"/>
    <w:rsid w:val="00C103F8"/>
    <w:rsid w:val="00C10A3B"/>
    <w:rsid w:val="00C10A51"/>
    <w:rsid w:val="00C113D7"/>
    <w:rsid w:val="00C11D36"/>
    <w:rsid w:val="00C123CC"/>
    <w:rsid w:val="00C12D32"/>
    <w:rsid w:val="00C1322E"/>
    <w:rsid w:val="00C13431"/>
    <w:rsid w:val="00C14101"/>
    <w:rsid w:val="00C149ED"/>
    <w:rsid w:val="00C15017"/>
    <w:rsid w:val="00C150D1"/>
    <w:rsid w:val="00C1582F"/>
    <w:rsid w:val="00C16251"/>
    <w:rsid w:val="00C16522"/>
    <w:rsid w:val="00C16570"/>
    <w:rsid w:val="00C16E78"/>
    <w:rsid w:val="00C17A15"/>
    <w:rsid w:val="00C17EF8"/>
    <w:rsid w:val="00C201DA"/>
    <w:rsid w:val="00C20362"/>
    <w:rsid w:val="00C2044B"/>
    <w:rsid w:val="00C205CC"/>
    <w:rsid w:val="00C20D28"/>
    <w:rsid w:val="00C21158"/>
    <w:rsid w:val="00C21AB2"/>
    <w:rsid w:val="00C21C93"/>
    <w:rsid w:val="00C22135"/>
    <w:rsid w:val="00C221FD"/>
    <w:rsid w:val="00C22BB4"/>
    <w:rsid w:val="00C22ECC"/>
    <w:rsid w:val="00C23321"/>
    <w:rsid w:val="00C2340C"/>
    <w:rsid w:val="00C23671"/>
    <w:rsid w:val="00C2376D"/>
    <w:rsid w:val="00C23C43"/>
    <w:rsid w:val="00C24418"/>
    <w:rsid w:val="00C24758"/>
    <w:rsid w:val="00C247C4"/>
    <w:rsid w:val="00C250C8"/>
    <w:rsid w:val="00C2567E"/>
    <w:rsid w:val="00C256FB"/>
    <w:rsid w:val="00C25B0C"/>
    <w:rsid w:val="00C25F78"/>
    <w:rsid w:val="00C26200"/>
    <w:rsid w:val="00C2632E"/>
    <w:rsid w:val="00C26DA6"/>
    <w:rsid w:val="00C2714C"/>
    <w:rsid w:val="00C2762D"/>
    <w:rsid w:val="00C30030"/>
    <w:rsid w:val="00C30781"/>
    <w:rsid w:val="00C30823"/>
    <w:rsid w:val="00C30876"/>
    <w:rsid w:val="00C30D98"/>
    <w:rsid w:val="00C311C8"/>
    <w:rsid w:val="00C31C29"/>
    <w:rsid w:val="00C31D8B"/>
    <w:rsid w:val="00C32291"/>
    <w:rsid w:val="00C328E9"/>
    <w:rsid w:val="00C33025"/>
    <w:rsid w:val="00C33167"/>
    <w:rsid w:val="00C3426A"/>
    <w:rsid w:val="00C3445D"/>
    <w:rsid w:val="00C348F3"/>
    <w:rsid w:val="00C366E8"/>
    <w:rsid w:val="00C3703F"/>
    <w:rsid w:val="00C371DC"/>
    <w:rsid w:val="00C372BC"/>
    <w:rsid w:val="00C377A9"/>
    <w:rsid w:val="00C400AF"/>
    <w:rsid w:val="00C41023"/>
    <w:rsid w:val="00C41A69"/>
    <w:rsid w:val="00C41D84"/>
    <w:rsid w:val="00C421AB"/>
    <w:rsid w:val="00C428E4"/>
    <w:rsid w:val="00C43018"/>
    <w:rsid w:val="00C43AB3"/>
    <w:rsid w:val="00C44390"/>
    <w:rsid w:val="00C44452"/>
    <w:rsid w:val="00C446C7"/>
    <w:rsid w:val="00C44B37"/>
    <w:rsid w:val="00C44E4A"/>
    <w:rsid w:val="00C45069"/>
    <w:rsid w:val="00C45209"/>
    <w:rsid w:val="00C4548E"/>
    <w:rsid w:val="00C45A27"/>
    <w:rsid w:val="00C45D58"/>
    <w:rsid w:val="00C46217"/>
    <w:rsid w:val="00C46988"/>
    <w:rsid w:val="00C4755A"/>
    <w:rsid w:val="00C47811"/>
    <w:rsid w:val="00C47992"/>
    <w:rsid w:val="00C5199C"/>
    <w:rsid w:val="00C519B7"/>
    <w:rsid w:val="00C51A83"/>
    <w:rsid w:val="00C5246C"/>
    <w:rsid w:val="00C524D2"/>
    <w:rsid w:val="00C52B05"/>
    <w:rsid w:val="00C52B64"/>
    <w:rsid w:val="00C52E7F"/>
    <w:rsid w:val="00C53460"/>
    <w:rsid w:val="00C535D1"/>
    <w:rsid w:val="00C53817"/>
    <w:rsid w:val="00C53A26"/>
    <w:rsid w:val="00C53CC5"/>
    <w:rsid w:val="00C54788"/>
    <w:rsid w:val="00C54B00"/>
    <w:rsid w:val="00C5507C"/>
    <w:rsid w:val="00C5532D"/>
    <w:rsid w:val="00C559B7"/>
    <w:rsid w:val="00C5621F"/>
    <w:rsid w:val="00C571D5"/>
    <w:rsid w:val="00C602EE"/>
    <w:rsid w:val="00C6077A"/>
    <w:rsid w:val="00C60A32"/>
    <w:rsid w:val="00C6119F"/>
    <w:rsid w:val="00C6190C"/>
    <w:rsid w:val="00C61AFE"/>
    <w:rsid w:val="00C61E9E"/>
    <w:rsid w:val="00C622E3"/>
    <w:rsid w:val="00C62B1E"/>
    <w:rsid w:val="00C62B2C"/>
    <w:rsid w:val="00C63826"/>
    <w:rsid w:val="00C64258"/>
    <w:rsid w:val="00C644B4"/>
    <w:rsid w:val="00C646AD"/>
    <w:rsid w:val="00C658A4"/>
    <w:rsid w:val="00C65D17"/>
    <w:rsid w:val="00C65EA4"/>
    <w:rsid w:val="00C6615A"/>
    <w:rsid w:val="00C6634E"/>
    <w:rsid w:val="00C666D8"/>
    <w:rsid w:val="00C67EBC"/>
    <w:rsid w:val="00C67FEA"/>
    <w:rsid w:val="00C70071"/>
    <w:rsid w:val="00C70217"/>
    <w:rsid w:val="00C70223"/>
    <w:rsid w:val="00C7040A"/>
    <w:rsid w:val="00C739ED"/>
    <w:rsid w:val="00C7425B"/>
    <w:rsid w:val="00C74C7C"/>
    <w:rsid w:val="00C74D3B"/>
    <w:rsid w:val="00C74EB3"/>
    <w:rsid w:val="00C74EE9"/>
    <w:rsid w:val="00C753C9"/>
    <w:rsid w:val="00C75A80"/>
    <w:rsid w:val="00C76093"/>
    <w:rsid w:val="00C763EE"/>
    <w:rsid w:val="00C76A2C"/>
    <w:rsid w:val="00C76DC1"/>
    <w:rsid w:val="00C7786C"/>
    <w:rsid w:val="00C77B3A"/>
    <w:rsid w:val="00C77B6C"/>
    <w:rsid w:val="00C77C0E"/>
    <w:rsid w:val="00C802E4"/>
    <w:rsid w:val="00C8051B"/>
    <w:rsid w:val="00C81098"/>
    <w:rsid w:val="00C819B9"/>
    <w:rsid w:val="00C81D23"/>
    <w:rsid w:val="00C81E63"/>
    <w:rsid w:val="00C824E8"/>
    <w:rsid w:val="00C828CE"/>
    <w:rsid w:val="00C82A9D"/>
    <w:rsid w:val="00C833C6"/>
    <w:rsid w:val="00C835F8"/>
    <w:rsid w:val="00C8458F"/>
    <w:rsid w:val="00C84ABC"/>
    <w:rsid w:val="00C858C7"/>
    <w:rsid w:val="00C85C7F"/>
    <w:rsid w:val="00C866B9"/>
    <w:rsid w:val="00C86714"/>
    <w:rsid w:val="00C86B03"/>
    <w:rsid w:val="00C87B42"/>
    <w:rsid w:val="00C9055D"/>
    <w:rsid w:val="00C921FC"/>
    <w:rsid w:val="00C9242D"/>
    <w:rsid w:val="00C9255B"/>
    <w:rsid w:val="00C92894"/>
    <w:rsid w:val="00C92B04"/>
    <w:rsid w:val="00C92CEF"/>
    <w:rsid w:val="00C93196"/>
    <w:rsid w:val="00C934F1"/>
    <w:rsid w:val="00C948FC"/>
    <w:rsid w:val="00C94B3D"/>
    <w:rsid w:val="00C94D05"/>
    <w:rsid w:val="00C95021"/>
    <w:rsid w:val="00C957E5"/>
    <w:rsid w:val="00C95938"/>
    <w:rsid w:val="00C9609E"/>
    <w:rsid w:val="00C967A5"/>
    <w:rsid w:val="00C96B3F"/>
    <w:rsid w:val="00C96CFE"/>
    <w:rsid w:val="00CA02A0"/>
    <w:rsid w:val="00CA1F9F"/>
    <w:rsid w:val="00CA224D"/>
    <w:rsid w:val="00CA24E5"/>
    <w:rsid w:val="00CA3040"/>
    <w:rsid w:val="00CA35A2"/>
    <w:rsid w:val="00CA4823"/>
    <w:rsid w:val="00CA4CB8"/>
    <w:rsid w:val="00CA5D74"/>
    <w:rsid w:val="00CA72DB"/>
    <w:rsid w:val="00CA7996"/>
    <w:rsid w:val="00CA7FBA"/>
    <w:rsid w:val="00CB0227"/>
    <w:rsid w:val="00CB08FF"/>
    <w:rsid w:val="00CB0FBB"/>
    <w:rsid w:val="00CB16D4"/>
    <w:rsid w:val="00CB1746"/>
    <w:rsid w:val="00CB18C9"/>
    <w:rsid w:val="00CB2B67"/>
    <w:rsid w:val="00CB2DD2"/>
    <w:rsid w:val="00CB317C"/>
    <w:rsid w:val="00CB321C"/>
    <w:rsid w:val="00CB33BE"/>
    <w:rsid w:val="00CB3897"/>
    <w:rsid w:val="00CB3A82"/>
    <w:rsid w:val="00CB3B1B"/>
    <w:rsid w:val="00CB4677"/>
    <w:rsid w:val="00CB54D6"/>
    <w:rsid w:val="00CB5986"/>
    <w:rsid w:val="00CB5B26"/>
    <w:rsid w:val="00CB5C3A"/>
    <w:rsid w:val="00CB62DE"/>
    <w:rsid w:val="00CB679E"/>
    <w:rsid w:val="00CB731C"/>
    <w:rsid w:val="00CB7848"/>
    <w:rsid w:val="00CB7A36"/>
    <w:rsid w:val="00CB7DBF"/>
    <w:rsid w:val="00CC05AF"/>
    <w:rsid w:val="00CC06FD"/>
    <w:rsid w:val="00CC0ABA"/>
    <w:rsid w:val="00CC1212"/>
    <w:rsid w:val="00CC1B26"/>
    <w:rsid w:val="00CC1EBA"/>
    <w:rsid w:val="00CC22C7"/>
    <w:rsid w:val="00CC2A75"/>
    <w:rsid w:val="00CC2E77"/>
    <w:rsid w:val="00CC2F47"/>
    <w:rsid w:val="00CC313D"/>
    <w:rsid w:val="00CC39F7"/>
    <w:rsid w:val="00CC3A77"/>
    <w:rsid w:val="00CC3DA5"/>
    <w:rsid w:val="00CC45DC"/>
    <w:rsid w:val="00CC485D"/>
    <w:rsid w:val="00CC4E0E"/>
    <w:rsid w:val="00CC4E6D"/>
    <w:rsid w:val="00CC4EA3"/>
    <w:rsid w:val="00CC51F4"/>
    <w:rsid w:val="00CC53EA"/>
    <w:rsid w:val="00CC57D6"/>
    <w:rsid w:val="00CC6EEA"/>
    <w:rsid w:val="00CC6F9B"/>
    <w:rsid w:val="00CC6FC2"/>
    <w:rsid w:val="00CC7923"/>
    <w:rsid w:val="00CD09FD"/>
    <w:rsid w:val="00CD0A44"/>
    <w:rsid w:val="00CD0BBC"/>
    <w:rsid w:val="00CD1234"/>
    <w:rsid w:val="00CD1290"/>
    <w:rsid w:val="00CD1368"/>
    <w:rsid w:val="00CD15A4"/>
    <w:rsid w:val="00CD177E"/>
    <w:rsid w:val="00CD2761"/>
    <w:rsid w:val="00CD2909"/>
    <w:rsid w:val="00CD2C5D"/>
    <w:rsid w:val="00CD2FF3"/>
    <w:rsid w:val="00CD3555"/>
    <w:rsid w:val="00CD409E"/>
    <w:rsid w:val="00CD4BB1"/>
    <w:rsid w:val="00CD4DFC"/>
    <w:rsid w:val="00CD5931"/>
    <w:rsid w:val="00CD64D0"/>
    <w:rsid w:val="00CD67BE"/>
    <w:rsid w:val="00CD68FD"/>
    <w:rsid w:val="00CD6F16"/>
    <w:rsid w:val="00CE07EF"/>
    <w:rsid w:val="00CE0B01"/>
    <w:rsid w:val="00CE0EAA"/>
    <w:rsid w:val="00CE115A"/>
    <w:rsid w:val="00CE1DCF"/>
    <w:rsid w:val="00CE20F2"/>
    <w:rsid w:val="00CE22BC"/>
    <w:rsid w:val="00CE2E6D"/>
    <w:rsid w:val="00CE3237"/>
    <w:rsid w:val="00CE357B"/>
    <w:rsid w:val="00CE38D6"/>
    <w:rsid w:val="00CE52AB"/>
    <w:rsid w:val="00CE5A22"/>
    <w:rsid w:val="00CE5D56"/>
    <w:rsid w:val="00CE6711"/>
    <w:rsid w:val="00CE6B77"/>
    <w:rsid w:val="00CE78DA"/>
    <w:rsid w:val="00CE7CF5"/>
    <w:rsid w:val="00CF1110"/>
    <w:rsid w:val="00CF1433"/>
    <w:rsid w:val="00CF14B9"/>
    <w:rsid w:val="00CF167E"/>
    <w:rsid w:val="00CF1731"/>
    <w:rsid w:val="00CF208B"/>
    <w:rsid w:val="00CF2647"/>
    <w:rsid w:val="00CF26C1"/>
    <w:rsid w:val="00CF2CB9"/>
    <w:rsid w:val="00CF463F"/>
    <w:rsid w:val="00CF46A3"/>
    <w:rsid w:val="00CF53B3"/>
    <w:rsid w:val="00CF5884"/>
    <w:rsid w:val="00CF67D2"/>
    <w:rsid w:val="00CF6B45"/>
    <w:rsid w:val="00CF6C65"/>
    <w:rsid w:val="00CF77AE"/>
    <w:rsid w:val="00D0041F"/>
    <w:rsid w:val="00D005B4"/>
    <w:rsid w:val="00D00CFD"/>
    <w:rsid w:val="00D00DE9"/>
    <w:rsid w:val="00D0109A"/>
    <w:rsid w:val="00D01534"/>
    <w:rsid w:val="00D0174B"/>
    <w:rsid w:val="00D01848"/>
    <w:rsid w:val="00D01937"/>
    <w:rsid w:val="00D0297F"/>
    <w:rsid w:val="00D03DF1"/>
    <w:rsid w:val="00D04496"/>
    <w:rsid w:val="00D044A0"/>
    <w:rsid w:val="00D050B1"/>
    <w:rsid w:val="00D05B6F"/>
    <w:rsid w:val="00D06BCF"/>
    <w:rsid w:val="00D073DE"/>
    <w:rsid w:val="00D078C5"/>
    <w:rsid w:val="00D07BCB"/>
    <w:rsid w:val="00D1007C"/>
    <w:rsid w:val="00D10344"/>
    <w:rsid w:val="00D10AD2"/>
    <w:rsid w:val="00D134E1"/>
    <w:rsid w:val="00D13749"/>
    <w:rsid w:val="00D138E5"/>
    <w:rsid w:val="00D1429A"/>
    <w:rsid w:val="00D15277"/>
    <w:rsid w:val="00D158BB"/>
    <w:rsid w:val="00D15D76"/>
    <w:rsid w:val="00D15DA0"/>
    <w:rsid w:val="00D16108"/>
    <w:rsid w:val="00D16543"/>
    <w:rsid w:val="00D16B4E"/>
    <w:rsid w:val="00D16ED5"/>
    <w:rsid w:val="00D16F30"/>
    <w:rsid w:val="00D17423"/>
    <w:rsid w:val="00D17DDD"/>
    <w:rsid w:val="00D202CF"/>
    <w:rsid w:val="00D20E5A"/>
    <w:rsid w:val="00D214F0"/>
    <w:rsid w:val="00D21C04"/>
    <w:rsid w:val="00D21FCF"/>
    <w:rsid w:val="00D220D7"/>
    <w:rsid w:val="00D22359"/>
    <w:rsid w:val="00D224F0"/>
    <w:rsid w:val="00D2271D"/>
    <w:rsid w:val="00D22E6B"/>
    <w:rsid w:val="00D232FB"/>
    <w:rsid w:val="00D23634"/>
    <w:rsid w:val="00D23781"/>
    <w:rsid w:val="00D23BE5"/>
    <w:rsid w:val="00D23FCC"/>
    <w:rsid w:val="00D247EE"/>
    <w:rsid w:val="00D25158"/>
    <w:rsid w:val="00D25AAB"/>
    <w:rsid w:val="00D26B11"/>
    <w:rsid w:val="00D26C48"/>
    <w:rsid w:val="00D26D5A"/>
    <w:rsid w:val="00D2770A"/>
    <w:rsid w:val="00D27777"/>
    <w:rsid w:val="00D27A05"/>
    <w:rsid w:val="00D30053"/>
    <w:rsid w:val="00D30E16"/>
    <w:rsid w:val="00D3100B"/>
    <w:rsid w:val="00D31071"/>
    <w:rsid w:val="00D3184A"/>
    <w:rsid w:val="00D31863"/>
    <w:rsid w:val="00D32BE5"/>
    <w:rsid w:val="00D32D76"/>
    <w:rsid w:val="00D32DAA"/>
    <w:rsid w:val="00D32E96"/>
    <w:rsid w:val="00D3303D"/>
    <w:rsid w:val="00D3377E"/>
    <w:rsid w:val="00D33AAB"/>
    <w:rsid w:val="00D33E25"/>
    <w:rsid w:val="00D344AA"/>
    <w:rsid w:val="00D34ACB"/>
    <w:rsid w:val="00D353CF"/>
    <w:rsid w:val="00D35FB5"/>
    <w:rsid w:val="00D366F3"/>
    <w:rsid w:val="00D368DE"/>
    <w:rsid w:val="00D36BA2"/>
    <w:rsid w:val="00D36CFA"/>
    <w:rsid w:val="00D36E6F"/>
    <w:rsid w:val="00D378D5"/>
    <w:rsid w:val="00D40108"/>
    <w:rsid w:val="00D40218"/>
    <w:rsid w:val="00D40DB3"/>
    <w:rsid w:val="00D41371"/>
    <w:rsid w:val="00D4144E"/>
    <w:rsid w:val="00D419C4"/>
    <w:rsid w:val="00D41F48"/>
    <w:rsid w:val="00D42066"/>
    <w:rsid w:val="00D42B7F"/>
    <w:rsid w:val="00D42FB4"/>
    <w:rsid w:val="00D4365A"/>
    <w:rsid w:val="00D44080"/>
    <w:rsid w:val="00D44C3F"/>
    <w:rsid w:val="00D44F06"/>
    <w:rsid w:val="00D45378"/>
    <w:rsid w:val="00D45873"/>
    <w:rsid w:val="00D458A8"/>
    <w:rsid w:val="00D4590D"/>
    <w:rsid w:val="00D4696E"/>
    <w:rsid w:val="00D469DE"/>
    <w:rsid w:val="00D46C00"/>
    <w:rsid w:val="00D46FA6"/>
    <w:rsid w:val="00D472F6"/>
    <w:rsid w:val="00D475B0"/>
    <w:rsid w:val="00D479EF"/>
    <w:rsid w:val="00D47CA1"/>
    <w:rsid w:val="00D506FA"/>
    <w:rsid w:val="00D50754"/>
    <w:rsid w:val="00D5093E"/>
    <w:rsid w:val="00D5133A"/>
    <w:rsid w:val="00D514D6"/>
    <w:rsid w:val="00D5173B"/>
    <w:rsid w:val="00D5213D"/>
    <w:rsid w:val="00D521F6"/>
    <w:rsid w:val="00D5229E"/>
    <w:rsid w:val="00D52660"/>
    <w:rsid w:val="00D528A7"/>
    <w:rsid w:val="00D52D46"/>
    <w:rsid w:val="00D5309C"/>
    <w:rsid w:val="00D539C2"/>
    <w:rsid w:val="00D53A8C"/>
    <w:rsid w:val="00D53BC9"/>
    <w:rsid w:val="00D545CF"/>
    <w:rsid w:val="00D54759"/>
    <w:rsid w:val="00D54A4A"/>
    <w:rsid w:val="00D5573E"/>
    <w:rsid w:val="00D55F4B"/>
    <w:rsid w:val="00D5645C"/>
    <w:rsid w:val="00D56871"/>
    <w:rsid w:val="00D57C13"/>
    <w:rsid w:val="00D57CF3"/>
    <w:rsid w:val="00D6049E"/>
    <w:rsid w:val="00D60D30"/>
    <w:rsid w:val="00D61024"/>
    <w:rsid w:val="00D612E1"/>
    <w:rsid w:val="00D61EEA"/>
    <w:rsid w:val="00D62F54"/>
    <w:rsid w:val="00D63EA9"/>
    <w:rsid w:val="00D63FE0"/>
    <w:rsid w:val="00D644AF"/>
    <w:rsid w:val="00D64935"/>
    <w:rsid w:val="00D64C17"/>
    <w:rsid w:val="00D65033"/>
    <w:rsid w:val="00D6553D"/>
    <w:rsid w:val="00D665FC"/>
    <w:rsid w:val="00D66712"/>
    <w:rsid w:val="00D667A8"/>
    <w:rsid w:val="00D6690A"/>
    <w:rsid w:val="00D66E81"/>
    <w:rsid w:val="00D675A3"/>
    <w:rsid w:val="00D67BB5"/>
    <w:rsid w:val="00D71A39"/>
    <w:rsid w:val="00D7206D"/>
    <w:rsid w:val="00D731CC"/>
    <w:rsid w:val="00D7341B"/>
    <w:rsid w:val="00D7383E"/>
    <w:rsid w:val="00D73EA9"/>
    <w:rsid w:val="00D74A63"/>
    <w:rsid w:val="00D74C3A"/>
    <w:rsid w:val="00D74E27"/>
    <w:rsid w:val="00D75582"/>
    <w:rsid w:val="00D75E45"/>
    <w:rsid w:val="00D75F9E"/>
    <w:rsid w:val="00D76D3C"/>
    <w:rsid w:val="00D77434"/>
    <w:rsid w:val="00D77C75"/>
    <w:rsid w:val="00D77D7F"/>
    <w:rsid w:val="00D802DC"/>
    <w:rsid w:val="00D80302"/>
    <w:rsid w:val="00D80787"/>
    <w:rsid w:val="00D80805"/>
    <w:rsid w:val="00D80D29"/>
    <w:rsid w:val="00D80ED8"/>
    <w:rsid w:val="00D81014"/>
    <w:rsid w:val="00D812A4"/>
    <w:rsid w:val="00D81F5D"/>
    <w:rsid w:val="00D8216F"/>
    <w:rsid w:val="00D828B6"/>
    <w:rsid w:val="00D82D5F"/>
    <w:rsid w:val="00D83089"/>
    <w:rsid w:val="00D830A6"/>
    <w:rsid w:val="00D83402"/>
    <w:rsid w:val="00D83DFE"/>
    <w:rsid w:val="00D8437B"/>
    <w:rsid w:val="00D84C3A"/>
    <w:rsid w:val="00D85843"/>
    <w:rsid w:val="00D862EB"/>
    <w:rsid w:val="00D8643A"/>
    <w:rsid w:val="00D86DC6"/>
    <w:rsid w:val="00D87239"/>
    <w:rsid w:val="00D876CF"/>
    <w:rsid w:val="00D90021"/>
    <w:rsid w:val="00D9034B"/>
    <w:rsid w:val="00D9083F"/>
    <w:rsid w:val="00D90A54"/>
    <w:rsid w:val="00D90CA7"/>
    <w:rsid w:val="00D9156E"/>
    <w:rsid w:val="00D91852"/>
    <w:rsid w:val="00D918C7"/>
    <w:rsid w:val="00D9192A"/>
    <w:rsid w:val="00D91B32"/>
    <w:rsid w:val="00D92DB4"/>
    <w:rsid w:val="00D934C5"/>
    <w:rsid w:val="00D93614"/>
    <w:rsid w:val="00D93B29"/>
    <w:rsid w:val="00D94F94"/>
    <w:rsid w:val="00D94FB9"/>
    <w:rsid w:val="00D9534F"/>
    <w:rsid w:val="00D959AB"/>
    <w:rsid w:val="00D96B46"/>
    <w:rsid w:val="00D978A1"/>
    <w:rsid w:val="00DA19B2"/>
    <w:rsid w:val="00DA1DBF"/>
    <w:rsid w:val="00DA293A"/>
    <w:rsid w:val="00DA354A"/>
    <w:rsid w:val="00DA3E41"/>
    <w:rsid w:val="00DA3EB8"/>
    <w:rsid w:val="00DA4087"/>
    <w:rsid w:val="00DA42B2"/>
    <w:rsid w:val="00DA4CB0"/>
    <w:rsid w:val="00DA50D3"/>
    <w:rsid w:val="00DA523A"/>
    <w:rsid w:val="00DA52EB"/>
    <w:rsid w:val="00DA54A4"/>
    <w:rsid w:val="00DA7234"/>
    <w:rsid w:val="00DA7F95"/>
    <w:rsid w:val="00DB07C9"/>
    <w:rsid w:val="00DB13ED"/>
    <w:rsid w:val="00DB1592"/>
    <w:rsid w:val="00DB1852"/>
    <w:rsid w:val="00DB1CB1"/>
    <w:rsid w:val="00DB2073"/>
    <w:rsid w:val="00DB233F"/>
    <w:rsid w:val="00DB279E"/>
    <w:rsid w:val="00DB2A34"/>
    <w:rsid w:val="00DB2BEE"/>
    <w:rsid w:val="00DB3167"/>
    <w:rsid w:val="00DB337A"/>
    <w:rsid w:val="00DB41F6"/>
    <w:rsid w:val="00DB44F1"/>
    <w:rsid w:val="00DB4BDF"/>
    <w:rsid w:val="00DB5047"/>
    <w:rsid w:val="00DB57C2"/>
    <w:rsid w:val="00DB5AEB"/>
    <w:rsid w:val="00DB6305"/>
    <w:rsid w:val="00DB6749"/>
    <w:rsid w:val="00DB6FF4"/>
    <w:rsid w:val="00DB7547"/>
    <w:rsid w:val="00DC05B7"/>
    <w:rsid w:val="00DC103A"/>
    <w:rsid w:val="00DC13EC"/>
    <w:rsid w:val="00DC225B"/>
    <w:rsid w:val="00DC342B"/>
    <w:rsid w:val="00DC3B01"/>
    <w:rsid w:val="00DC4034"/>
    <w:rsid w:val="00DC41FE"/>
    <w:rsid w:val="00DC45D7"/>
    <w:rsid w:val="00DC4994"/>
    <w:rsid w:val="00DC4AC8"/>
    <w:rsid w:val="00DC4B19"/>
    <w:rsid w:val="00DC4BA1"/>
    <w:rsid w:val="00DC4F7A"/>
    <w:rsid w:val="00DC53F8"/>
    <w:rsid w:val="00DC544B"/>
    <w:rsid w:val="00DC567B"/>
    <w:rsid w:val="00DC62AB"/>
    <w:rsid w:val="00DC659C"/>
    <w:rsid w:val="00DC6670"/>
    <w:rsid w:val="00DC6740"/>
    <w:rsid w:val="00DC6A4F"/>
    <w:rsid w:val="00DC6E55"/>
    <w:rsid w:val="00DC7069"/>
    <w:rsid w:val="00DC71B7"/>
    <w:rsid w:val="00DC74ED"/>
    <w:rsid w:val="00DC75F1"/>
    <w:rsid w:val="00DD03EC"/>
    <w:rsid w:val="00DD07E0"/>
    <w:rsid w:val="00DD0AD2"/>
    <w:rsid w:val="00DD0F36"/>
    <w:rsid w:val="00DD1489"/>
    <w:rsid w:val="00DD1875"/>
    <w:rsid w:val="00DD1D0B"/>
    <w:rsid w:val="00DD20B4"/>
    <w:rsid w:val="00DD2BE2"/>
    <w:rsid w:val="00DD2C3B"/>
    <w:rsid w:val="00DD3A34"/>
    <w:rsid w:val="00DD3AA9"/>
    <w:rsid w:val="00DD3EEF"/>
    <w:rsid w:val="00DD3EF5"/>
    <w:rsid w:val="00DD446A"/>
    <w:rsid w:val="00DD46B2"/>
    <w:rsid w:val="00DD48C1"/>
    <w:rsid w:val="00DD48DE"/>
    <w:rsid w:val="00DD4B42"/>
    <w:rsid w:val="00DD4D22"/>
    <w:rsid w:val="00DD51B1"/>
    <w:rsid w:val="00DD577C"/>
    <w:rsid w:val="00DD58C9"/>
    <w:rsid w:val="00DD5B1A"/>
    <w:rsid w:val="00DD64B0"/>
    <w:rsid w:val="00DD6D51"/>
    <w:rsid w:val="00DD7470"/>
    <w:rsid w:val="00DD7A8B"/>
    <w:rsid w:val="00DD7F20"/>
    <w:rsid w:val="00DE130D"/>
    <w:rsid w:val="00DE1A3B"/>
    <w:rsid w:val="00DE22A7"/>
    <w:rsid w:val="00DE2793"/>
    <w:rsid w:val="00DE2A83"/>
    <w:rsid w:val="00DE2DBA"/>
    <w:rsid w:val="00DE45D2"/>
    <w:rsid w:val="00DE4BB1"/>
    <w:rsid w:val="00DE54CE"/>
    <w:rsid w:val="00DE57A4"/>
    <w:rsid w:val="00DE5A97"/>
    <w:rsid w:val="00DE5C08"/>
    <w:rsid w:val="00DE5F1A"/>
    <w:rsid w:val="00DE60C9"/>
    <w:rsid w:val="00DE6238"/>
    <w:rsid w:val="00DE6515"/>
    <w:rsid w:val="00DE6B08"/>
    <w:rsid w:val="00DE718D"/>
    <w:rsid w:val="00DE7547"/>
    <w:rsid w:val="00DF07CE"/>
    <w:rsid w:val="00DF1094"/>
    <w:rsid w:val="00DF13C4"/>
    <w:rsid w:val="00DF1BC9"/>
    <w:rsid w:val="00DF208B"/>
    <w:rsid w:val="00DF237F"/>
    <w:rsid w:val="00DF2B28"/>
    <w:rsid w:val="00DF300A"/>
    <w:rsid w:val="00DF3A37"/>
    <w:rsid w:val="00DF4B5B"/>
    <w:rsid w:val="00DF557A"/>
    <w:rsid w:val="00DF698D"/>
    <w:rsid w:val="00DF6C24"/>
    <w:rsid w:val="00DF6FCE"/>
    <w:rsid w:val="00DF6FFF"/>
    <w:rsid w:val="00DF74F1"/>
    <w:rsid w:val="00DF776F"/>
    <w:rsid w:val="00DF7884"/>
    <w:rsid w:val="00E00C62"/>
    <w:rsid w:val="00E00EE8"/>
    <w:rsid w:val="00E01379"/>
    <w:rsid w:val="00E01564"/>
    <w:rsid w:val="00E017BA"/>
    <w:rsid w:val="00E0214C"/>
    <w:rsid w:val="00E021A2"/>
    <w:rsid w:val="00E02DE4"/>
    <w:rsid w:val="00E02E75"/>
    <w:rsid w:val="00E03116"/>
    <w:rsid w:val="00E031BA"/>
    <w:rsid w:val="00E03A33"/>
    <w:rsid w:val="00E03CAB"/>
    <w:rsid w:val="00E03D86"/>
    <w:rsid w:val="00E047F7"/>
    <w:rsid w:val="00E05557"/>
    <w:rsid w:val="00E05863"/>
    <w:rsid w:val="00E06D33"/>
    <w:rsid w:val="00E0739F"/>
    <w:rsid w:val="00E0743D"/>
    <w:rsid w:val="00E0796A"/>
    <w:rsid w:val="00E07BD2"/>
    <w:rsid w:val="00E1076E"/>
    <w:rsid w:val="00E10AC2"/>
    <w:rsid w:val="00E113A7"/>
    <w:rsid w:val="00E116D3"/>
    <w:rsid w:val="00E1286B"/>
    <w:rsid w:val="00E12F32"/>
    <w:rsid w:val="00E1384A"/>
    <w:rsid w:val="00E139F7"/>
    <w:rsid w:val="00E13BA2"/>
    <w:rsid w:val="00E145C0"/>
    <w:rsid w:val="00E146FB"/>
    <w:rsid w:val="00E14A8D"/>
    <w:rsid w:val="00E14C29"/>
    <w:rsid w:val="00E15008"/>
    <w:rsid w:val="00E1561C"/>
    <w:rsid w:val="00E157F8"/>
    <w:rsid w:val="00E15AEB"/>
    <w:rsid w:val="00E16FDD"/>
    <w:rsid w:val="00E17A3A"/>
    <w:rsid w:val="00E17D36"/>
    <w:rsid w:val="00E20593"/>
    <w:rsid w:val="00E21716"/>
    <w:rsid w:val="00E218E6"/>
    <w:rsid w:val="00E21908"/>
    <w:rsid w:val="00E21BCA"/>
    <w:rsid w:val="00E21DA5"/>
    <w:rsid w:val="00E22097"/>
    <w:rsid w:val="00E229DF"/>
    <w:rsid w:val="00E22FCF"/>
    <w:rsid w:val="00E23368"/>
    <w:rsid w:val="00E237C4"/>
    <w:rsid w:val="00E23BF4"/>
    <w:rsid w:val="00E244AA"/>
    <w:rsid w:val="00E24F06"/>
    <w:rsid w:val="00E2542E"/>
    <w:rsid w:val="00E25756"/>
    <w:rsid w:val="00E2589C"/>
    <w:rsid w:val="00E25BE5"/>
    <w:rsid w:val="00E25EBC"/>
    <w:rsid w:val="00E26EE3"/>
    <w:rsid w:val="00E26F84"/>
    <w:rsid w:val="00E27231"/>
    <w:rsid w:val="00E2756C"/>
    <w:rsid w:val="00E27C93"/>
    <w:rsid w:val="00E27FAB"/>
    <w:rsid w:val="00E3009B"/>
    <w:rsid w:val="00E30E71"/>
    <w:rsid w:val="00E30F60"/>
    <w:rsid w:val="00E3187F"/>
    <w:rsid w:val="00E31DCD"/>
    <w:rsid w:val="00E31F1F"/>
    <w:rsid w:val="00E322F6"/>
    <w:rsid w:val="00E32443"/>
    <w:rsid w:val="00E328F8"/>
    <w:rsid w:val="00E33AA9"/>
    <w:rsid w:val="00E3454D"/>
    <w:rsid w:val="00E3460E"/>
    <w:rsid w:val="00E3484A"/>
    <w:rsid w:val="00E34960"/>
    <w:rsid w:val="00E34E64"/>
    <w:rsid w:val="00E35012"/>
    <w:rsid w:val="00E35BE9"/>
    <w:rsid w:val="00E3635B"/>
    <w:rsid w:val="00E36879"/>
    <w:rsid w:val="00E36FE8"/>
    <w:rsid w:val="00E370A6"/>
    <w:rsid w:val="00E37A44"/>
    <w:rsid w:val="00E4079F"/>
    <w:rsid w:val="00E41285"/>
    <w:rsid w:val="00E41834"/>
    <w:rsid w:val="00E41F25"/>
    <w:rsid w:val="00E43307"/>
    <w:rsid w:val="00E43421"/>
    <w:rsid w:val="00E4365C"/>
    <w:rsid w:val="00E4390C"/>
    <w:rsid w:val="00E4454D"/>
    <w:rsid w:val="00E448B1"/>
    <w:rsid w:val="00E45C9F"/>
    <w:rsid w:val="00E478C3"/>
    <w:rsid w:val="00E50146"/>
    <w:rsid w:val="00E504A7"/>
    <w:rsid w:val="00E5126C"/>
    <w:rsid w:val="00E517B3"/>
    <w:rsid w:val="00E51BF4"/>
    <w:rsid w:val="00E51FD4"/>
    <w:rsid w:val="00E52378"/>
    <w:rsid w:val="00E5258A"/>
    <w:rsid w:val="00E52BE1"/>
    <w:rsid w:val="00E535D9"/>
    <w:rsid w:val="00E53824"/>
    <w:rsid w:val="00E53DA0"/>
    <w:rsid w:val="00E5467A"/>
    <w:rsid w:val="00E548E5"/>
    <w:rsid w:val="00E54B40"/>
    <w:rsid w:val="00E5564C"/>
    <w:rsid w:val="00E5575C"/>
    <w:rsid w:val="00E5593F"/>
    <w:rsid w:val="00E55F54"/>
    <w:rsid w:val="00E561A7"/>
    <w:rsid w:val="00E56452"/>
    <w:rsid w:val="00E56964"/>
    <w:rsid w:val="00E56F08"/>
    <w:rsid w:val="00E57667"/>
    <w:rsid w:val="00E60061"/>
    <w:rsid w:val="00E601ED"/>
    <w:rsid w:val="00E603CE"/>
    <w:rsid w:val="00E609D0"/>
    <w:rsid w:val="00E60C96"/>
    <w:rsid w:val="00E61395"/>
    <w:rsid w:val="00E61D4D"/>
    <w:rsid w:val="00E62401"/>
    <w:rsid w:val="00E6251B"/>
    <w:rsid w:val="00E628BD"/>
    <w:rsid w:val="00E62A9F"/>
    <w:rsid w:val="00E633AD"/>
    <w:rsid w:val="00E638A4"/>
    <w:rsid w:val="00E63907"/>
    <w:rsid w:val="00E63B61"/>
    <w:rsid w:val="00E63C0C"/>
    <w:rsid w:val="00E640C6"/>
    <w:rsid w:val="00E647A7"/>
    <w:rsid w:val="00E64CD0"/>
    <w:rsid w:val="00E657EF"/>
    <w:rsid w:val="00E65CC4"/>
    <w:rsid w:val="00E65FE2"/>
    <w:rsid w:val="00E6621E"/>
    <w:rsid w:val="00E66608"/>
    <w:rsid w:val="00E66848"/>
    <w:rsid w:val="00E701C1"/>
    <w:rsid w:val="00E707C8"/>
    <w:rsid w:val="00E70AE7"/>
    <w:rsid w:val="00E71C01"/>
    <w:rsid w:val="00E72566"/>
    <w:rsid w:val="00E72A07"/>
    <w:rsid w:val="00E72FDC"/>
    <w:rsid w:val="00E73115"/>
    <w:rsid w:val="00E73272"/>
    <w:rsid w:val="00E7376A"/>
    <w:rsid w:val="00E73BF8"/>
    <w:rsid w:val="00E74921"/>
    <w:rsid w:val="00E7558E"/>
    <w:rsid w:val="00E761F3"/>
    <w:rsid w:val="00E7696D"/>
    <w:rsid w:val="00E76B98"/>
    <w:rsid w:val="00E7727B"/>
    <w:rsid w:val="00E77322"/>
    <w:rsid w:val="00E7787E"/>
    <w:rsid w:val="00E77CD2"/>
    <w:rsid w:val="00E77E64"/>
    <w:rsid w:val="00E803F5"/>
    <w:rsid w:val="00E809B9"/>
    <w:rsid w:val="00E80A82"/>
    <w:rsid w:val="00E814BE"/>
    <w:rsid w:val="00E81929"/>
    <w:rsid w:val="00E825F0"/>
    <w:rsid w:val="00E83779"/>
    <w:rsid w:val="00E84FC9"/>
    <w:rsid w:val="00E855D2"/>
    <w:rsid w:val="00E855D8"/>
    <w:rsid w:val="00E86645"/>
    <w:rsid w:val="00E86A08"/>
    <w:rsid w:val="00E87168"/>
    <w:rsid w:val="00E874C4"/>
    <w:rsid w:val="00E87E0C"/>
    <w:rsid w:val="00E9010B"/>
    <w:rsid w:val="00E901F6"/>
    <w:rsid w:val="00E90907"/>
    <w:rsid w:val="00E90E17"/>
    <w:rsid w:val="00E91052"/>
    <w:rsid w:val="00E91290"/>
    <w:rsid w:val="00E917DE"/>
    <w:rsid w:val="00E91D50"/>
    <w:rsid w:val="00E9211B"/>
    <w:rsid w:val="00E92845"/>
    <w:rsid w:val="00E92914"/>
    <w:rsid w:val="00E92A56"/>
    <w:rsid w:val="00E930B4"/>
    <w:rsid w:val="00E938F6"/>
    <w:rsid w:val="00E9427A"/>
    <w:rsid w:val="00E946CE"/>
    <w:rsid w:val="00E946E4"/>
    <w:rsid w:val="00E94956"/>
    <w:rsid w:val="00E94DCA"/>
    <w:rsid w:val="00E95C9A"/>
    <w:rsid w:val="00E9649D"/>
    <w:rsid w:val="00E964FC"/>
    <w:rsid w:val="00E96CF8"/>
    <w:rsid w:val="00E97046"/>
    <w:rsid w:val="00E97985"/>
    <w:rsid w:val="00E979D4"/>
    <w:rsid w:val="00EA0002"/>
    <w:rsid w:val="00EA2181"/>
    <w:rsid w:val="00EA2593"/>
    <w:rsid w:val="00EA27B6"/>
    <w:rsid w:val="00EA313E"/>
    <w:rsid w:val="00EA34CA"/>
    <w:rsid w:val="00EA3694"/>
    <w:rsid w:val="00EA3B46"/>
    <w:rsid w:val="00EA3F86"/>
    <w:rsid w:val="00EA4788"/>
    <w:rsid w:val="00EA530E"/>
    <w:rsid w:val="00EA5C1C"/>
    <w:rsid w:val="00EA60A5"/>
    <w:rsid w:val="00EA624A"/>
    <w:rsid w:val="00EA6FF9"/>
    <w:rsid w:val="00EA7E20"/>
    <w:rsid w:val="00EB0BB5"/>
    <w:rsid w:val="00EB0ECF"/>
    <w:rsid w:val="00EB1994"/>
    <w:rsid w:val="00EB2A10"/>
    <w:rsid w:val="00EB2C79"/>
    <w:rsid w:val="00EB31BC"/>
    <w:rsid w:val="00EB330A"/>
    <w:rsid w:val="00EB35E7"/>
    <w:rsid w:val="00EB3EC5"/>
    <w:rsid w:val="00EB4002"/>
    <w:rsid w:val="00EB486D"/>
    <w:rsid w:val="00EB48BD"/>
    <w:rsid w:val="00EB4A9E"/>
    <w:rsid w:val="00EB507F"/>
    <w:rsid w:val="00EB56CF"/>
    <w:rsid w:val="00EB574B"/>
    <w:rsid w:val="00EB58A5"/>
    <w:rsid w:val="00EB6187"/>
    <w:rsid w:val="00EB61EB"/>
    <w:rsid w:val="00EB7285"/>
    <w:rsid w:val="00EB72F8"/>
    <w:rsid w:val="00EB77F6"/>
    <w:rsid w:val="00EB7AAE"/>
    <w:rsid w:val="00EC0D15"/>
    <w:rsid w:val="00EC1076"/>
    <w:rsid w:val="00EC1149"/>
    <w:rsid w:val="00EC1553"/>
    <w:rsid w:val="00EC15EC"/>
    <w:rsid w:val="00EC18F2"/>
    <w:rsid w:val="00EC2161"/>
    <w:rsid w:val="00EC2482"/>
    <w:rsid w:val="00EC253B"/>
    <w:rsid w:val="00EC26AC"/>
    <w:rsid w:val="00EC2702"/>
    <w:rsid w:val="00EC2796"/>
    <w:rsid w:val="00EC2827"/>
    <w:rsid w:val="00EC2E9B"/>
    <w:rsid w:val="00EC3B88"/>
    <w:rsid w:val="00EC430C"/>
    <w:rsid w:val="00EC47D3"/>
    <w:rsid w:val="00EC4F1C"/>
    <w:rsid w:val="00EC5058"/>
    <w:rsid w:val="00EC5349"/>
    <w:rsid w:val="00EC6378"/>
    <w:rsid w:val="00EC63AD"/>
    <w:rsid w:val="00EC6FA1"/>
    <w:rsid w:val="00EC705A"/>
    <w:rsid w:val="00EC71DC"/>
    <w:rsid w:val="00EC7B04"/>
    <w:rsid w:val="00EC7FAC"/>
    <w:rsid w:val="00ED04D8"/>
    <w:rsid w:val="00ED0998"/>
    <w:rsid w:val="00ED0EC8"/>
    <w:rsid w:val="00ED1449"/>
    <w:rsid w:val="00ED1643"/>
    <w:rsid w:val="00ED1BD0"/>
    <w:rsid w:val="00ED1EC6"/>
    <w:rsid w:val="00ED1F32"/>
    <w:rsid w:val="00ED446D"/>
    <w:rsid w:val="00ED4B90"/>
    <w:rsid w:val="00ED4B97"/>
    <w:rsid w:val="00ED5031"/>
    <w:rsid w:val="00ED735D"/>
    <w:rsid w:val="00ED7683"/>
    <w:rsid w:val="00ED7935"/>
    <w:rsid w:val="00ED7AAE"/>
    <w:rsid w:val="00ED7F0B"/>
    <w:rsid w:val="00EE03A3"/>
    <w:rsid w:val="00EE11DB"/>
    <w:rsid w:val="00EE1462"/>
    <w:rsid w:val="00EE155C"/>
    <w:rsid w:val="00EE1DB2"/>
    <w:rsid w:val="00EE1E8F"/>
    <w:rsid w:val="00EE2DDE"/>
    <w:rsid w:val="00EE2FA7"/>
    <w:rsid w:val="00EE4339"/>
    <w:rsid w:val="00EE48AC"/>
    <w:rsid w:val="00EE4B7F"/>
    <w:rsid w:val="00EE6028"/>
    <w:rsid w:val="00EE6FD3"/>
    <w:rsid w:val="00EE7400"/>
    <w:rsid w:val="00EE775F"/>
    <w:rsid w:val="00EF0520"/>
    <w:rsid w:val="00EF07B4"/>
    <w:rsid w:val="00EF0BC7"/>
    <w:rsid w:val="00EF1631"/>
    <w:rsid w:val="00EF1AB1"/>
    <w:rsid w:val="00EF1AD7"/>
    <w:rsid w:val="00EF1BEF"/>
    <w:rsid w:val="00EF1C43"/>
    <w:rsid w:val="00EF2485"/>
    <w:rsid w:val="00EF249B"/>
    <w:rsid w:val="00EF2510"/>
    <w:rsid w:val="00EF29D2"/>
    <w:rsid w:val="00EF3EBD"/>
    <w:rsid w:val="00EF4271"/>
    <w:rsid w:val="00EF48C1"/>
    <w:rsid w:val="00EF4C92"/>
    <w:rsid w:val="00EF5BA9"/>
    <w:rsid w:val="00EF5C4C"/>
    <w:rsid w:val="00EF5EB6"/>
    <w:rsid w:val="00EF61AB"/>
    <w:rsid w:val="00EF63AB"/>
    <w:rsid w:val="00EF67CF"/>
    <w:rsid w:val="00EF68AA"/>
    <w:rsid w:val="00EF78A1"/>
    <w:rsid w:val="00EF78AF"/>
    <w:rsid w:val="00EF7D4B"/>
    <w:rsid w:val="00EF7E0C"/>
    <w:rsid w:val="00F0112B"/>
    <w:rsid w:val="00F0321F"/>
    <w:rsid w:val="00F036BC"/>
    <w:rsid w:val="00F036EE"/>
    <w:rsid w:val="00F06AA2"/>
    <w:rsid w:val="00F0788A"/>
    <w:rsid w:val="00F10047"/>
    <w:rsid w:val="00F11279"/>
    <w:rsid w:val="00F11380"/>
    <w:rsid w:val="00F116BA"/>
    <w:rsid w:val="00F11877"/>
    <w:rsid w:val="00F11C2F"/>
    <w:rsid w:val="00F1204D"/>
    <w:rsid w:val="00F121A8"/>
    <w:rsid w:val="00F12C75"/>
    <w:rsid w:val="00F12D91"/>
    <w:rsid w:val="00F13022"/>
    <w:rsid w:val="00F1315F"/>
    <w:rsid w:val="00F145AF"/>
    <w:rsid w:val="00F14671"/>
    <w:rsid w:val="00F15A9C"/>
    <w:rsid w:val="00F15CF7"/>
    <w:rsid w:val="00F16991"/>
    <w:rsid w:val="00F16AE8"/>
    <w:rsid w:val="00F173F9"/>
    <w:rsid w:val="00F17B3F"/>
    <w:rsid w:val="00F203B3"/>
    <w:rsid w:val="00F20783"/>
    <w:rsid w:val="00F20872"/>
    <w:rsid w:val="00F20917"/>
    <w:rsid w:val="00F20EB1"/>
    <w:rsid w:val="00F210BD"/>
    <w:rsid w:val="00F22B23"/>
    <w:rsid w:val="00F22F1F"/>
    <w:rsid w:val="00F22FA9"/>
    <w:rsid w:val="00F233E0"/>
    <w:rsid w:val="00F236CA"/>
    <w:rsid w:val="00F23CE3"/>
    <w:rsid w:val="00F23F66"/>
    <w:rsid w:val="00F24237"/>
    <w:rsid w:val="00F24359"/>
    <w:rsid w:val="00F24673"/>
    <w:rsid w:val="00F248F5"/>
    <w:rsid w:val="00F24ECF"/>
    <w:rsid w:val="00F254CA"/>
    <w:rsid w:val="00F275E8"/>
    <w:rsid w:val="00F27AB6"/>
    <w:rsid w:val="00F30242"/>
    <w:rsid w:val="00F3055C"/>
    <w:rsid w:val="00F30906"/>
    <w:rsid w:val="00F30C88"/>
    <w:rsid w:val="00F318E2"/>
    <w:rsid w:val="00F3234F"/>
    <w:rsid w:val="00F33373"/>
    <w:rsid w:val="00F33DE2"/>
    <w:rsid w:val="00F347D9"/>
    <w:rsid w:val="00F35217"/>
    <w:rsid w:val="00F35218"/>
    <w:rsid w:val="00F35D44"/>
    <w:rsid w:val="00F36203"/>
    <w:rsid w:val="00F36578"/>
    <w:rsid w:val="00F36662"/>
    <w:rsid w:val="00F36F52"/>
    <w:rsid w:val="00F37262"/>
    <w:rsid w:val="00F3763E"/>
    <w:rsid w:val="00F379D3"/>
    <w:rsid w:val="00F40752"/>
    <w:rsid w:val="00F40972"/>
    <w:rsid w:val="00F40A6D"/>
    <w:rsid w:val="00F40DE8"/>
    <w:rsid w:val="00F4105F"/>
    <w:rsid w:val="00F41914"/>
    <w:rsid w:val="00F419A5"/>
    <w:rsid w:val="00F419AA"/>
    <w:rsid w:val="00F422F8"/>
    <w:rsid w:val="00F42484"/>
    <w:rsid w:val="00F429ED"/>
    <w:rsid w:val="00F42D31"/>
    <w:rsid w:val="00F44062"/>
    <w:rsid w:val="00F441ED"/>
    <w:rsid w:val="00F44203"/>
    <w:rsid w:val="00F443A5"/>
    <w:rsid w:val="00F447F6"/>
    <w:rsid w:val="00F45FE2"/>
    <w:rsid w:val="00F46517"/>
    <w:rsid w:val="00F4669A"/>
    <w:rsid w:val="00F468AD"/>
    <w:rsid w:val="00F46900"/>
    <w:rsid w:val="00F46E98"/>
    <w:rsid w:val="00F4724A"/>
    <w:rsid w:val="00F472E5"/>
    <w:rsid w:val="00F4766C"/>
    <w:rsid w:val="00F47FA4"/>
    <w:rsid w:val="00F50903"/>
    <w:rsid w:val="00F50FA7"/>
    <w:rsid w:val="00F515D2"/>
    <w:rsid w:val="00F5269E"/>
    <w:rsid w:val="00F52B9E"/>
    <w:rsid w:val="00F52F20"/>
    <w:rsid w:val="00F53274"/>
    <w:rsid w:val="00F54BF2"/>
    <w:rsid w:val="00F54E78"/>
    <w:rsid w:val="00F55CAC"/>
    <w:rsid w:val="00F56DEB"/>
    <w:rsid w:val="00F56E81"/>
    <w:rsid w:val="00F57237"/>
    <w:rsid w:val="00F60078"/>
    <w:rsid w:val="00F600A3"/>
    <w:rsid w:val="00F6017F"/>
    <w:rsid w:val="00F60C15"/>
    <w:rsid w:val="00F61842"/>
    <w:rsid w:val="00F61E1F"/>
    <w:rsid w:val="00F62143"/>
    <w:rsid w:val="00F62614"/>
    <w:rsid w:val="00F626C6"/>
    <w:rsid w:val="00F6288A"/>
    <w:rsid w:val="00F62D58"/>
    <w:rsid w:val="00F63A61"/>
    <w:rsid w:val="00F63D3A"/>
    <w:rsid w:val="00F64195"/>
    <w:rsid w:val="00F64574"/>
    <w:rsid w:val="00F64DA3"/>
    <w:rsid w:val="00F64F26"/>
    <w:rsid w:val="00F6560C"/>
    <w:rsid w:val="00F65712"/>
    <w:rsid w:val="00F65B56"/>
    <w:rsid w:val="00F65E4A"/>
    <w:rsid w:val="00F66182"/>
    <w:rsid w:val="00F6747A"/>
    <w:rsid w:val="00F67B0E"/>
    <w:rsid w:val="00F700A9"/>
    <w:rsid w:val="00F704F5"/>
    <w:rsid w:val="00F7056A"/>
    <w:rsid w:val="00F71A66"/>
    <w:rsid w:val="00F71DC7"/>
    <w:rsid w:val="00F723D4"/>
    <w:rsid w:val="00F72950"/>
    <w:rsid w:val="00F73D5B"/>
    <w:rsid w:val="00F73E5C"/>
    <w:rsid w:val="00F743BD"/>
    <w:rsid w:val="00F74537"/>
    <w:rsid w:val="00F74866"/>
    <w:rsid w:val="00F74CD6"/>
    <w:rsid w:val="00F75A95"/>
    <w:rsid w:val="00F75C33"/>
    <w:rsid w:val="00F76162"/>
    <w:rsid w:val="00F77228"/>
    <w:rsid w:val="00F803D8"/>
    <w:rsid w:val="00F8083B"/>
    <w:rsid w:val="00F80930"/>
    <w:rsid w:val="00F81682"/>
    <w:rsid w:val="00F82434"/>
    <w:rsid w:val="00F839FD"/>
    <w:rsid w:val="00F83D36"/>
    <w:rsid w:val="00F83E23"/>
    <w:rsid w:val="00F83F66"/>
    <w:rsid w:val="00F8446F"/>
    <w:rsid w:val="00F84673"/>
    <w:rsid w:val="00F84839"/>
    <w:rsid w:val="00F8489A"/>
    <w:rsid w:val="00F848BB"/>
    <w:rsid w:val="00F84D63"/>
    <w:rsid w:val="00F85144"/>
    <w:rsid w:val="00F851E7"/>
    <w:rsid w:val="00F8586F"/>
    <w:rsid w:val="00F85990"/>
    <w:rsid w:val="00F85AEB"/>
    <w:rsid w:val="00F8722D"/>
    <w:rsid w:val="00F87522"/>
    <w:rsid w:val="00F87D2A"/>
    <w:rsid w:val="00F900F6"/>
    <w:rsid w:val="00F9038F"/>
    <w:rsid w:val="00F90593"/>
    <w:rsid w:val="00F910C9"/>
    <w:rsid w:val="00F917BC"/>
    <w:rsid w:val="00F917CE"/>
    <w:rsid w:val="00F918C5"/>
    <w:rsid w:val="00F91A4A"/>
    <w:rsid w:val="00F91DDB"/>
    <w:rsid w:val="00F91E2D"/>
    <w:rsid w:val="00F92143"/>
    <w:rsid w:val="00F92295"/>
    <w:rsid w:val="00F9252D"/>
    <w:rsid w:val="00F92A6D"/>
    <w:rsid w:val="00F9329C"/>
    <w:rsid w:val="00F93490"/>
    <w:rsid w:val="00F93876"/>
    <w:rsid w:val="00F938F0"/>
    <w:rsid w:val="00F93D17"/>
    <w:rsid w:val="00F94389"/>
    <w:rsid w:val="00F9559E"/>
    <w:rsid w:val="00F95B24"/>
    <w:rsid w:val="00F966BF"/>
    <w:rsid w:val="00F96BEC"/>
    <w:rsid w:val="00F97174"/>
    <w:rsid w:val="00F97698"/>
    <w:rsid w:val="00F97A75"/>
    <w:rsid w:val="00F97B8F"/>
    <w:rsid w:val="00FA0F4B"/>
    <w:rsid w:val="00FA133D"/>
    <w:rsid w:val="00FA142E"/>
    <w:rsid w:val="00FA1570"/>
    <w:rsid w:val="00FA1DB2"/>
    <w:rsid w:val="00FA26DB"/>
    <w:rsid w:val="00FA2CF6"/>
    <w:rsid w:val="00FA37B1"/>
    <w:rsid w:val="00FA3EF2"/>
    <w:rsid w:val="00FA4B79"/>
    <w:rsid w:val="00FA4CCF"/>
    <w:rsid w:val="00FA4F3A"/>
    <w:rsid w:val="00FA5854"/>
    <w:rsid w:val="00FA6287"/>
    <w:rsid w:val="00FA6F8B"/>
    <w:rsid w:val="00FA7648"/>
    <w:rsid w:val="00FA77D4"/>
    <w:rsid w:val="00FA7B21"/>
    <w:rsid w:val="00FA7DC7"/>
    <w:rsid w:val="00FA7DD6"/>
    <w:rsid w:val="00FA7E5D"/>
    <w:rsid w:val="00FB021D"/>
    <w:rsid w:val="00FB0360"/>
    <w:rsid w:val="00FB0898"/>
    <w:rsid w:val="00FB0BA1"/>
    <w:rsid w:val="00FB0D15"/>
    <w:rsid w:val="00FB122B"/>
    <w:rsid w:val="00FB16F4"/>
    <w:rsid w:val="00FB1A68"/>
    <w:rsid w:val="00FB1B3C"/>
    <w:rsid w:val="00FB243E"/>
    <w:rsid w:val="00FB369E"/>
    <w:rsid w:val="00FB3DA5"/>
    <w:rsid w:val="00FB5587"/>
    <w:rsid w:val="00FB5DFF"/>
    <w:rsid w:val="00FB6294"/>
    <w:rsid w:val="00FB6E7E"/>
    <w:rsid w:val="00FB6FBF"/>
    <w:rsid w:val="00FB7108"/>
    <w:rsid w:val="00FB72AC"/>
    <w:rsid w:val="00FC0250"/>
    <w:rsid w:val="00FC14B2"/>
    <w:rsid w:val="00FC1D3F"/>
    <w:rsid w:val="00FC1E3B"/>
    <w:rsid w:val="00FC1E45"/>
    <w:rsid w:val="00FC201A"/>
    <w:rsid w:val="00FC22BB"/>
    <w:rsid w:val="00FC29C8"/>
    <w:rsid w:val="00FC3A55"/>
    <w:rsid w:val="00FC4165"/>
    <w:rsid w:val="00FC4245"/>
    <w:rsid w:val="00FC5968"/>
    <w:rsid w:val="00FC61D1"/>
    <w:rsid w:val="00FC7087"/>
    <w:rsid w:val="00FC713F"/>
    <w:rsid w:val="00FD135E"/>
    <w:rsid w:val="00FD187A"/>
    <w:rsid w:val="00FD33E7"/>
    <w:rsid w:val="00FD3493"/>
    <w:rsid w:val="00FD35F0"/>
    <w:rsid w:val="00FD3644"/>
    <w:rsid w:val="00FD457B"/>
    <w:rsid w:val="00FD46D3"/>
    <w:rsid w:val="00FD4720"/>
    <w:rsid w:val="00FD494F"/>
    <w:rsid w:val="00FD64DC"/>
    <w:rsid w:val="00FD77A2"/>
    <w:rsid w:val="00FD784A"/>
    <w:rsid w:val="00FD7D67"/>
    <w:rsid w:val="00FD7F93"/>
    <w:rsid w:val="00FE04B1"/>
    <w:rsid w:val="00FE096D"/>
    <w:rsid w:val="00FE108F"/>
    <w:rsid w:val="00FE12D8"/>
    <w:rsid w:val="00FE196F"/>
    <w:rsid w:val="00FE1FBF"/>
    <w:rsid w:val="00FE3330"/>
    <w:rsid w:val="00FE385C"/>
    <w:rsid w:val="00FE3AC7"/>
    <w:rsid w:val="00FE3EA5"/>
    <w:rsid w:val="00FE41C7"/>
    <w:rsid w:val="00FE4540"/>
    <w:rsid w:val="00FE45B2"/>
    <w:rsid w:val="00FE4F8B"/>
    <w:rsid w:val="00FE50E5"/>
    <w:rsid w:val="00FE564A"/>
    <w:rsid w:val="00FE65BF"/>
    <w:rsid w:val="00FE789A"/>
    <w:rsid w:val="00FE7ED4"/>
    <w:rsid w:val="00FF0554"/>
    <w:rsid w:val="00FF0C83"/>
    <w:rsid w:val="00FF1409"/>
    <w:rsid w:val="00FF15D4"/>
    <w:rsid w:val="00FF29DD"/>
    <w:rsid w:val="00FF30E7"/>
    <w:rsid w:val="00FF39FA"/>
    <w:rsid w:val="00FF3AA9"/>
    <w:rsid w:val="00FF3F89"/>
    <w:rsid w:val="00FF46F6"/>
    <w:rsid w:val="00FF50B1"/>
    <w:rsid w:val="00FF520D"/>
    <w:rsid w:val="00FF52FC"/>
    <w:rsid w:val="00FF563D"/>
    <w:rsid w:val="00FF566C"/>
    <w:rsid w:val="00FF56A1"/>
    <w:rsid w:val="00FF5D5B"/>
    <w:rsid w:val="00FF60F8"/>
    <w:rsid w:val="00FF640E"/>
    <w:rsid w:val="00FF66C4"/>
    <w:rsid w:val="00FF71C7"/>
    <w:rsid w:val="00FF7B0A"/>
    <w:rsid w:val="03976817"/>
    <w:rsid w:val="05764554"/>
    <w:rsid w:val="058F6990"/>
    <w:rsid w:val="05CB36BA"/>
    <w:rsid w:val="075A686A"/>
    <w:rsid w:val="0A2F4872"/>
    <w:rsid w:val="0BBE2BB7"/>
    <w:rsid w:val="0D3D796B"/>
    <w:rsid w:val="114B67E9"/>
    <w:rsid w:val="11B162AF"/>
    <w:rsid w:val="16004728"/>
    <w:rsid w:val="18DE40D2"/>
    <w:rsid w:val="19C808E7"/>
    <w:rsid w:val="1BDA3C5B"/>
    <w:rsid w:val="1DE16581"/>
    <w:rsid w:val="1F996D35"/>
    <w:rsid w:val="242D47C5"/>
    <w:rsid w:val="26B054EB"/>
    <w:rsid w:val="27AE4430"/>
    <w:rsid w:val="28121611"/>
    <w:rsid w:val="28BC18F1"/>
    <w:rsid w:val="2B6436F0"/>
    <w:rsid w:val="2BBF0DBA"/>
    <w:rsid w:val="2DAC5ACD"/>
    <w:rsid w:val="337A3A8C"/>
    <w:rsid w:val="33C325C9"/>
    <w:rsid w:val="341C41E4"/>
    <w:rsid w:val="35495C53"/>
    <w:rsid w:val="36401430"/>
    <w:rsid w:val="37B7058A"/>
    <w:rsid w:val="3AAE1008"/>
    <w:rsid w:val="3AFE2027"/>
    <w:rsid w:val="3E900724"/>
    <w:rsid w:val="40236DCE"/>
    <w:rsid w:val="41B315C9"/>
    <w:rsid w:val="47DE6267"/>
    <w:rsid w:val="48081719"/>
    <w:rsid w:val="48FC4ED7"/>
    <w:rsid w:val="49965FC8"/>
    <w:rsid w:val="4BFC0A44"/>
    <w:rsid w:val="4CBF55CC"/>
    <w:rsid w:val="52BE1C46"/>
    <w:rsid w:val="52C042E6"/>
    <w:rsid w:val="58103CDD"/>
    <w:rsid w:val="58236A82"/>
    <w:rsid w:val="592A1599"/>
    <w:rsid w:val="5A7F6186"/>
    <w:rsid w:val="5B1454F0"/>
    <w:rsid w:val="5DFF6566"/>
    <w:rsid w:val="5F0B27B6"/>
    <w:rsid w:val="67FE32C0"/>
    <w:rsid w:val="6A7E1AA8"/>
    <w:rsid w:val="6C270E41"/>
    <w:rsid w:val="6EAB2B83"/>
    <w:rsid w:val="72AB0341"/>
    <w:rsid w:val="76982F72"/>
    <w:rsid w:val="770F2826"/>
    <w:rsid w:val="77BB28A7"/>
    <w:rsid w:val="791B0B4B"/>
    <w:rsid w:val="7AF16E13"/>
    <w:rsid w:val="7D4031A9"/>
    <w:rsid w:val="7E153599"/>
    <w:rsid w:val="7F5F190B"/>
    <w:rsid w:val="7FC9781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99" w:semiHidden="0" w:name="heading 4"/>
    <w:lsdException w:qFormat="1" w:uiPriority="99" w:semiHidden="0" w:name="heading 5"/>
    <w:lsdException w:qFormat="1" w:uiPriority="99" w:semiHidden="0" w:name="heading 6"/>
    <w:lsdException w:qFormat="1" w:uiPriority="99" w:semiHidden="0" w:name="heading 7"/>
    <w:lsdException w:qFormat="1" w:uiPriority="99" w:semiHidden="0" w:name="heading 8"/>
    <w:lsdException w:qFormat="1"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iPriority="0" w:name="Body Text First Indent 2"/>
    <w:lsdException w:uiPriority="0" w:name="Note Heading"/>
    <w:lsdException w:qFormat="1"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6"/>
    <w:qFormat/>
    <w:uiPriority w:val="0"/>
    <w:pPr>
      <w:keepNext/>
      <w:keepLines/>
      <w:numPr>
        <w:ilvl w:val="0"/>
        <w:numId w:val="1"/>
      </w:numPr>
      <w:spacing w:before="340" w:after="330" w:line="578" w:lineRule="auto"/>
      <w:outlineLvl w:val="0"/>
    </w:pPr>
    <w:rPr>
      <w:b/>
      <w:bCs/>
      <w:kern w:val="44"/>
      <w:sz w:val="44"/>
      <w:szCs w:val="44"/>
    </w:rPr>
  </w:style>
  <w:style w:type="paragraph" w:styleId="4">
    <w:name w:val="heading 2"/>
    <w:basedOn w:val="1"/>
    <w:next w:val="1"/>
    <w:link w:val="99"/>
    <w:qFormat/>
    <w:uiPriority w:val="0"/>
    <w:pPr>
      <w:keepNext/>
      <w:jc w:val="center"/>
      <w:outlineLvl w:val="1"/>
    </w:pPr>
    <w:rPr>
      <w:rFonts w:ascii="楷体_GB2312" w:eastAsia="楷体_GB2312"/>
      <w:sz w:val="32"/>
    </w:rPr>
  </w:style>
  <w:style w:type="paragraph" w:styleId="5">
    <w:name w:val="heading 3"/>
    <w:basedOn w:val="1"/>
    <w:next w:val="1"/>
    <w:link w:val="59"/>
    <w:qFormat/>
    <w:uiPriority w:val="99"/>
    <w:pPr>
      <w:keepNext/>
      <w:jc w:val="center"/>
      <w:outlineLvl w:val="2"/>
    </w:pPr>
    <w:rPr>
      <w:b/>
    </w:rPr>
  </w:style>
  <w:style w:type="paragraph" w:styleId="6">
    <w:name w:val="heading 4"/>
    <w:basedOn w:val="1"/>
    <w:next w:val="1"/>
    <w:link w:val="71"/>
    <w:unhideWhenUsed/>
    <w:qFormat/>
    <w:uiPriority w:val="99"/>
    <w:pPr>
      <w:keepNext/>
      <w:keepLines/>
      <w:spacing w:before="280" w:after="290" w:line="374" w:lineRule="auto"/>
      <w:outlineLvl w:val="3"/>
    </w:pPr>
    <w:rPr>
      <w:rFonts w:ascii="Arial" w:hAnsi="Arial" w:eastAsia="黑体"/>
      <w:b/>
      <w:bCs/>
      <w:sz w:val="28"/>
      <w:szCs w:val="28"/>
      <w:lang w:val="zh-CN"/>
    </w:rPr>
  </w:style>
  <w:style w:type="paragraph" w:styleId="7">
    <w:name w:val="heading 5"/>
    <w:basedOn w:val="1"/>
    <w:next w:val="1"/>
    <w:link w:val="72"/>
    <w:unhideWhenUsed/>
    <w:qFormat/>
    <w:uiPriority w:val="99"/>
    <w:pPr>
      <w:keepNext/>
      <w:keepLines/>
      <w:spacing w:before="280" w:after="290" w:line="374" w:lineRule="auto"/>
      <w:outlineLvl w:val="4"/>
    </w:pPr>
    <w:rPr>
      <w:rFonts w:ascii="Calibri" w:hAnsi="Calibri"/>
      <w:b/>
      <w:bCs/>
      <w:sz w:val="28"/>
      <w:szCs w:val="28"/>
      <w:lang w:val="zh-CN"/>
    </w:rPr>
  </w:style>
  <w:style w:type="paragraph" w:styleId="8">
    <w:name w:val="heading 6"/>
    <w:basedOn w:val="1"/>
    <w:next w:val="1"/>
    <w:link w:val="73"/>
    <w:unhideWhenUsed/>
    <w:qFormat/>
    <w:uiPriority w:val="99"/>
    <w:pPr>
      <w:keepNext/>
      <w:keepLines/>
      <w:spacing w:before="240" w:after="64" w:line="319" w:lineRule="auto"/>
      <w:outlineLvl w:val="5"/>
    </w:pPr>
    <w:rPr>
      <w:rFonts w:ascii="Arial" w:hAnsi="Arial" w:eastAsia="黑体"/>
      <w:b/>
      <w:bCs/>
      <w:sz w:val="24"/>
      <w:szCs w:val="24"/>
      <w:lang w:val="zh-CN"/>
    </w:rPr>
  </w:style>
  <w:style w:type="paragraph" w:styleId="9">
    <w:name w:val="heading 7"/>
    <w:basedOn w:val="1"/>
    <w:next w:val="1"/>
    <w:link w:val="74"/>
    <w:unhideWhenUsed/>
    <w:qFormat/>
    <w:uiPriority w:val="99"/>
    <w:pPr>
      <w:keepNext/>
      <w:keepLines/>
      <w:spacing w:before="240" w:after="64" w:line="319" w:lineRule="auto"/>
      <w:outlineLvl w:val="6"/>
    </w:pPr>
    <w:rPr>
      <w:rFonts w:ascii="Calibri" w:hAnsi="Calibri"/>
      <w:b/>
      <w:bCs/>
      <w:sz w:val="24"/>
      <w:szCs w:val="24"/>
      <w:lang w:val="zh-CN"/>
    </w:rPr>
  </w:style>
  <w:style w:type="paragraph" w:styleId="10">
    <w:name w:val="heading 8"/>
    <w:basedOn w:val="1"/>
    <w:next w:val="1"/>
    <w:link w:val="75"/>
    <w:unhideWhenUsed/>
    <w:qFormat/>
    <w:uiPriority w:val="99"/>
    <w:pPr>
      <w:keepNext/>
      <w:keepLines/>
      <w:spacing w:before="240" w:after="64" w:line="319" w:lineRule="auto"/>
      <w:outlineLvl w:val="7"/>
    </w:pPr>
    <w:rPr>
      <w:rFonts w:ascii="Arial" w:hAnsi="Arial" w:eastAsia="黑体"/>
      <w:sz w:val="24"/>
      <w:szCs w:val="24"/>
      <w:lang w:val="zh-CN"/>
    </w:rPr>
  </w:style>
  <w:style w:type="paragraph" w:styleId="11">
    <w:name w:val="heading 9"/>
    <w:basedOn w:val="1"/>
    <w:next w:val="1"/>
    <w:link w:val="76"/>
    <w:unhideWhenUsed/>
    <w:qFormat/>
    <w:uiPriority w:val="99"/>
    <w:pPr>
      <w:keepNext/>
      <w:keepLines/>
      <w:spacing w:before="240" w:after="64" w:line="319" w:lineRule="auto"/>
      <w:outlineLvl w:val="8"/>
    </w:pPr>
    <w:rPr>
      <w:rFonts w:ascii="Arial" w:hAnsi="Arial" w:eastAsia="黑体"/>
      <w:szCs w:val="21"/>
      <w:lang w:val="zh-CN"/>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0"/>
    <w:qFormat/>
    <w:uiPriority w:val="99"/>
    <w:pPr>
      <w:spacing w:after="120"/>
    </w:p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112"/>
    <w:qFormat/>
    <w:uiPriority w:val="0"/>
    <w:pPr>
      <w:shd w:val="clear" w:color="auto" w:fill="000080"/>
    </w:pPr>
  </w:style>
  <w:style w:type="paragraph" w:styleId="14">
    <w:name w:val="annotation text"/>
    <w:basedOn w:val="1"/>
    <w:link w:val="51"/>
    <w:qFormat/>
    <w:uiPriority w:val="0"/>
    <w:pPr>
      <w:jc w:val="left"/>
    </w:pPr>
  </w:style>
  <w:style w:type="paragraph" w:styleId="15">
    <w:name w:val="Body Text 3"/>
    <w:basedOn w:val="1"/>
    <w:link w:val="57"/>
    <w:qFormat/>
    <w:uiPriority w:val="0"/>
    <w:pPr>
      <w:spacing w:after="120"/>
    </w:pPr>
    <w:rPr>
      <w:sz w:val="16"/>
      <w:szCs w:val="16"/>
    </w:rPr>
  </w:style>
  <w:style w:type="paragraph" w:styleId="16">
    <w:name w:val="Body Text Indent"/>
    <w:basedOn w:val="1"/>
    <w:link w:val="83"/>
    <w:qFormat/>
    <w:uiPriority w:val="0"/>
    <w:pPr>
      <w:ind w:left="1331" w:hanging="210"/>
    </w:pPr>
    <w:rPr>
      <w:rFonts w:eastAsia="华文楷体"/>
    </w:rPr>
  </w:style>
  <w:style w:type="paragraph" w:styleId="17">
    <w:name w:val="List 2"/>
    <w:basedOn w:val="1"/>
    <w:unhideWhenUsed/>
    <w:qFormat/>
    <w:uiPriority w:val="0"/>
    <w:pPr>
      <w:ind w:left="100" w:leftChars="200" w:hanging="200" w:hangingChars="200"/>
    </w:pPr>
    <w:rPr>
      <w:szCs w:val="24"/>
    </w:rPr>
  </w:style>
  <w:style w:type="paragraph" w:styleId="18">
    <w:name w:val="Block Text"/>
    <w:basedOn w:val="1"/>
    <w:qFormat/>
    <w:uiPriority w:val="0"/>
    <w:pPr>
      <w:adjustRightInd w:val="0"/>
      <w:spacing w:before="10" w:line="360" w:lineRule="auto"/>
      <w:ind w:left="420" w:right="-20"/>
      <w:jc w:val="left"/>
    </w:pPr>
    <w:rPr>
      <w:rFonts w:ascii="宋体" w:hAnsi="宋体"/>
      <w:sz w:val="24"/>
    </w:r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qFormat/>
    <w:uiPriority w:val="39"/>
    <w:pPr>
      <w:ind w:left="840" w:leftChars="400"/>
    </w:pPr>
  </w:style>
  <w:style w:type="paragraph" w:styleId="21">
    <w:name w:val="Plain Text"/>
    <w:basedOn w:val="1"/>
    <w:qFormat/>
    <w:uiPriority w:val="0"/>
    <w:pPr>
      <w:widowControl/>
      <w:overflowPunct w:val="0"/>
      <w:autoSpaceDE w:val="0"/>
      <w:autoSpaceDN w:val="0"/>
      <w:adjustRightInd w:val="0"/>
      <w:jc w:val="left"/>
      <w:textAlignment w:val="baseline"/>
    </w:pPr>
    <w:rPr>
      <w:rFonts w:ascii="宋体" w:hAnsi="Courier New"/>
      <w:kern w:val="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qFormat/>
    <w:uiPriority w:val="0"/>
    <w:pPr>
      <w:ind w:left="100" w:leftChars="2500"/>
    </w:pPr>
  </w:style>
  <w:style w:type="paragraph" w:styleId="24">
    <w:name w:val="Body Text Indent 2"/>
    <w:basedOn w:val="1"/>
    <w:qFormat/>
    <w:uiPriority w:val="0"/>
    <w:pPr>
      <w:spacing w:line="360" w:lineRule="auto"/>
      <w:ind w:left="920" w:leftChars="438"/>
    </w:pPr>
    <w:rPr>
      <w:rFonts w:ascii="宋体" w:hAnsi="宋体"/>
      <w:w w:val="104"/>
      <w:kern w:val="0"/>
      <w:sz w:val="24"/>
    </w:rPr>
  </w:style>
  <w:style w:type="paragraph" w:styleId="25">
    <w:name w:val="Balloon Text"/>
    <w:basedOn w:val="1"/>
    <w:link w:val="53"/>
    <w:qFormat/>
    <w:uiPriority w:val="0"/>
    <w:rPr>
      <w:sz w:val="18"/>
      <w:szCs w:val="18"/>
    </w:rPr>
  </w:style>
  <w:style w:type="paragraph" w:styleId="26">
    <w:name w:val="footer"/>
    <w:basedOn w:val="1"/>
    <w:link w:val="66"/>
    <w:qFormat/>
    <w:uiPriority w:val="99"/>
    <w:pPr>
      <w:tabs>
        <w:tab w:val="center" w:pos="4153"/>
        <w:tab w:val="right" w:pos="8306"/>
      </w:tabs>
      <w:snapToGrid w:val="0"/>
      <w:jc w:val="left"/>
    </w:pPr>
    <w:rPr>
      <w:sz w:val="18"/>
    </w:rPr>
  </w:style>
  <w:style w:type="paragraph" w:styleId="27">
    <w:name w:val="header"/>
    <w:basedOn w:val="1"/>
    <w:link w:val="64"/>
    <w:qFormat/>
    <w:uiPriority w:val="99"/>
    <w:pPr>
      <w:pBdr>
        <w:bottom w:val="single" w:color="auto" w:sz="6" w:space="1"/>
      </w:pBdr>
      <w:tabs>
        <w:tab w:val="center" w:pos="4153"/>
        <w:tab w:val="right" w:pos="8306"/>
      </w:tabs>
      <w:snapToGrid w:val="0"/>
      <w:jc w:val="center"/>
    </w:pPr>
    <w:rPr>
      <w:sz w:val="18"/>
    </w:rPr>
  </w:style>
  <w:style w:type="paragraph" w:styleId="28">
    <w:name w:val="toc 1"/>
    <w:basedOn w:val="1"/>
    <w:next w:val="1"/>
    <w:qFormat/>
    <w:uiPriority w:val="39"/>
    <w:pPr>
      <w:tabs>
        <w:tab w:val="left" w:pos="840"/>
        <w:tab w:val="right" w:leader="dot" w:pos="9169"/>
      </w:tabs>
      <w:spacing w:line="360" w:lineRule="auto"/>
    </w:pPr>
    <w:rPr>
      <w:b/>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toc 6"/>
    <w:basedOn w:val="1"/>
    <w:next w:val="1"/>
    <w:unhideWhenUsed/>
    <w:qFormat/>
    <w:uiPriority w:val="39"/>
    <w:pPr>
      <w:ind w:left="2100" w:leftChars="1000"/>
    </w:pPr>
    <w:rPr>
      <w:rFonts w:ascii="Calibri" w:hAnsi="Calibri"/>
      <w:szCs w:val="22"/>
    </w:rPr>
  </w:style>
  <w:style w:type="paragraph" w:styleId="31">
    <w:name w:val="Body Text Indent 3"/>
    <w:basedOn w:val="1"/>
    <w:qFormat/>
    <w:uiPriority w:val="0"/>
    <w:pPr>
      <w:spacing w:after="120"/>
      <w:ind w:left="420" w:leftChars="200"/>
    </w:pPr>
    <w:rPr>
      <w:sz w:val="16"/>
    </w:rPr>
  </w:style>
  <w:style w:type="paragraph" w:styleId="32">
    <w:name w:val="toc 2"/>
    <w:basedOn w:val="1"/>
    <w:next w:val="1"/>
    <w:qFormat/>
    <w:uiPriority w:val="39"/>
    <w:pPr>
      <w:tabs>
        <w:tab w:val="left" w:pos="1260"/>
        <w:tab w:val="right" w:leader="dot" w:pos="9169"/>
      </w:tabs>
      <w:spacing w:line="360" w:lineRule="auto"/>
      <w:ind w:firstLine="422" w:firstLineChars="201"/>
    </w:pPr>
  </w:style>
  <w:style w:type="paragraph" w:styleId="33">
    <w:name w:val="toc 9"/>
    <w:basedOn w:val="1"/>
    <w:next w:val="1"/>
    <w:unhideWhenUsed/>
    <w:qFormat/>
    <w:uiPriority w:val="39"/>
    <w:pPr>
      <w:ind w:left="3360" w:leftChars="1600"/>
    </w:pPr>
    <w:rPr>
      <w:rFonts w:ascii="Calibri" w:hAnsi="Calibri"/>
      <w:szCs w:val="22"/>
    </w:rPr>
  </w:style>
  <w:style w:type="paragraph" w:styleId="34">
    <w:name w:val="Body Text 2"/>
    <w:basedOn w:val="1"/>
    <w:link w:val="67"/>
    <w:unhideWhenUsed/>
    <w:qFormat/>
    <w:uiPriority w:val="0"/>
    <w:pPr>
      <w:spacing w:after="120" w:line="480" w:lineRule="auto"/>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6">
    <w:name w:val="index 1"/>
    <w:basedOn w:val="1"/>
    <w:next w:val="1"/>
    <w:qFormat/>
    <w:uiPriority w:val="0"/>
    <w:pPr>
      <w:tabs>
        <w:tab w:val="left" w:pos="360"/>
      </w:tabs>
      <w:adjustRightInd w:val="0"/>
      <w:textAlignment w:val="baseline"/>
    </w:pPr>
    <w:rPr>
      <w:rFonts w:eastAsia="楷体_GB2312"/>
      <w:kern w:val="0"/>
      <w:sz w:val="28"/>
    </w:rPr>
  </w:style>
  <w:style w:type="paragraph" w:styleId="37">
    <w:name w:val="annotation subject"/>
    <w:basedOn w:val="14"/>
    <w:next w:val="14"/>
    <w:link w:val="52"/>
    <w:qFormat/>
    <w:uiPriority w:val="0"/>
    <w:rPr>
      <w:b/>
      <w:bCs/>
    </w:rPr>
  </w:style>
  <w:style w:type="paragraph" w:styleId="38">
    <w:name w:val="Body Text First Indent"/>
    <w:basedOn w:val="2"/>
    <w:link w:val="127"/>
    <w:unhideWhenUsed/>
    <w:qFormat/>
    <w:uiPriority w:val="99"/>
    <w:pPr>
      <w:spacing w:line="360" w:lineRule="auto"/>
      <w:ind w:firstLine="420" w:firstLineChars="100"/>
    </w:pPr>
    <w:rPr>
      <w:rFonts w:eastAsia="仿宋"/>
      <w:sz w:val="24"/>
      <w:szCs w:val="21"/>
    </w:rPr>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page number"/>
    <w:basedOn w:val="41"/>
    <w:qFormat/>
    <w:uiPriority w:val="0"/>
  </w:style>
  <w:style w:type="character" w:styleId="43">
    <w:name w:val="Hyperlink"/>
    <w:basedOn w:val="41"/>
    <w:unhideWhenUsed/>
    <w:qFormat/>
    <w:uiPriority w:val="99"/>
    <w:rPr>
      <w:color w:val="0000FF"/>
      <w:u w:val="single"/>
    </w:rPr>
  </w:style>
  <w:style w:type="character" w:styleId="44">
    <w:name w:val="annotation reference"/>
    <w:basedOn w:val="41"/>
    <w:qFormat/>
    <w:uiPriority w:val="0"/>
    <w:rPr>
      <w:sz w:val="21"/>
      <w:szCs w:val="21"/>
    </w:rPr>
  </w:style>
  <w:style w:type="paragraph" w:customStyle="1" w:styleId="45">
    <w:name w:val="列出段落1"/>
    <w:basedOn w:val="1"/>
    <w:qFormat/>
    <w:uiPriority w:val="0"/>
    <w:pPr>
      <w:ind w:firstLine="420" w:firstLineChars="200"/>
    </w:pPr>
    <w:rPr>
      <w:rFonts w:ascii="Calibri" w:hAnsi="Calibri"/>
    </w:rPr>
  </w:style>
  <w:style w:type="paragraph" w:customStyle="1" w:styleId="46">
    <w:name w:val="_Style 5"/>
    <w:basedOn w:val="13"/>
    <w:qFormat/>
    <w:uiPriority w:val="0"/>
  </w:style>
  <w:style w:type="paragraph" w:customStyle="1" w:styleId="47">
    <w:name w:val="注释"/>
    <w:basedOn w:val="1"/>
    <w:next w:val="1"/>
    <w:qFormat/>
    <w:uiPriority w:val="0"/>
    <w:pPr>
      <w:ind w:left="200" w:leftChars="200"/>
    </w:pPr>
    <w:rPr>
      <w:b/>
    </w:rPr>
  </w:style>
  <w:style w:type="paragraph" w:customStyle="1" w:styleId="48">
    <w:name w:val="(文字) (文字)"/>
    <w:basedOn w:val="13"/>
    <w:qFormat/>
    <w:uiPriority w:val="0"/>
  </w:style>
  <w:style w:type="paragraph" w:customStyle="1" w:styleId="49">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50">
    <w:name w:val="Char Char Char"/>
    <w:basedOn w:val="1"/>
    <w:qFormat/>
    <w:uiPriority w:val="0"/>
    <w:rPr>
      <w:rFonts w:ascii="Tahoma" w:hAnsi="Tahoma"/>
      <w:sz w:val="24"/>
    </w:rPr>
  </w:style>
  <w:style w:type="character" w:customStyle="1" w:styleId="51">
    <w:name w:val="批注文字 Char"/>
    <w:basedOn w:val="41"/>
    <w:link w:val="14"/>
    <w:qFormat/>
    <w:uiPriority w:val="0"/>
    <w:rPr>
      <w:kern w:val="2"/>
      <w:sz w:val="21"/>
    </w:rPr>
  </w:style>
  <w:style w:type="character" w:customStyle="1" w:styleId="52">
    <w:name w:val="批注主题 Char"/>
    <w:basedOn w:val="51"/>
    <w:link w:val="37"/>
    <w:qFormat/>
    <w:uiPriority w:val="0"/>
    <w:rPr>
      <w:b/>
      <w:bCs/>
      <w:kern w:val="2"/>
      <w:sz w:val="21"/>
    </w:rPr>
  </w:style>
  <w:style w:type="character" w:customStyle="1" w:styleId="53">
    <w:name w:val="批注框文本 Char"/>
    <w:basedOn w:val="41"/>
    <w:link w:val="25"/>
    <w:qFormat/>
    <w:uiPriority w:val="0"/>
    <w:rPr>
      <w:kern w:val="2"/>
      <w:sz w:val="18"/>
      <w:szCs w:val="18"/>
    </w:rPr>
  </w:style>
  <w:style w:type="character" w:customStyle="1" w:styleId="54">
    <w:name w:val="Style 9.5 pt"/>
    <w:basedOn w:val="41"/>
    <w:qFormat/>
    <w:uiPriority w:val="0"/>
    <w:rPr>
      <w:sz w:val="21"/>
    </w:rPr>
  </w:style>
  <w:style w:type="paragraph" w:customStyle="1" w:styleId="55">
    <w:name w:val="Style Style 四号 Bold Black Line spacing:  1.5 lines + 12 pt Right: ..."/>
    <w:basedOn w:val="1"/>
    <w:qFormat/>
    <w:uiPriority w:val="0"/>
    <w:pPr>
      <w:widowControl/>
      <w:spacing w:before="100" w:beforeAutospacing="1" w:after="100" w:afterAutospacing="1"/>
      <w:ind w:right="102" w:rightChars="102"/>
    </w:pPr>
    <w:rPr>
      <w:rFonts w:ascii="Arial" w:hAnsi="Arial" w:cs="宋体"/>
      <w:b/>
      <w:bCs/>
      <w:color w:val="000000"/>
      <w:kern w:val="0"/>
      <w:sz w:val="24"/>
    </w:rPr>
  </w:style>
  <w:style w:type="character" w:customStyle="1" w:styleId="56">
    <w:name w:val="标题 1 Char"/>
    <w:basedOn w:val="41"/>
    <w:link w:val="3"/>
    <w:qFormat/>
    <w:uiPriority w:val="0"/>
    <w:rPr>
      <w:b/>
      <w:bCs/>
      <w:kern w:val="44"/>
      <w:sz w:val="44"/>
      <w:szCs w:val="44"/>
    </w:rPr>
  </w:style>
  <w:style w:type="character" w:customStyle="1" w:styleId="57">
    <w:name w:val="正文文本 3 Char"/>
    <w:basedOn w:val="41"/>
    <w:link w:val="15"/>
    <w:qFormat/>
    <w:uiPriority w:val="0"/>
    <w:rPr>
      <w:kern w:val="2"/>
      <w:sz w:val="16"/>
      <w:szCs w:val="16"/>
    </w:rPr>
  </w:style>
  <w:style w:type="paragraph" w:customStyle="1" w:styleId="58">
    <w:name w:val="TOC 标题1"/>
    <w:basedOn w:val="3"/>
    <w:next w:val="1"/>
    <w:unhideWhenUsed/>
    <w:qFormat/>
    <w:uiPriority w:val="39"/>
    <w:pPr>
      <w:widowControl/>
      <w:spacing w:before="480" w:after="0" w:line="276" w:lineRule="auto"/>
      <w:jc w:val="left"/>
      <w:outlineLvl w:val="9"/>
    </w:pPr>
    <w:rPr>
      <w:rFonts w:ascii="Cambria" w:hAnsi="Cambria"/>
      <w:color w:val="365F91"/>
      <w:kern w:val="0"/>
      <w:sz w:val="28"/>
      <w:szCs w:val="28"/>
      <w:lang w:eastAsia="en-US"/>
    </w:rPr>
  </w:style>
  <w:style w:type="character" w:customStyle="1" w:styleId="59">
    <w:name w:val="标题 3 Char"/>
    <w:basedOn w:val="41"/>
    <w:link w:val="5"/>
    <w:qFormat/>
    <w:uiPriority w:val="0"/>
    <w:rPr>
      <w:b/>
      <w:kern w:val="2"/>
      <w:sz w:val="21"/>
    </w:rPr>
  </w:style>
  <w:style w:type="character" w:customStyle="1" w:styleId="60">
    <w:name w:val="正文文本 Char"/>
    <w:basedOn w:val="41"/>
    <w:link w:val="2"/>
    <w:qFormat/>
    <w:uiPriority w:val="99"/>
    <w:rPr>
      <w:kern w:val="2"/>
      <w:sz w:val="21"/>
    </w:rPr>
  </w:style>
  <w:style w:type="paragraph" w:customStyle="1" w:styleId="61">
    <w:name w:val="列出段落2"/>
    <w:basedOn w:val="1"/>
    <w:qFormat/>
    <w:uiPriority w:val="0"/>
    <w:pPr>
      <w:ind w:firstLine="420" w:firstLineChars="200"/>
    </w:pPr>
  </w:style>
  <w:style w:type="paragraph" w:customStyle="1" w:styleId="62">
    <w:name w:val="Listenabsatz1"/>
    <w:basedOn w:val="1"/>
    <w:link w:val="63"/>
    <w:qFormat/>
    <w:uiPriority w:val="34"/>
    <w:pPr>
      <w:ind w:firstLine="420" w:firstLineChars="200"/>
    </w:pPr>
    <w:rPr>
      <w:rFonts w:eastAsiaTheme="minorEastAsia"/>
      <w:szCs w:val="24"/>
    </w:rPr>
  </w:style>
  <w:style w:type="character" w:customStyle="1" w:styleId="63">
    <w:name w:val="Listenabsatz Zchn"/>
    <w:link w:val="62"/>
    <w:qFormat/>
    <w:uiPriority w:val="34"/>
    <w:rPr>
      <w:rFonts w:eastAsiaTheme="minorEastAsia"/>
      <w:kern w:val="2"/>
      <w:sz w:val="21"/>
      <w:szCs w:val="24"/>
    </w:rPr>
  </w:style>
  <w:style w:type="character" w:customStyle="1" w:styleId="64">
    <w:name w:val="页眉 Char"/>
    <w:basedOn w:val="41"/>
    <w:link w:val="27"/>
    <w:qFormat/>
    <w:uiPriority w:val="99"/>
    <w:rPr>
      <w:kern w:val="2"/>
      <w:sz w:val="18"/>
    </w:rPr>
  </w:style>
  <w:style w:type="paragraph" w:customStyle="1" w:styleId="65">
    <w:name w:val="修订1"/>
    <w:hidden/>
    <w:semiHidden/>
    <w:qFormat/>
    <w:uiPriority w:val="99"/>
    <w:rPr>
      <w:rFonts w:ascii="Times New Roman" w:hAnsi="Times New Roman" w:eastAsia="宋体" w:cs="Times New Roman"/>
      <w:kern w:val="2"/>
      <w:sz w:val="21"/>
      <w:lang w:val="en-US" w:eastAsia="zh-CN" w:bidi="ar-SA"/>
    </w:rPr>
  </w:style>
  <w:style w:type="character" w:customStyle="1" w:styleId="66">
    <w:name w:val="页脚 Char"/>
    <w:basedOn w:val="41"/>
    <w:link w:val="26"/>
    <w:qFormat/>
    <w:uiPriority w:val="99"/>
    <w:rPr>
      <w:kern w:val="2"/>
      <w:sz w:val="18"/>
    </w:rPr>
  </w:style>
  <w:style w:type="character" w:customStyle="1" w:styleId="67">
    <w:name w:val="正文文本 2 Char"/>
    <w:basedOn w:val="41"/>
    <w:link w:val="34"/>
    <w:qFormat/>
    <w:uiPriority w:val="0"/>
    <w:rPr>
      <w:rFonts w:ascii="Calibri" w:hAnsi="Calibri"/>
      <w:kern w:val="2"/>
      <w:sz w:val="21"/>
      <w:szCs w:val="22"/>
    </w:rPr>
  </w:style>
  <w:style w:type="paragraph" w:customStyle="1" w:styleId="6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CM20"/>
    <w:basedOn w:val="68"/>
    <w:next w:val="68"/>
    <w:qFormat/>
    <w:uiPriority w:val="0"/>
    <w:rPr>
      <w:rFonts w:ascii="楷体_GB2312" w:eastAsia="楷体_GB2312" w:cs="Times New Roman"/>
      <w:color w:val="auto"/>
    </w:rPr>
  </w:style>
  <w:style w:type="paragraph" w:customStyle="1" w:styleId="70">
    <w:name w:val="texte 2"/>
    <w:basedOn w:val="1"/>
    <w:qFormat/>
    <w:uiPriority w:val="0"/>
    <w:pPr>
      <w:widowControl/>
      <w:spacing w:before="120"/>
      <w:ind w:left="284"/>
    </w:pPr>
    <w:rPr>
      <w:kern w:val="0"/>
      <w:sz w:val="24"/>
      <w:lang w:val="fr-FR" w:eastAsia="en-US"/>
    </w:rPr>
  </w:style>
  <w:style w:type="character" w:customStyle="1" w:styleId="71">
    <w:name w:val="标题 4 Char"/>
    <w:basedOn w:val="41"/>
    <w:link w:val="6"/>
    <w:qFormat/>
    <w:uiPriority w:val="99"/>
    <w:rPr>
      <w:rFonts w:ascii="Arial" w:hAnsi="Arial" w:eastAsia="黑体"/>
      <w:b/>
      <w:bCs/>
      <w:kern w:val="2"/>
      <w:sz w:val="28"/>
      <w:szCs w:val="28"/>
      <w:lang w:val="zh-CN" w:eastAsia="zh-CN"/>
    </w:rPr>
  </w:style>
  <w:style w:type="character" w:customStyle="1" w:styleId="72">
    <w:name w:val="标题 5 Char"/>
    <w:basedOn w:val="41"/>
    <w:link w:val="7"/>
    <w:semiHidden/>
    <w:qFormat/>
    <w:uiPriority w:val="99"/>
    <w:rPr>
      <w:rFonts w:ascii="Calibri" w:hAnsi="Calibri"/>
      <w:b/>
      <w:bCs/>
      <w:kern w:val="2"/>
      <w:sz w:val="28"/>
      <w:szCs w:val="28"/>
      <w:lang w:val="zh-CN" w:eastAsia="zh-CN"/>
    </w:rPr>
  </w:style>
  <w:style w:type="character" w:customStyle="1" w:styleId="73">
    <w:name w:val="标题 6 Char"/>
    <w:basedOn w:val="41"/>
    <w:link w:val="8"/>
    <w:semiHidden/>
    <w:qFormat/>
    <w:uiPriority w:val="99"/>
    <w:rPr>
      <w:rFonts w:ascii="Arial" w:hAnsi="Arial" w:eastAsia="黑体"/>
      <w:b/>
      <w:bCs/>
      <w:kern w:val="2"/>
      <w:sz w:val="24"/>
      <w:szCs w:val="24"/>
      <w:lang w:val="zh-CN" w:eastAsia="zh-CN"/>
    </w:rPr>
  </w:style>
  <w:style w:type="character" w:customStyle="1" w:styleId="74">
    <w:name w:val="标题 7 Char"/>
    <w:basedOn w:val="41"/>
    <w:link w:val="9"/>
    <w:semiHidden/>
    <w:qFormat/>
    <w:uiPriority w:val="99"/>
    <w:rPr>
      <w:rFonts w:ascii="Calibri" w:hAnsi="Calibri"/>
      <w:b/>
      <w:bCs/>
      <w:kern w:val="2"/>
      <w:sz w:val="24"/>
      <w:szCs w:val="24"/>
      <w:lang w:val="zh-CN" w:eastAsia="zh-CN"/>
    </w:rPr>
  </w:style>
  <w:style w:type="character" w:customStyle="1" w:styleId="75">
    <w:name w:val="标题 8 Char"/>
    <w:basedOn w:val="41"/>
    <w:link w:val="10"/>
    <w:semiHidden/>
    <w:qFormat/>
    <w:uiPriority w:val="99"/>
    <w:rPr>
      <w:rFonts w:ascii="Arial" w:hAnsi="Arial" w:eastAsia="黑体"/>
      <w:kern w:val="2"/>
      <w:sz w:val="24"/>
      <w:szCs w:val="24"/>
      <w:lang w:val="zh-CN" w:eastAsia="zh-CN"/>
    </w:rPr>
  </w:style>
  <w:style w:type="character" w:customStyle="1" w:styleId="76">
    <w:name w:val="标题 9 Char"/>
    <w:basedOn w:val="41"/>
    <w:link w:val="11"/>
    <w:semiHidden/>
    <w:qFormat/>
    <w:uiPriority w:val="99"/>
    <w:rPr>
      <w:rFonts w:ascii="Arial" w:hAnsi="Arial" w:eastAsia="黑体"/>
      <w:kern w:val="2"/>
      <w:sz w:val="21"/>
      <w:szCs w:val="21"/>
      <w:lang w:val="zh-CN" w:eastAsia="zh-CN"/>
    </w:rPr>
  </w:style>
  <w:style w:type="paragraph" w:customStyle="1" w:styleId="77">
    <w:name w:val="样式 标题 3 + 行距: 单倍行距"/>
    <w:basedOn w:val="5"/>
    <w:qFormat/>
    <w:uiPriority w:val="0"/>
    <w:pPr>
      <w:keepNext w:val="0"/>
      <w:tabs>
        <w:tab w:val="left" w:pos="720"/>
      </w:tabs>
      <w:jc w:val="both"/>
    </w:pPr>
    <w:rPr>
      <w:rFonts w:ascii="Calibri" w:hAnsi="Calibri" w:cs="宋体"/>
      <w:b w:val="0"/>
      <w:sz w:val="24"/>
      <w:lang w:val="zh-CN"/>
    </w:rPr>
  </w:style>
  <w:style w:type="paragraph" w:customStyle="1" w:styleId="78">
    <w:name w:val="样式2"/>
    <w:basedOn w:val="1"/>
    <w:qFormat/>
    <w:uiPriority w:val="0"/>
    <w:pPr>
      <w:keepNext/>
      <w:keepLines/>
      <w:spacing w:line="360" w:lineRule="auto"/>
      <w:ind w:firstLine="480" w:firstLineChars="200"/>
    </w:pPr>
    <w:rPr>
      <w:rFonts w:ascii="宋体" w:hAnsi="宋体"/>
      <w:sz w:val="24"/>
      <w:szCs w:val="24"/>
    </w:rPr>
  </w:style>
  <w:style w:type="paragraph" w:customStyle="1" w:styleId="79">
    <w:name w:val="样式 标题 4 + 宋体 小四 非加粗 段前: 0 磅 段后: 0 磅 行距: 单倍行距"/>
    <w:basedOn w:val="6"/>
    <w:qFormat/>
    <w:uiPriority w:val="0"/>
    <w:pPr>
      <w:keepNext w:val="0"/>
      <w:keepLines w:val="0"/>
      <w:numPr>
        <w:ilvl w:val="0"/>
        <w:numId w:val="2"/>
      </w:numPr>
      <w:spacing w:before="0" w:after="0" w:line="240" w:lineRule="auto"/>
    </w:pPr>
    <w:rPr>
      <w:rFonts w:ascii="宋体" w:hAnsi="宋体" w:eastAsia="宋体" w:cs="宋体"/>
      <w:b w:val="0"/>
      <w:bCs w:val="0"/>
      <w:sz w:val="24"/>
      <w:szCs w:val="20"/>
    </w:rPr>
  </w:style>
  <w:style w:type="paragraph" w:customStyle="1" w:styleId="80">
    <w:name w:val="样式 标题 3 + 宋体 行距: 单倍行距"/>
    <w:basedOn w:val="5"/>
    <w:qFormat/>
    <w:uiPriority w:val="0"/>
    <w:pPr>
      <w:keepNext w:val="0"/>
      <w:numPr>
        <w:ilvl w:val="2"/>
        <w:numId w:val="2"/>
      </w:numPr>
      <w:tabs>
        <w:tab w:val="left" w:pos="420"/>
      </w:tabs>
      <w:spacing w:line="360" w:lineRule="auto"/>
      <w:jc w:val="both"/>
    </w:pPr>
    <w:rPr>
      <w:rFonts w:ascii="宋体" w:hAnsi="宋体" w:cs="宋体"/>
      <w:sz w:val="24"/>
      <w:lang w:val="zh-CN"/>
    </w:rPr>
  </w:style>
  <w:style w:type="paragraph" w:customStyle="1" w:styleId="81">
    <w:name w:val="样式 标题 3 + 宋体 黑色 行距: 单倍行距"/>
    <w:basedOn w:val="5"/>
    <w:qFormat/>
    <w:uiPriority w:val="0"/>
    <w:pPr>
      <w:keepNext w:val="0"/>
      <w:tabs>
        <w:tab w:val="left" w:pos="5382"/>
      </w:tabs>
      <w:ind w:left="5382" w:hanging="420"/>
      <w:jc w:val="both"/>
    </w:pPr>
    <w:rPr>
      <w:rFonts w:ascii="宋体" w:hAnsi="宋体" w:cs="宋体"/>
      <w:b w:val="0"/>
      <w:color w:val="000000"/>
      <w:sz w:val="24"/>
      <w:lang w:val="zh-CN"/>
    </w:rPr>
  </w:style>
  <w:style w:type="paragraph" w:customStyle="1" w:styleId="82">
    <w:name w:val="B4"/>
    <w:basedOn w:val="21"/>
    <w:qFormat/>
    <w:uiPriority w:val="0"/>
    <w:pPr>
      <w:numPr>
        <w:ilvl w:val="3"/>
        <w:numId w:val="1"/>
      </w:numPr>
    </w:pPr>
    <w:rPr>
      <w:rFonts w:hAnsi="宋体" w:cs="宋体"/>
      <w:bCs/>
      <w:sz w:val="24"/>
    </w:rPr>
  </w:style>
  <w:style w:type="character" w:customStyle="1" w:styleId="83">
    <w:name w:val="正文文本缩进 Char"/>
    <w:basedOn w:val="41"/>
    <w:link w:val="16"/>
    <w:qFormat/>
    <w:uiPriority w:val="0"/>
    <w:rPr>
      <w:rFonts w:eastAsia="华文楷体"/>
      <w:kern w:val="2"/>
      <w:sz w:val="21"/>
    </w:rPr>
  </w:style>
  <w:style w:type="paragraph" w:styleId="84">
    <w:name w:val="List Paragraph"/>
    <w:basedOn w:val="1"/>
    <w:link w:val="121"/>
    <w:qFormat/>
    <w:uiPriority w:val="99"/>
    <w:pPr>
      <w:ind w:firstLine="420" w:firstLineChars="200"/>
    </w:pPr>
  </w:style>
  <w:style w:type="character" w:customStyle="1" w:styleId="85">
    <w:name w:val="标书正文 Char"/>
    <w:link w:val="86"/>
    <w:qFormat/>
    <w:locked/>
    <w:uiPriority w:val="0"/>
    <w:rPr>
      <w:rFonts w:ascii="宋体" w:hAnsi="宋体"/>
      <w:kern w:val="2"/>
      <w:sz w:val="24"/>
      <w:szCs w:val="24"/>
    </w:rPr>
  </w:style>
  <w:style w:type="paragraph" w:customStyle="1" w:styleId="86">
    <w:name w:val="标书正文"/>
    <w:basedOn w:val="1"/>
    <w:link w:val="85"/>
    <w:qFormat/>
    <w:uiPriority w:val="0"/>
    <w:pPr>
      <w:spacing w:line="360" w:lineRule="auto"/>
      <w:ind w:firstLine="200" w:firstLineChars="200"/>
      <w:jc w:val="left"/>
    </w:pPr>
    <w:rPr>
      <w:rFonts w:ascii="宋体" w:hAnsi="宋体"/>
      <w:sz w:val="24"/>
      <w:szCs w:val="24"/>
    </w:rPr>
  </w:style>
  <w:style w:type="paragraph" w:customStyle="1" w:styleId="87">
    <w:name w:val="标书正文-标题四"/>
    <w:basedOn w:val="1"/>
    <w:qFormat/>
    <w:uiPriority w:val="0"/>
    <w:pPr>
      <w:keepNext/>
      <w:keepLines/>
      <w:numPr>
        <w:ilvl w:val="0"/>
        <w:numId w:val="3"/>
      </w:numPr>
      <w:autoSpaceDE w:val="0"/>
      <w:autoSpaceDN w:val="0"/>
      <w:adjustRightInd w:val="0"/>
      <w:spacing w:beforeLines="100" w:afterLines="100" w:line="360" w:lineRule="exact"/>
      <w:ind w:firstLine="59" w:firstLineChars="59"/>
      <w:jc w:val="left"/>
      <w:outlineLvl w:val="3"/>
    </w:pPr>
    <w:rPr>
      <w:rFonts w:ascii="Arial" w:hAnsi="Arial" w:cs="Arial"/>
      <w:b/>
      <w:bCs/>
      <w:kern w:val="0"/>
      <w:sz w:val="24"/>
    </w:rPr>
  </w:style>
  <w:style w:type="paragraph" w:customStyle="1" w:styleId="88">
    <w:name w:val="标书1级"/>
    <w:basedOn w:val="1"/>
    <w:qFormat/>
    <w:uiPriority w:val="0"/>
    <w:pPr>
      <w:keepLines/>
      <w:numPr>
        <w:ilvl w:val="0"/>
        <w:numId w:val="4"/>
      </w:numPr>
      <w:tabs>
        <w:tab w:val="left" w:pos="0"/>
      </w:tabs>
      <w:spacing w:before="156" w:after="156" w:line="300" w:lineRule="auto"/>
      <w:ind w:left="0" w:firstLine="0"/>
      <w:jc w:val="left"/>
      <w:outlineLvl w:val="0"/>
    </w:pPr>
    <w:rPr>
      <w:rFonts w:ascii="Arial" w:hAnsi="Arial" w:cs="Arial"/>
      <w:b/>
      <w:bCs/>
      <w:kern w:val="44"/>
      <w:sz w:val="28"/>
    </w:rPr>
  </w:style>
  <w:style w:type="paragraph" w:customStyle="1" w:styleId="89">
    <w:name w:val="标书2级"/>
    <w:basedOn w:val="1"/>
    <w:link w:val="93"/>
    <w:qFormat/>
    <w:uiPriority w:val="0"/>
    <w:pPr>
      <w:keepLines/>
      <w:numPr>
        <w:ilvl w:val="1"/>
        <w:numId w:val="4"/>
      </w:numPr>
      <w:spacing w:before="156" w:after="156" w:line="300" w:lineRule="auto"/>
      <w:jc w:val="left"/>
      <w:outlineLvl w:val="1"/>
    </w:pPr>
    <w:rPr>
      <w:rFonts w:ascii="Arial" w:hAnsi="Arial" w:cs="Arial"/>
      <w:b/>
      <w:bCs/>
      <w:sz w:val="24"/>
    </w:rPr>
  </w:style>
  <w:style w:type="character" w:customStyle="1" w:styleId="90">
    <w:name w:val="标书3级 Char"/>
    <w:basedOn w:val="41"/>
    <w:link w:val="91"/>
    <w:qFormat/>
    <w:locked/>
    <w:uiPriority w:val="0"/>
    <w:rPr>
      <w:rFonts w:ascii="Arial" w:hAnsi="Arial" w:cs="Arial"/>
      <w:bCs/>
      <w:sz w:val="24"/>
    </w:rPr>
  </w:style>
  <w:style w:type="paragraph" w:customStyle="1" w:styleId="91">
    <w:name w:val="标书3级"/>
    <w:basedOn w:val="1"/>
    <w:link w:val="90"/>
    <w:qFormat/>
    <w:uiPriority w:val="0"/>
    <w:pPr>
      <w:keepLines/>
      <w:numPr>
        <w:ilvl w:val="2"/>
        <w:numId w:val="4"/>
      </w:numPr>
      <w:spacing w:line="300" w:lineRule="auto"/>
      <w:jc w:val="left"/>
      <w:outlineLvl w:val="2"/>
    </w:pPr>
    <w:rPr>
      <w:rFonts w:ascii="Arial" w:hAnsi="Arial" w:cs="Arial"/>
      <w:bCs/>
      <w:kern w:val="0"/>
      <w:sz w:val="24"/>
    </w:rPr>
  </w:style>
  <w:style w:type="paragraph" w:customStyle="1" w:styleId="92">
    <w:name w:val="标书4级"/>
    <w:basedOn w:val="91"/>
    <w:qFormat/>
    <w:uiPriority w:val="0"/>
    <w:pPr>
      <w:keepLines w:val="0"/>
      <w:numPr>
        <w:ilvl w:val="3"/>
      </w:numPr>
      <w:tabs>
        <w:tab w:val="left" w:pos="360"/>
      </w:tabs>
      <w:ind w:left="0" w:firstLine="360" w:firstLineChars="150"/>
      <w:outlineLvl w:val="3"/>
    </w:pPr>
  </w:style>
  <w:style w:type="character" w:customStyle="1" w:styleId="93">
    <w:name w:val="标书2级 Char"/>
    <w:basedOn w:val="41"/>
    <w:link w:val="89"/>
    <w:qFormat/>
    <w:locked/>
    <w:uiPriority w:val="0"/>
    <w:rPr>
      <w:rFonts w:ascii="Arial" w:hAnsi="Arial" w:cs="Arial"/>
      <w:b/>
      <w:bCs/>
      <w:kern w:val="2"/>
      <w:sz w:val="24"/>
    </w:rPr>
  </w:style>
  <w:style w:type="paragraph" w:customStyle="1" w:styleId="94">
    <w:name w:val="列出段落3"/>
    <w:basedOn w:val="1"/>
    <w:qFormat/>
    <w:uiPriority w:val="0"/>
    <w:pPr>
      <w:widowControl/>
      <w:spacing w:after="200" w:line="276" w:lineRule="auto"/>
      <w:ind w:firstLine="420" w:firstLineChars="200"/>
      <w:jc w:val="left"/>
    </w:pPr>
    <w:rPr>
      <w:rFonts w:ascii="Cambria" w:hAnsi="Cambria"/>
      <w:kern w:val="0"/>
      <w:sz w:val="22"/>
      <w:szCs w:val="22"/>
      <w:lang w:eastAsia="en-US"/>
    </w:rPr>
  </w:style>
  <w:style w:type="character" w:customStyle="1" w:styleId="95">
    <w:name w:val="Char Char1"/>
    <w:qFormat/>
    <w:uiPriority w:val="0"/>
    <w:rPr>
      <w:rFonts w:hint="default" w:ascii="Arial" w:hAnsi="Arial" w:eastAsia="黑体" w:cs="Arial"/>
      <w:b/>
      <w:sz w:val="28"/>
      <w:lang w:val="en-US" w:eastAsia="zh-CN"/>
    </w:rPr>
  </w:style>
  <w:style w:type="paragraph" w:customStyle="1" w:styleId="96">
    <w:name w:val="纯文本1"/>
    <w:basedOn w:val="1"/>
    <w:qFormat/>
    <w:uiPriority w:val="0"/>
    <w:pPr>
      <w:widowControl/>
      <w:jc w:val="left"/>
    </w:pPr>
    <w:rPr>
      <w:rFonts w:ascii="宋体" w:hAnsi="Courier New"/>
      <w:kern w:val="0"/>
      <w:sz w:val="20"/>
    </w:rPr>
  </w:style>
  <w:style w:type="paragraph" w:customStyle="1" w:styleId="97">
    <w:name w:val="纯文本2"/>
    <w:basedOn w:val="1"/>
    <w:qFormat/>
    <w:uiPriority w:val="0"/>
    <w:pPr>
      <w:widowControl/>
      <w:jc w:val="left"/>
    </w:pPr>
    <w:rPr>
      <w:rFonts w:ascii="宋体" w:hAnsi="Courier New"/>
      <w:kern w:val="0"/>
      <w:sz w:val="20"/>
    </w:rPr>
  </w:style>
  <w:style w:type="paragraph" w:customStyle="1" w:styleId="98">
    <w:name w:val="四级条标题"/>
    <w:basedOn w:val="1"/>
    <w:qFormat/>
    <w:uiPriority w:val="0"/>
    <w:pPr>
      <w:widowControl/>
      <w:overflowPunct w:val="0"/>
      <w:autoSpaceDE w:val="0"/>
      <w:autoSpaceDN w:val="0"/>
      <w:adjustRightInd w:val="0"/>
      <w:spacing w:line="360" w:lineRule="auto"/>
      <w:jc w:val="left"/>
    </w:pPr>
    <w:rPr>
      <w:rFonts w:ascii="Arial" w:hAnsi="Arial"/>
      <w:kern w:val="0"/>
      <w:sz w:val="24"/>
      <w:lang w:val="en-GB"/>
    </w:rPr>
  </w:style>
  <w:style w:type="character" w:customStyle="1" w:styleId="99">
    <w:name w:val="标题 2 Char"/>
    <w:basedOn w:val="41"/>
    <w:link w:val="4"/>
    <w:qFormat/>
    <w:uiPriority w:val="0"/>
    <w:rPr>
      <w:rFonts w:ascii="楷体_GB2312" w:eastAsia="楷体_GB2312"/>
      <w:kern w:val="2"/>
      <w:sz w:val="32"/>
    </w:rPr>
  </w:style>
  <w:style w:type="paragraph" w:customStyle="1" w:styleId="100">
    <w:name w:val="Char"/>
    <w:basedOn w:val="1"/>
    <w:qFormat/>
    <w:uiPriority w:val="99"/>
    <w:pPr>
      <w:spacing w:line="360" w:lineRule="auto"/>
      <w:ind w:left="420" w:firstLine="420"/>
    </w:pPr>
    <w:rPr>
      <w:rFonts w:ascii="Century" w:hAnsi="Century" w:eastAsia="MS Mincho"/>
      <w:lang w:eastAsia="ja-JP"/>
    </w:rPr>
  </w:style>
  <w:style w:type="paragraph" w:customStyle="1" w:styleId="101">
    <w:name w:val="国内正文"/>
    <w:basedOn w:val="1"/>
    <w:qFormat/>
    <w:uiPriority w:val="0"/>
    <w:pPr>
      <w:widowControl/>
      <w:jc w:val="left"/>
    </w:pPr>
    <w:rPr>
      <w:kern w:val="0"/>
      <w:sz w:val="28"/>
      <w:szCs w:val="28"/>
    </w:rPr>
  </w:style>
  <w:style w:type="paragraph" w:customStyle="1" w:styleId="102">
    <w:name w:val="封面日期"/>
    <w:basedOn w:val="1"/>
    <w:qFormat/>
    <w:uiPriority w:val="0"/>
    <w:pPr>
      <w:widowControl/>
      <w:spacing w:line="360" w:lineRule="auto"/>
      <w:jc w:val="center"/>
    </w:pPr>
    <w:rPr>
      <w:rFonts w:ascii="宋体" w:hAnsi="宋体" w:cs="宋体"/>
      <w:b/>
      <w:bCs/>
      <w:kern w:val="0"/>
      <w:sz w:val="24"/>
    </w:rPr>
  </w:style>
  <w:style w:type="paragraph" w:customStyle="1" w:styleId="103">
    <w:name w:val="Char1"/>
    <w:basedOn w:val="1"/>
    <w:qFormat/>
    <w:uiPriority w:val="0"/>
    <w:pPr>
      <w:spacing w:line="360" w:lineRule="auto"/>
      <w:ind w:left="420" w:firstLine="420"/>
    </w:pPr>
    <w:rPr>
      <w:kern w:val="0"/>
      <w:sz w:val="20"/>
    </w:rPr>
  </w:style>
  <w:style w:type="character" w:customStyle="1" w:styleId="104">
    <w:name w:val="批注引用1"/>
    <w:qFormat/>
    <w:uiPriority w:val="0"/>
    <w:rPr>
      <w:sz w:val="21"/>
      <w:szCs w:val="21"/>
    </w:rPr>
  </w:style>
  <w:style w:type="paragraph" w:customStyle="1" w:styleId="105">
    <w:name w:val="标题1"/>
    <w:basedOn w:val="1"/>
    <w:link w:val="117"/>
    <w:qFormat/>
    <w:uiPriority w:val="0"/>
    <w:pPr>
      <w:widowControl/>
      <w:numPr>
        <w:ilvl w:val="0"/>
        <w:numId w:val="5"/>
      </w:numPr>
      <w:spacing w:beforeLines="50" w:afterLines="50" w:line="400" w:lineRule="exact"/>
    </w:pPr>
    <w:rPr>
      <w:rFonts w:ascii="Calibri" w:hAnsi="Calibri"/>
      <w:b/>
      <w:sz w:val="24"/>
      <w:szCs w:val="24"/>
    </w:rPr>
  </w:style>
  <w:style w:type="paragraph" w:customStyle="1" w:styleId="106">
    <w:name w:val="标题2"/>
    <w:basedOn w:val="105"/>
    <w:link w:val="116"/>
    <w:qFormat/>
    <w:uiPriority w:val="0"/>
    <w:pPr>
      <w:numPr>
        <w:ilvl w:val="1"/>
      </w:numPr>
      <w:spacing w:beforeLines="0" w:afterLines="0"/>
    </w:pPr>
    <w:rPr>
      <w:b w:val="0"/>
      <w:sz w:val="22"/>
    </w:rPr>
  </w:style>
  <w:style w:type="paragraph" w:customStyle="1" w:styleId="107">
    <w:name w:val="标题3"/>
    <w:basedOn w:val="106"/>
    <w:link w:val="111"/>
    <w:qFormat/>
    <w:uiPriority w:val="0"/>
    <w:pPr>
      <w:numPr>
        <w:ilvl w:val="2"/>
      </w:numPr>
    </w:pPr>
  </w:style>
  <w:style w:type="paragraph" w:customStyle="1" w:styleId="108">
    <w:name w:val="标题4"/>
    <w:basedOn w:val="107"/>
    <w:link w:val="109"/>
    <w:qFormat/>
    <w:uiPriority w:val="0"/>
    <w:pPr>
      <w:numPr>
        <w:ilvl w:val="3"/>
      </w:numPr>
    </w:pPr>
    <w:rPr>
      <w:kern w:val="0"/>
    </w:rPr>
  </w:style>
  <w:style w:type="character" w:customStyle="1" w:styleId="109">
    <w:name w:val="标题4 Char"/>
    <w:basedOn w:val="41"/>
    <w:link w:val="108"/>
    <w:qFormat/>
    <w:uiPriority w:val="0"/>
    <w:rPr>
      <w:rFonts w:ascii="Calibri" w:hAnsi="Calibri"/>
      <w:sz w:val="22"/>
      <w:szCs w:val="24"/>
    </w:rPr>
  </w:style>
  <w:style w:type="paragraph" w:customStyle="1" w:styleId="110">
    <w:name w:val="标题5"/>
    <w:basedOn w:val="108"/>
    <w:link w:val="113"/>
    <w:qFormat/>
    <w:uiPriority w:val="0"/>
    <w:pPr>
      <w:numPr>
        <w:ilvl w:val="4"/>
      </w:numPr>
      <w:spacing w:line="420" w:lineRule="exact"/>
    </w:pPr>
    <w:rPr>
      <w:rFonts w:cs="Calibri"/>
    </w:rPr>
  </w:style>
  <w:style w:type="character" w:customStyle="1" w:styleId="111">
    <w:name w:val="标题3 Char"/>
    <w:basedOn w:val="41"/>
    <w:link w:val="107"/>
    <w:qFormat/>
    <w:uiPriority w:val="0"/>
    <w:rPr>
      <w:rFonts w:ascii="Calibri" w:hAnsi="Calibri"/>
      <w:kern w:val="2"/>
      <w:sz w:val="22"/>
      <w:szCs w:val="24"/>
    </w:rPr>
  </w:style>
  <w:style w:type="character" w:customStyle="1" w:styleId="112">
    <w:name w:val="文档结构图 Char"/>
    <w:basedOn w:val="41"/>
    <w:link w:val="13"/>
    <w:qFormat/>
    <w:uiPriority w:val="0"/>
    <w:rPr>
      <w:kern w:val="2"/>
      <w:sz w:val="21"/>
      <w:shd w:val="clear" w:color="auto" w:fill="000080"/>
    </w:rPr>
  </w:style>
  <w:style w:type="character" w:customStyle="1" w:styleId="113">
    <w:name w:val="标题5 Char"/>
    <w:basedOn w:val="109"/>
    <w:link w:val="110"/>
    <w:qFormat/>
    <w:uiPriority w:val="0"/>
    <w:rPr>
      <w:rFonts w:ascii="Calibri" w:hAnsi="Calibri" w:cs="Calibri"/>
      <w:sz w:val="22"/>
      <w:szCs w:val="24"/>
    </w:rPr>
  </w:style>
  <w:style w:type="paragraph" w:customStyle="1" w:styleId="114">
    <w:name w:val="正文1"/>
    <w:basedOn w:val="106"/>
    <w:link w:val="115"/>
    <w:qFormat/>
    <w:uiPriority w:val="0"/>
    <w:pPr>
      <w:numPr>
        <w:ilvl w:val="0"/>
        <w:numId w:val="0"/>
      </w:numPr>
      <w:ind w:firstLine="440" w:firstLineChars="200"/>
    </w:pPr>
    <w:rPr>
      <w:szCs w:val="20"/>
    </w:rPr>
  </w:style>
  <w:style w:type="character" w:customStyle="1" w:styleId="115">
    <w:name w:val="正文 Char"/>
    <w:basedOn w:val="41"/>
    <w:link w:val="114"/>
    <w:qFormat/>
    <w:uiPriority w:val="0"/>
    <w:rPr>
      <w:rFonts w:ascii="Calibri" w:hAnsi="Calibri"/>
      <w:kern w:val="2"/>
      <w:sz w:val="22"/>
    </w:rPr>
  </w:style>
  <w:style w:type="character" w:customStyle="1" w:styleId="116">
    <w:name w:val="标题2 Char"/>
    <w:basedOn w:val="41"/>
    <w:link w:val="106"/>
    <w:qFormat/>
    <w:uiPriority w:val="0"/>
    <w:rPr>
      <w:rFonts w:ascii="Calibri" w:hAnsi="Calibri"/>
      <w:kern w:val="2"/>
      <w:sz w:val="22"/>
      <w:szCs w:val="24"/>
    </w:rPr>
  </w:style>
  <w:style w:type="character" w:customStyle="1" w:styleId="117">
    <w:name w:val="标题1 Char"/>
    <w:basedOn w:val="41"/>
    <w:link w:val="105"/>
    <w:qFormat/>
    <w:uiPriority w:val="0"/>
    <w:rPr>
      <w:rFonts w:ascii="Calibri" w:hAnsi="Calibri"/>
      <w:b/>
      <w:kern w:val="2"/>
      <w:sz w:val="24"/>
      <w:szCs w:val="24"/>
    </w:rPr>
  </w:style>
  <w:style w:type="paragraph" w:customStyle="1" w:styleId="118">
    <w:name w:val="TOC 标题2"/>
    <w:basedOn w:val="3"/>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119">
    <w:name w:val="_Style 2"/>
    <w:basedOn w:val="1"/>
    <w:qFormat/>
    <w:uiPriority w:val="34"/>
    <w:pPr>
      <w:ind w:firstLine="420" w:firstLineChars="200"/>
    </w:pPr>
    <w:rPr>
      <w:rFonts w:ascii="Calibri" w:hAnsi="Calibri"/>
      <w:szCs w:val="22"/>
    </w:rPr>
  </w:style>
  <w:style w:type="character" w:styleId="120">
    <w:name w:val="Placeholder Text"/>
    <w:basedOn w:val="41"/>
    <w:semiHidden/>
    <w:qFormat/>
    <w:uiPriority w:val="99"/>
    <w:rPr>
      <w:color w:val="808080"/>
    </w:rPr>
  </w:style>
  <w:style w:type="character" w:customStyle="1" w:styleId="121">
    <w:name w:val="列出段落 Char"/>
    <w:link w:val="84"/>
    <w:qFormat/>
    <w:uiPriority w:val="99"/>
    <w:rPr>
      <w:kern w:val="2"/>
      <w:sz w:val="21"/>
    </w:rPr>
  </w:style>
  <w:style w:type="character" w:customStyle="1" w:styleId="122">
    <w:name w:val="fontstyle01"/>
    <w:basedOn w:val="41"/>
    <w:qFormat/>
    <w:uiPriority w:val="0"/>
    <w:rPr>
      <w:rFonts w:hint="eastAsia" w:ascii="宋体" w:hAnsi="宋体" w:eastAsia="宋体"/>
      <w:color w:val="000000"/>
      <w:sz w:val="24"/>
      <w:szCs w:val="24"/>
    </w:rPr>
  </w:style>
  <w:style w:type="character" w:customStyle="1" w:styleId="123">
    <w:name w:val="fontstyle11"/>
    <w:basedOn w:val="41"/>
    <w:qFormat/>
    <w:uiPriority w:val="0"/>
    <w:rPr>
      <w:rFonts w:hint="default" w:ascii="Wingdings-Regular" w:hAnsi="Wingdings-Regular"/>
      <w:color w:val="000000"/>
      <w:sz w:val="24"/>
      <w:szCs w:val="24"/>
    </w:rPr>
  </w:style>
  <w:style w:type="character" w:customStyle="1" w:styleId="124">
    <w:name w:val="fontstyle21"/>
    <w:basedOn w:val="41"/>
    <w:qFormat/>
    <w:uiPriority w:val="0"/>
    <w:rPr>
      <w:rFonts w:hint="eastAsia" w:ascii="宋体" w:hAnsi="宋体" w:eastAsia="宋体"/>
      <w:color w:val="000000"/>
      <w:sz w:val="24"/>
      <w:szCs w:val="24"/>
    </w:rPr>
  </w:style>
  <w:style w:type="character" w:customStyle="1" w:styleId="125">
    <w:name w:val="fontstyle31"/>
    <w:basedOn w:val="41"/>
    <w:qFormat/>
    <w:uiPriority w:val="0"/>
    <w:rPr>
      <w:rFonts w:hint="default" w:ascii="TimesNewRomanPSMT" w:hAnsi="TimesNewRomanPSMT"/>
      <w:color w:val="000000"/>
      <w:sz w:val="24"/>
      <w:szCs w:val="24"/>
    </w:rPr>
  </w:style>
  <w:style w:type="character" w:customStyle="1" w:styleId="126">
    <w:name w:val="正文首行缩进 Char"/>
    <w:link w:val="38"/>
    <w:qFormat/>
    <w:uiPriority w:val="0"/>
    <w:rPr>
      <w:rFonts w:eastAsia="仿宋"/>
      <w:kern w:val="2"/>
      <w:sz w:val="24"/>
      <w:szCs w:val="21"/>
    </w:rPr>
  </w:style>
  <w:style w:type="character" w:customStyle="1" w:styleId="127">
    <w:name w:val="正文首行缩进 Char1"/>
    <w:basedOn w:val="60"/>
    <w:link w:val="3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C1CC8E7A-C9A4-4FD2-802A-3855FA9CF734}">
  <ds:schemaRefs/>
</ds:datastoreItem>
</file>

<file path=docProps/app.xml><?xml version="1.0" encoding="utf-8"?>
<Properties xmlns="http://schemas.openxmlformats.org/officeDocument/2006/extended-properties" xmlns:vt="http://schemas.openxmlformats.org/officeDocument/2006/docPropsVTypes">
  <Company>www.geely.com</Company>
  <Pages>10</Pages>
  <Words>6042</Words>
  <Characters>6912</Characters>
  <Lines>149</Lines>
  <Paragraphs>42</Paragraphs>
  <TotalTime>0</TotalTime>
  <ScaleCrop>false</ScaleCrop>
  <LinksUpToDate>false</LinksUpToDate>
  <CharactersWithSpaces>7077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2020-01-03T17:49:00Z</dcterms:created>
  <dc:creator>usa</dc:creator>
  <cp:lastModifiedBy>潇湘雨</cp:lastModifiedBy>
  <cp:lastPrinted>2020-09-23T16:50:00Z</cp:lastPrinted>
  <dcterms:modified xsi:type="dcterms:W3CDTF">2025-09-11T01:50:10Z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88B45F469D4041FAB843048CC4238439_13</vt:lpwstr>
  </property>
  <property fmtid="{D5CDD505-2E9C-101B-9397-08002B2CF9AE}" pid="4" name="KSOTemplateDocerSaveRecord">
    <vt:lpwstr>eyJoZGlkIjoiYmFlODQyNTdhOTllNjNjYmNhMDE5YjBmYzhlZWRjYTciLCJ1c2VySWQiOiI0MjI4NTYxMjYifQ==</vt:lpwstr>
  </property>
</Properties>
</file>