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009EA4D6">
      <w:pPr>
        <w:ind w:right="280"/>
        <w:jc w:val="center"/>
        <w:rPr>
          <w:rFonts w:ascii="楷体_GB2312" w:hAnsi="宋体" w:eastAsia="楷体_GB2312"/>
          <w:sz w:val="52"/>
          <w:szCs w:val="52"/>
        </w:rPr>
      </w:pPr>
      <w:r>
        <w:rPr>
          <w:rFonts w:hint="eastAsia" w:ascii="楷体_GB2312" w:hAnsi="宋体" w:eastAsia="楷体_GB2312"/>
          <w:sz w:val="52"/>
          <w:szCs w:val="52"/>
          <w:highlight w:val="yellow"/>
        </w:rPr>
        <w:t>2025年危险废物处置项目</w:t>
      </w:r>
    </w:p>
    <w:p w14:paraId="612663B5">
      <w:pPr>
        <w:ind w:right="280"/>
        <w:jc w:val="center"/>
        <w:rPr>
          <w:sz w:val="28"/>
          <w:szCs w:val="28"/>
        </w:rPr>
      </w:pPr>
    </w:p>
    <w:p w14:paraId="18CBF8EA">
      <w:pPr>
        <w:ind w:right="280"/>
        <w:jc w:val="center"/>
        <w:rPr>
          <w:sz w:val="28"/>
          <w:szCs w:val="28"/>
        </w:rPr>
      </w:pPr>
    </w:p>
    <w:p w14:paraId="6418E5FF">
      <w:pPr>
        <w:jc w:val="center"/>
        <w:rPr>
          <w:rFonts w:ascii="宋体" w:hAnsi="宋体" w:cs="宋体"/>
          <w:sz w:val="72"/>
          <w:szCs w:val="72"/>
        </w:rPr>
      </w:pPr>
      <w:r>
        <w:rPr>
          <w:rFonts w:hint="eastAsia" w:ascii="宋体" w:hAnsi="宋体" w:cs="宋体"/>
          <w:sz w:val="72"/>
          <w:szCs w:val="72"/>
        </w:rPr>
        <w:t>招标文件</w:t>
      </w:r>
    </w:p>
    <w:p w14:paraId="2A3C624C">
      <w:pPr>
        <w:jc w:val="center"/>
        <w:rPr>
          <w:rFonts w:ascii="宋体" w:hAnsi="宋体"/>
          <w:sz w:val="48"/>
          <w:szCs w:val="48"/>
        </w:rPr>
      </w:pPr>
    </w:p>
    <w:p w14:paraId="6993BE58">
      <w:pPr>
        <w:jc w:val="center"/>
        <w:rPr>
          <w:rFonts w:ascii="宋体" w:hAnsi="宋体"/>
          <w:sz w:val="48"/>
          <w:szCs w:val="48"/>
        </w:rPr>
      </w:pPr>
    </w:p>
    <w:p w14:paraId="63FA33C5">
      <w:pPr>
        <w:widowControl/>
        <w:spacing w:line="360" w:lineRule="auto"/>
        <w:jc w:val="center"/>
        <w:rPr>
          <w:rFonts w:ascii="宋体" w:hAnsi="宋体" w:cs="宋体"/>
          <w:b/>
          <w:bCs/>
          <w:kern w:val="0"/>
          <w:sz w:val="32"/>
          <w:szCs w:val="32"/>
          <w:u w:val="single"/>
        </w:rPr>
      </w:pPr>
      <w:r>
        <w:rPr>
          <w:rFonts w:hint="eastAsia" w:ascii="宋体" w:hAnsi="宋体" w:cs="宋体"/>
          <w:b/>
          <w:bCs/>
          <w:kern w:val="0"/>
          <w:sz w:val="32"/>
          <w:szCs w:val="32"/>
        </w:rPr>
        <w:t>项目编号：</w:t>
      </w:r>
      <w:r>
        <w:rPr>
          <w:rFonts w:hint="eastAsia" w:ascii="宋体" w:hAnsi="宋体" w:cs="宋体"/>
          <w:b/>
          <w:bCs/>
          <w:kern w:val="0"/>
          <w:sz w:val="32"/>
          <w:szCs w:val="32"/>
          <w:highlight w:val="yellow"/>
        </w:rPr>
        <w:t>FSCZB2025100022</w:t>
      </w:r>
    </w:p>
    <w:p w14:paraId="10A10BCC">
      <w:pPr>
        <w:jc w:val="center"/>
        <w:rPr>
          <w:rFonts w:ascii="宋体" w:hAnsi="宋体"/>
          <w:sz w:val="48"/>
          <w:szCs w:val="48"/>
        </w:rPr>
      </w:pPr>
    </w:p>
    <w:p w14:paraId="0D4E54EC">
      <w:pPr>
        <w:jc w:val="center"/>
        <w:rPr>
          <w:rFonts w:ascii="宋体" w:hAnsi="宋体"/>
          <w:sz w:val="48"/>
          <w:szCs w:val="48"/>
        </w:rPr>
      </w:pPr>
    </w:p>
    <w:p w14:paraId="111CA3F9">
      <w:pPr>
        <w:jc w:val="center"/>
        <w:rPr>
          <w:rFonts w:ascii="宋体" w:hAnsi="宋体"/>
          <w:sz w:val="28"/>
          <w:szCs w:val="28"/>
        </w:rPr>
      </w:pPr>
    </w:p>
    <w:p w14:paraId="12CB50D1">
      <w:pPr>
        <w:jc w:val="center"/>
        <w:rPr>
          <w:rFonts w:ascii="宋体" w:hAnsi="宋体"/>
          <w:sz w:val="28"/>
          <w:szCs w:val="28"/>
        </w:rPr>
      </w:pPr>
    </w:p>
    <w:p w14:paraId="1CE80EBC">
      <w:pPr>
        <w:jc w:val="center"/>
        <w:rPr>
          <w:rFonts w:ascii="宋体" w:hAnsi="宋体"/>
          <w:sz w:val="28"/>
          <w:szCs w:val="28"/>
        </w:rPr>
      </w:pPr>
      <w:r>
        <w:rPr>
          <w:rFonts w:hint="eastAsia" w:ascii="宋体" w:hAnsi="宋体"/>
          <w:sz w:val="28"/>
          <w:szCs w:val="28"/>
        </w:rPr>
        <w:t>招 标 人：中国重汽集团</w:t>
      </w:r>
      <w:r>
        <w:rPr>
          <w:rFonts w:hint="eastAsia" w:ascii="宋体" w:hAnsi="宋体"/>
          <w:sz w:val="28"/>
          <w:szCs w:val="28"/>
          <w:highlight w:val="yellow"/>
          <w:u w:val="single"/>
          <w:lang w:val="en-US" w:eastAsia="zh-CN"/>
        </w:rPr>
        <w:t>济南动力</w:t>
      </w:r>
      <w:r>
        <w:rPr>
          <w:rFonts w:hint="eastAsia" w:ascii="宋体" w:hAnsi="宋体"/>
          <w:sz w:val="28"/>
          <w:szCs w:val="28"/>
        </w:rPr>
        <w:t>有限公司</w:t>
      </w:r>
    </w:p>
    <w:p w14:paraId="0D8A0D9A">
      <w:pPr>
        <w:jc w:val="center"/>
        <w:rPr>
          <w:rFonts w:ascii="宋体" w:hAnsi="宋体"/>
          <w:sz w:val="28"/>
          <w:szCs w:val="28"/>
        </w:rPr>
      </w:pPr>
    </w:p>
    <w:p w14:paraId="0438957B">
      <w:pPr>
        <w:jc w:val="center"/>
        <w:rPr>
          <w:rFonts w:ascii="宋体" w:hAnsi="宋体"/>
          <w:sz w:val="28"/>
          <w:szCs w:val="28"/>
          <w:u w:val="single"/>
        </w:rPr>
      </w:pPr>
      <w:r>
        <w:rPr>
          <w:rFonts w:hint="eastAsia" w:ascii="宋体" w:hAnsi="宋体"/>
          <w:sz w:val="28"/>
          <w:szCs w:val="28"/>
          <w:u w:val="single"/>
        </w:rPr>
        <w:t>20</w:t>
      </w:r>
      <w:r>
        <w:rPr>
          <w:rFonts w:hint="eastAsia" w:ascii="宋体" w:hAnsi="宋体"/>
          <w:sz w:val="28"/>
          <w:szCs w:val="28"/>
          <w:highlight w:val="yellow"/>
          <w:u w:val="single"/>
          <w:lang w:val="en-US" w:eastAsia="zh-CN"/>
        </w:rPr>
        <w:t>25</w:t>
      </w:r>
      <w:r>
        <w:rPr>
          <w:rFonts w:hint="eastAsia" w:ascii="宋体" w:hAnsi="宋体"/>
          <w:sz w:val="28"/>
          <w:szCs w:val="28"/>
          <w:u w:val="single"/>
        </w:rPr>
        <w:t>年</w:t>
      </w:r>
      <w:r>
        <w:rPr>
          <w:rFonts w:hint="eastAsia" w:ascii="宋体" w:hAnsi="宋体"/>
          <w:sz w:val="28"/>
          <w:szCs w:val="28"/>
          <w:highlight w:val="yellow"/>
          <w:u w:val="single"/>
          <w:lang w:val="en-US" w:eastAsia="zh-CN"/>
        </w:rPr>
        <w:t>10</w:t>
      </w:r>
      <w:r>
        <w:rPr>
          <w:rFonts w:hint="eastAsia" w:ascii="宋体" w:hAnsi="宋体"/>
          <w:sz w:val="28"/>
          <w:szCs w:val="28"/>
          <w:u w:val="single"/>
        </w:rPr>
        <w:t>月</w:t>
      </w:r>
    </w:p>
    <w:p w14:paraId="09CB3C92">
      <w:pPr>
        <w:spacing w:line="480" w:lineRule="auto"/>
        <w:jc w:val="center"/>
        <w:rPr>
          <w:rFonts w:ascii="宋体" w:hAnsi="宋体"/>
          <w:b/>
          <w:bCs/>
          <w:sz w:val="48"/>
          <w:szCs w:val="48"/>
        </w:rPr>
      </w:pPr>
    </w:p>
    <w:p w14:paraId="2E11C4D8">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68"/>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46B5AC1E">
          <w:pPr>
            <w:pStyle w:val="20"/>
            <w:tabs>
              <w:tab w:val="right" w:leader="middle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_Toc7104 </w:instrText>
          </w:r>
          <w:r>
            <w:rPr>
              <w:rFonts w:hint="eastAsia" w:ascii="Calibri" w:hAnsi="Calibri"/>
              <w:bCs/>
              <w:kern w:val="44"/>
              <w:szCs w:val="44"/>
            </w:rPr>
            <w:fldChar w:fldCharType="separate"/>
          </w:r>
          <w:r>
            <w:rPr>
              <w:rFonts w:hint="eastAsia"/>
            </w:rPr>
            <w:t>招标公告</w:t>
          </w:r>
          <w:r>
            <w:tab/>
          </w:r>
          <w:r>
            <w:fldChar w:fldCharType="begin"/>
          </w:r>
          <w:r>
            <w:instrText xml:space="preserve"> PAGEREF _Toc7104 \h </w:instrText>
          </w:r>
          <w:r>
            <w:fldChar w:fldCharType="separate"/>
          </w:r>
          <w:r>
            <w:t>- 1 -</w:t>
          </w:r>
          <w:r>
            <w:fldChar w:fldCharType="end"/>
          </w:r>
          <w:r>
            <w:rPr>
              <w:rFonts w:hint="eastAsia" w:ascii="Calibri" w:hAnsi="Calibri"/>
              <w:bCs/>
              <w:kern w:val="44"/>
              <w:szCs w:val="44"/>
            </w:rPr>
            <w:fldChar w:fldCharType="end"/>
          </w:r>
        </w:p>
        <w:p w14:paraId="3718B9B5">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_Toc7753 </w:instrText>
          </w:r>
          <w:r>
            <w:rPr>
              <w:rFonts w:hint="eastAsia" w:ascii="Calibri" w:hAnsi="Calibri" w:eastAsia="宋体" w:cs="Times New Roman"/>
              <w:bCs/>
              <w:kern w:val="44"/>
              <w:szCs w:val="44"/>
            </w:rPr>
            <w:fldChar w:fldCharType="separate"/>
          </w:r>
          <w:r>
            <w:rPr>
              <w:rFonts w:hint="eastAsia"/>
            </w:rPr>
            <w:t>第一部分  投标人须知</w:t>
          </w:r>
          <w:r>
            <w:tab/>
          </w:r>
          <w:r>
            <w:fldChar w:fldCharType="begin"/>
          </w:r>
          <w:r>
            <w:instrText xml:space="preserve"> PAGEREF _Toc7753 \h </w:instrText>
          </w:r>
          <w:r>
            <w:fldChar w:fldCharType="separate"/>
          </w:r>
          <w:r>
            <w:t>- 2 -</w:t>
          </w:r>
          <w:r>
            <w:fldChar w:fldCharType="end"/>
          </w:r>
          <w:r>
            <w:rPr>
              <w:rFonts w:hint="eastAsia" w:ascii="Calibri" w:hAnsi="Calibri" w:eastAsia="宋体" w:cs="Times New Roman"/>
              <w:bCs/>
              <w:kern w:val="44"/>
              <w:szCs w:val="44"/>
            </w:rPr>
            <w:fldChar w:fldCharType="end"/>
          </w:r>
        </w:p>
        <w:p w14:paraId="4D6E9C52">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_Toc1910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技术标书</w:t>
          </w:r>
          <w:r>
            <w:tab/>
          </w:r>
          <w:r>
            <w:fldChar w:fldCharType="begin"/>
          </w:r>
          <w:r>
            <w:instrText xml:space="preserve"> PAGEREF _Toc1910 \h </w:instrText>
          </w:r>
          <w:r>
            <w:fldChar w:fldCharType="separate"/>
          </w:r>
          <w:r>
            <w:t>- 8 -</w:t>
          </w:r>
          <w:r>
            <w:fldChar w:fldCharType="end"/>
          </w:r>
          <w:r>
            <w:rPr>
              <w:rFonts w:hint="eastAsia" w:ascii="Calibri" w:hAnsi="Calibri" w:eastAsia="宋体" w:cs="Times New Roman"/>
              <w:bCs/>
              <w:kern w:val="44"/>
              <w:szCs w:val="44"/>
            </w:rPr>
            <w:fldChar w:fldCharType="end"/>
          </w:r>
        </w:p>
        <w:p w14:paraId="5D6BEB3E">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_Toc20595 </w:instrText>
          </w:r>
          <w:r>
            <w:rPr>
              <w:rFonts w:hint="eastAsia" w:ascii="Calibri" w:hAnsi="Calibri" w:eastAsia="宋体" w:cs="Times New Roman"/>
              <w:bCs/>
              <w:kern w:val="44"/>
              <w:szCs w:val="44"/>
            </w:rPr>
            <w:fldChar w:fldCharType="separate"/>
          </w:r>
          <w:r>
            <w:rPr>
              <w:rFonts w:hint="eastAsia"/>
            </w:rPr>
            <w:t>第三部分　合同主要条款</w:t>
          </w:r>
          <w:r>
            <w:tab/>
          </w:r>
          <w:r>
            <w:fldChar w:fldCharType="begin"/>
          </w:r>
          <w:r>
            <w:instrText xml:space="preserve"> PAGEREF _Toc20595 \h </w:instrText>
          </w:r>
          <w:r>
            <w:fldChar w:fldCharType="separate"/>
          </w:r>
          <w:r>
            <w:t>- 8 -</w:t>
          </w:r>
          <w:r>
            <w:fldChar w:fldCharType="end"/>
          </w:r>
          <w:r>
            <w:rPr>
              <w:rFonts w:hint="eastAsia" w:ascii="Calibri" w:hAnsi="Calibri" w:eastAsia="宋体" w:cs="Times New Roman"/>
              <w:bCs/>
              <w:kern w:val="44"/>
              <w:szCs w:val="44"/>
            </w:rPr>
            <w:fldChar w:fldCharType="end"/>
          </w:r>
        </w:p>
        <w:p w14:paraId="7691DBF9">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_Toc5925 </w:instrText>
          </w:r>
          <w:r>
            <w:rPr>
              <w:rFonts w:hint="eastAsia" w:ascii="Calibri" w:hAnsi="Calibri" w:eastAsia="宋体" w:cs="Times New Roman"/>
              <w:bCs/>
              <w:kern w:val="44"/>
              <w:szCs w:val="44"/>
            </w:rPr>
            <w:fldChar w:fldCharType="separate"/>
          </w:r>
          <w:r>
            <w:rPr>
              <w:rFonts w:hint="eastAsia"/>
            </w:rPr>
            <w:t>第四部分　</w:t>
          </w:r>
          <w:r>
            <w:rPr>
              <w:rFonts w:hint="eastAsia"/>
              <w:lang w:val="en-US" w:eastAsia="zh-CN"/>
            </w:rPr>
            <w:t>投标文件附件</w:t>
          </w:r>
          <w:r>
            <w:tab/>
          </w:r>
          <w:r>
            <w:fldChar w:fldCharType="begin"/>
          </w:r>
          <w:r>
            <w:instrText xml:space="preserve"> PAGEREF _Toc5925 \h </w:instrText>
          </w:r>
          <w:r>
            <w:fldChar w:fldCharType="separate"/>
          </w:r>
          <w:r>
            <w:t>- 9 -</w:t>
          </w:r>
          <w:r>
            <w:fldChar w:fldCharType="end"/>
          </w:r>
          <w:r>
            <w:rPr>
              <w:rFonts w:hint="eastAsia" w:ascii="Calibri" w:hAnsi="Calibri" w:eastAsia="宋体" w:cs="Times New Roman"/>
              <w:bCs/>
              <w:kern w:val="44"/>
              <w:szCs w:val="44"/>
            </w:rPr>
            <w:fldChar w:fldCharType="end"/>
          </w:r>
        </w:p>
        <w:p w14:paraId="6617A57C">
          <w:pPr>
            <w:pStyle w:val="20"/>
          </w:pPr>
          <w:r>
            <w:rPr>
              <w:rFonts w:hint="eastAsia" w:ascii="Calibri" w:hAnsi="Calibri" w:eastAsia="宋体" w:cs="Times New Roman"/>
              <w:bCs/>
              <w:kern w:val="44"/>
              <w:szCs w:val="44"/>
            </w:rPr>
            <w:fldChar w:fldCharType="end"/>
          </w:r>
        </w:p>
      </w:sdtContent>
    </w:sdt>
    <w:p w14:paraId="582BF911">
      <w:pPr>
        <w:pStyle w:val="14"/>
        <w:tabs>
          <w:tab w:val="left" w:pos="2940"/>
        </w:tabs>
        <w:spacing w:line="360" w:lineRule="auto"/>
      </w:pPr>
      <w:r>
        <w:tab/>
      </w:r>
    </w:p>
    <w:p w14:paraId="29FEE1FC">
      <w:pPr>
        <w:pStyle w:val="14"/>
        <w:spacing w:line="360" w:lineRule="auto"/>
        <w:jc w:val="center"/>
      </w:pPr>
    </w:p>
    <w:p w14:paraId="1A6E7B1A">
      <w:pPr>
        <w:pStyle w:val="14"/>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0230EEDA">
      <w:pPr>
        <w:pStyle w:val="71"/>
      </w:pPr>
      <w:bookmarkStart w:id="0" w:name="_Toc47976587"/>
      <w:bookmarkStart w:id="1" w:name="_Toc7104"/>
      <w:r>
        <w:rPr>
          <w:rFonts w:hint="eastAsia"/>
        </w:rPr>
        <w:t>招标公告</w:t>
      </w:r>
      <w:bookmarkEnd w:id="0"/>
      <w:bookmarkEnd w:id="1"/>
    </w:p>
    <w:p w14:paraId="5953C7BF">
      <w:pPr>
        <w:pStyle w:val="71"/>
        <w:rPr>
          <w:rFonts w:hint="eastAsia"/>
          <w:sz w:val="28"/>
        </w:rPr>
      </w:pPr>
      <w:bookmarkStart w:id="2" w:name="_Toc32474"/>
      <w:r>
        <w:rPr>
          <w:rFonts w:hint="eastAsia"/>
          <w:sz w:val="28"/>
        </w:rPr>
        <w:t>2025年危险废物处置项目招标公告</w:t>
      </w:r>
      <w:bookmarkEnd w:id="2"/>
    </w:p>
    <w:p w14:paraId="3B867C39">
      <w:pPr>
        <w:pStyle w:val="71"/>
        <w:rPr>
          <w:rFonts w:hint="eastAsia"/>
        </w:rPr>
      </w:pPr>
    </w:p>
    <w:p w14:paraId="2A47C58A">
      <w:pPr>
        <w:pStyle w:val="72"/>
      </w:pPr>
      <w:bookmarkStart w:id="3" w:name="_Toc47976588"/>
      <w:r>
        <w:rPr>
          <w:rFonts w:hint="eastAsia"/>
        </w:rPr>
        <w:t>项目名称及项目编号</w:t>
      </w:r>
      <w:bookmarkEnd w:id="3"/>
    </w:p>
    <w:p w14:paraId="1E71F649">
      <w:pPr>
        <w:pStyle w:val="73"/>
      </w:pPr>
      <w:r>
        <w:rPr>
          <w:rFonts w:hint="eastAsia"/>
        </w:rPr>
        <w:t>项目名称：</w:t>
      </w:r>
      <w:r>
        <w:rPr>
          <w:rFonts w:hint="eastAsia"/>
          <w:highlight w:val="yellow"/>
        </w:rPr>
        <w:t>2025年危险废物处置项目</w:t>
      </w:r>
    </w:p>
    <w:p w14:paraId="15020D03">
      <w:pPr>
        <w:pStyle w:val="73"/>
      </w:pPr>
      <w:r>
        <w:rPr>
          <w:rFonts w:hint="eastAsia"/>
        </w:rPr>
        <w:t>项目编号：</w:t>
      </w:r>
      <w:r>
        <w:rPr>
          <w:rFonts w:hint="eastAsia"/>
          <w:highlight w:val="yellow"/>
        </w:rPr>
        <w:t>FSCZB2025100022</w:t>
      </w:r>
    </w:p>
    <w:p w14:paraId="0AB9F24D">
      <w:pPr>
        <w:pStyle w:val="72"/>
      </w:pPr>
      <w:bookmarkStart w:id="4" w:name="_Toc47976589"/>
      <w:r>
        <w:rPr>
          <w:rFonts w:hint="eastAsia"/>
          <w:lang w:val="en-US" w:eastAsia="zh-CN"/>
        </w:rPr>
        <w:t>项目概况</w:t>
      </w:r>
      <w:r>
        <w:rPr>
          <w:rFonts w:hint="eastAsia"/>
        </w:rPr>
        <w:t>及招标形式</w:t>
      </w:r>
      <w:bookmarkEnd w:id="4"/>
    </w:p>
    <w:p w14:paraId="1A912F05">
      <w:pPr>
        <w:pStyle w:val="73"/>
        <w:numPr>
          <w:ilvl w:val="0"/>
          <w:numId w:val="9"/>
        </w:numPr>
      </w:pPr>
      <w:r>
        <w:rPr>
          <w:rFonts w:hint="eastAsia"/>
        </w:rPr>
        <w:t>招标内容：</w:t>
      </w:r>
    </w:p>
    <w:p w14:paraId="471063F3">
      <w:pPr>
        <w:pStyle w:val="14"/>
        <w:numPr>
          <w:ilvl w:val="0"/>
          <w:numId w:val="0"/>
        </w:numPr>
        <w:spacing w:line="360" w:lineRule="auto"/>
        <w:ind w:firstLine="420" w:firstLineChars="200"/>
        <w:jc w:val="left"/>
        <w:rPr>
          <w:rFonts w:hint="eastAsia" w:ascii="仿宋_GB2312" w:hAnsi="仿宋" w:eastAsia="仿宋_GB2312" w:cs="Times New Roman"/>
          <w:kern w:val="2"/>
          <w:sz w:val="32"/>
          <w:szCs w:val="32"/>
          <w:highlight w:val="none"/>
          <w:lang w:val="en-US" w:eastAsia="zh-CN" w:bidi="ar-SA"/>
        </w:rPr>
      </w:pPr>
      <w:r>
        <w:rPr>
          <w:rFonts w:hint="eastAsia" w:ascii="宋体" w:hAnsi="宋体" w:eastAsia="宋体" w:cs="宋体"/>
          <w:kern w:val="2"/>
          <w:sz w:val="21"/>
          <w:szCs w:val="21"/>
          <w:highlight w:val="none"/>
          <w:lang w:val="en-US" w:eastAsia="zh-CN" w:bidi="ar-SA"/>
        </w:rPr>
        <w:t>公司属于汽车整车制造业，为重庆市及国家危险废物重点管理单位，在企业日常生产过程中将持续产生危险废物，产生的危险废物种类有废溶剂、漆渣、废水处理污泥等，本项目危险废物种类等具体情况见表1。</w:t>
      </w:r>
    </w:p>
    <w:p w14:paraId="1D1F9EBC">
      <w:pPr>
        <w:pStyle w:val="14"/>
        <w:numPr>
          <w:ilvl w:val="0"/>
          <w:numId w:val="0"/>
        </w:numPr>
        <w:spacing w:line="360" w:lineRule="auto"/>
        <w:ind w:firstLine="480" w:firstLineChars="200"/>
        <w:jc w:val="left"/>
        <w:rPr>
          <w:rFonts w:hint="default" w:hAnsi="宋体"/>
          <w:sz w:val="24"/>
          <w:szCs w:val="24"/>
          <w:highlight w:val="none"/>
          <w:lang w:val="en-US" w:eastAsia="zh-CN"/>
        </w:rPr>
      </w:pPr>
      <w:r>
        <w:rPr>
          <w:rFonts w:hint="eastAsia" w:hAnsi="宋体"/>
          <w:sz w:val="24"/>
          <w:szCs w:val="24"/>
          <w:highlight w:val="none"/>
          <w:lang w:val="en-US" w:eastAsia="zh-CN"/>
        </w:rPr>
        <w:t>表1        2025年危险废物处置项目危险废物产生情况一览表</w:t>
      </w:r>
    </w:p>
    <w:tbl>
      <w:tblPr>
        <w:tblStyle w:val="30"/>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2"/>
        <w:gridCol w:w="2248"/>
        <w:gridCol w:w="2376"/>
        <w:gridCol w:w="1414"/>
        <w:gridCol w:w="1306"/>
        <w:gridCol w:w="1306"/>
      </w:tblGrid>
      <w:tr w14:paraId="299ED1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341" w:type="pct"/>
            <w:noWrap w:val="0"/>
            <w:vAlign w:val="center"/>
          </w:tcPr>
          <w:p w14:paraId="269CB98B">
            <w:pPr>
              <w:widowControl/>
              <w:adjustRightInd w:val="0"/>
              <w:snapToGrid w:val="0"/>
              <w:jc w:val="left"/>
              <w:textAlignment w:val="center"/>
              <w:rPr>
                <w:rFonts w:hint="eastAsia" w:ascii="宋体" w:hAnsi="宋体" w:cs="宋体"/>
                <w:b/>
                <w:bCs/>
                <w:color w:val="000000"/>
                <w:szCs w:val="21"/>
                <w:highlight w:val="none"/>
              </w:rPr>
            </w:pPr>
            <w:r>
              <w:rPr>
                <w:rFonts w:hint="eastAsia" w:ascii="宋体" w:hAnsi="宋体" w:cs="宋体"/>
                <w:b/>
                <w:bCs/>
                <w:color w:val="000000"/>
                <w:kern w:val="0"/>
                <w:szCs w:val="21"/>
                <w:highlight w:val="none"/>
                <w:lang w:bidi="ar"/>
              </w:rPr>
              <w:t>序号</w:t>
            </w:r>
          </w:p>
        </w:tc>
        <w:tc>
          <w:tcPr>
            <w:tcW w:w="1210" w:type="pct"/>
            <w:noWrap w:val="0"/>
            <w:vAlign w:val="center"/>
          </w:tcPr>
          <w:p w14:paraId="78E89764">
            <w:pPr>
              <w:widowControl/>
              <w:adjustRightInd w:val="0"/>
              <w:snapToGrid w:val="0"/>
              <w:jc w:val="left"/>
              <w:textAlignment w:val="center"/>
              <w:rPr>
                <w:rFonts w:hint="eastAsia" w:ascii="宋体" w:hAnsi="宋体" w:cs="宋体"/>
                <w:b/>
                <w:bCs/>
                <w:color w:val="000000"/>
                <w:szCs w:val="21"/>
                <w:highlight w:val="none"/>
              </w:rPr>
            </w:pPr>
            <w:r>
              <w:rPr>
                <w:rFonts w:hint="eastAsia" w:ascii="宋体" w:hAnsi="宋体" w:cs="宋体"/>
                <w:b/>
                <w:bCs/>
                <w:color w:val="000000"/>
                <w:kern w:val="0"/>
                <w:szCs w:val="21"/>
                <w:highlight w:val="none"/>
                <w:lang w:bidi="ar"/>
              </w:rPr>
              <w:t>危险废物名称</w:t>
            </w:r>
          </w:p>
        </w:tc>
        <w:tc>
          <w:tcPr>
            <w:tcW w:w="1279" w:type="pct"/>
            <w:noWrap w:val="0"/>
            <w:vAlign w:val="center"/>
          </w:tcPr>
          <w:p w14:paraId="097699F2">
            <w:pPr>
              <w:widowControl/>
              <w:adjustRightInd w:val="0"/>
              <w:snapToGrid w:val="0"/>
              <w:jc w:val="left"/>
              <w:textAlignment w:val="center"/>
              <w:rPr>
                <w:rFonts w:hint="eastAsia" w:ascii="宋体" w:hAnsi="宋体" w:cs="宋体"/>
                <w:b/>
                <w:bCs/>
                <w:color w:val="000000"/>
                <w:szCs w:val="21"/>
                <w:highlight w:val="none"/>
              </w:rPr>
            </w:pPr>
            <w:r>
              <w:rPr>
                <w:rFonts w:hint="eastAsia" w:ascii="宋体" w:hAnsi="宋体" w:cs="宋体"/>
                <w:b/>
                <w:bCs/>
                <w:color w:val="000000"/>
                <w:kern w:val="0"/>
                <w:szCs w:val="21"/>
                <w:highlight w:val="none"/>
                <w:lang w:bidi="ar"/>
              </w:rPr>
              <w:t>危险废物类别</w:t>
            </w:r>
          </w:p>
        </w:tc>
        <w:tc>
          <w:tcPr>
            <w:tcW w:w="761" w:type="pct"/>
            <w:noWrap w:val="0"/>
            <w:vAlign w:val="center"/>
          </w:tcPr>
          <w:p w14:paraId="169C9548">
            <w:pPr>
              <w:widowControl/>
              <w:adjustRightInd w:val="0"/>
              <w:snapToGrid w:val="0"/>
              <w:jc w:val="left"/>
              <w:textAlignment w:val="center"/>
              <w:rPr>
                <w:rFonts w:hint="eastAsia" w:ascii="宋体" w:hAnsi="宋体" w:cs="宋体"/>
                <w:b/>
                <w:bCs/>
                <w:color w:val="000000"/>
                <w:szCs w:val="21"/>
                <w:highlight w:val="none"/>
              </w:rPr>
            </w:pPr>
            <w:r>
              <w:rPr>
                <w:rFonts w:hint="eastAsia" w:ascii="宋体" w:hAnsi="宋体" w:cs="宋体"/>
                <w:b/>
                <w:bCs/>
                <w:color w:val="000000"/>
                <w:kern w:val="0"/>
                <w:szCs w:val="21"/>
                <w:highlight w:val="none"/>
                <w:lang w:bidi="ar"/>
              </w:rPr>
              <w:t>危险废物代码</w:t>
            </w:r>
          </w:p>
        </w:tc>
        <w:tc>
          <w:tcPr>
            <w:tcW w:w="703" w:type="pct"/>
            <w:noWrap w:val="0"/>
            <w:vAlign w:val="center"/>
          </w:tcPr>
          <w:p w14:paraId="3B30D084">
            <w:pPr>
              <w:widowControl/>
              <w:adjustRightInd w:val="0"/>
              <w:snapToGrid w:val="0"/>
              <w:jc w:val="left"/>
              <w:textAlignment w:val="center"/>
              <w:rPr>
                <w:rFonts w:hint="default" w:ascii="宋体" w:hAnsi="宋体" w:cs="宋体"/>
                <w:b/>
                <w:bCs/>
                <w:color w:val="000000"/>
                <w:kern w:val="0"/>
                <w:szCs w:val="21"/>
                <w:highlight w:val="none"/>
                <w:lang w:val="en-US" w:eastAsia="zh-CN" w:bidi="ar"/>
              </w:rPr>
            </w:pPr>
            <w:r>
              <w:rPr>
                <w:rFonts w:hint="eastAsia" w:ascii="宋体" w:hAnsi="宋体" w:cs="宋体"/>
                <w:b/>
                <w:bCs/>
                <w:color w:val="000000"/>
                <w:kern w:val="0"/>
                <w:szCs w:val="21"/>
                <w:highlight w:val="none"/>
                <w:lang w:val="en-US" w:eastAsia="zh-CN" w:bidi="ar"/>
              </w:rPr>
              <w:t>危险废物特性</w:t>
            </w:r>
          </w:p>
        </w:tc>
        <w:tc>
          <w:tcPr>
            <w:tcW w:w="703" w:type="pct"/>
            <w:noWrap w:val="0"/>
            <w:vAlign w:val="center"/>
          </w:tcPr>
          <w:p w14:paraId="64B65B88">
            <w:pPr>
              <w:widowControl/>
              <w:adjustRightInd w:val="0"/>
              <w:snapToGrid w:val="0"/>
              <w:jc w:val="left"/>
              <w:textAlignment w:val="center"/>
              <w:rPr>
                <w:rFonts w:hint="default" w:ascii="宋体" w:hAnsi="宋体" w:eastAsia="宋体" w:cs="宋体"/>
                <w:b/>
                <w:bCs/>
                <w:color w:val="000000"/>
                <w:kern w:val="0"/>
                <w:szCs w:val="21"/>
                <w:highlight w:val="none"/>
                <w:lang w:val="en-US" w:eastAsia="zh-CN" w:bidi="ar"/>
              </w:rPr>
            </w:pPr>
            <w:r>
              <w:rPr>
                <w:rFonts w:hint="eastAsia" w:ascii="宋体" w:hAnsi="宋体" w:cs="宋体"/>
                <w:b/>
                <w:bCs/>
                <w:color w:val="000000"/>
                <w:kern w:val="0"/>
                <w:szCs w:val="21"/>
                <w:highlight w:val="none"/>
                <w:lang w:val="en-US" w:eastAsia="zh-CN" w:bidi="ar"/>
              </w:rPr>
              <w:t>2025年预估产量，t</w:t>
            </w:r>
          </w:p>
        </w:tc>
      </w:tr>
      <w:tr w14:paraId="11994B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341" w:type="pct"/>
            <w:noWrap w:val="0"/>
            <w:vAlign w:val="center"/>
          </w:tcPr>
          <w:p w14:paraId="38C1C6AA">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1</w:t>
            </w:r>
          </w:p>
        </w:tc>
        <w:tc>
          <w:tcPr>
            <w:tcW w:w="1210" w:type="pct"/>
            <w:noWrap w:val="0"/>
            <w:vAlign w:val="center"/>
          </w:tcPr>
          <w:p w14:paraId="363E6A1F">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废溶剂</w:t>
            </w:r>
          </w:p>
        </w:tc>
        <w:tc>
          <w:tcPr>
            <w:tcW w:w="1279" w:type="pct"/>
            <w:noWrap w:val="0"/>
            <w:vAlign w:val="center"/>
          </w:tcPr>
          <w:p w14:paraId="7F13C08E">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HW06废有机溶剂</w:t>
            </w:r>
          </w:p>
        </w:tc>
        <w:tc>
          <w:tcPr>
            <w:tcW w:w="761" w:type="pct"/>
            <w:noWrap w:val="0"/>
            <w:vAlign w:val="center"/>
          </w:tcPr>
          <w:p w14:paraId="3A3624BA">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900-402-06</w:t>
            </w:r>
          </w:p>
        </w:tc>
        <w:tc>
          <w:tcPr>
            <w:tcW w:w="703" w:type="pct"/>
            <w:noWrap w:val="0"/>
            <w:vAlign w:val="center"/>
          </w:tcPr>
          <w:p w14:paraId="2BCF0137">
            <w:pPr>
              <w:widowControl/>
              <w:adjustRightInd w:val="0"/>
              <w:snapToGrid w:val="0"/>
              <w:jc w:val="left"/>
              <w:textAlignment w:val="center"/>
              <w:rPr>
                <w:rFonts w:hint="eastAsia" w:ascii="宋体" w:hAnsi="宋体" w:cs="宋体"/>
                <w:color w:val="000000"/>
                <w:kern w:val="0"/>
                <w:szCs w:val="21"/>
                <w:highlight w:val="none"/>
                <w:lang w:val="en-US" w:eastAsia="zh-CN" w:bidi="ar"/>
              </w:rPr>
            </w:pPr>
            <w:r>
              <w:rPr>
                <w:rFonts w:hint="eastAsia" w:ascii="宋体" w:hAnsi="宋体" w:cs="宋体"/>
                <w:color w:val="000000"/>
                <w:kern w:val="0"/>
                <w:szCs w:val="21"/>
                <w:highlight w:val="none"/>
                <w:lang w:val="en-US" w:eastAsia="zh-CN" w:bidi="ar"/>
              </w:rPr>
              <w:t>T，I，R</w:t>
            </w:r>
          </w:p>
        </w:tc>
        <w:tc>
          <w:tcPr>
            <w:tcW w:w="703" w:type="pct"/>
            <w:noWrap w:val="0"/>
            <w:vAlign w:val="center"/>
          </w:tcPr>
          <w:p w14:paraId="7001DF2E">
            <w:pPr>
              <w:widowControl/>
              <w:adjustRightInd w:val="0"/>
              <w:snapToGrid w:val="0"/>
              <w:jc w:val="left"/>
              <w:textAlignment w:val="center"/>
              <w:rPr>
                <w:rFonts w:hint="default" w:ascii="宋体" w:hAnsi="宋体" w:eastAsia="宋体" w:cs="宋体"/>
                <w:color w:val="000000"/>
                <w:kern w:val="0"/>
                <w:szCs w:val="21"/>
                <w:highlight w:val="none"/>
                <w:lang w:val="en-US" w:eastAsia="zh-CN" w:bidi="ar"/>
              </w:rPr>
            </w:pPr>
            <w:r>
              <w:rPr>
                <w:rFonts w:hint="eastAsia" w:ascii="宋体" w:hAnsi="宋体" w:cs="宋体"/>
                <w:color w:val="000000"/>
                <w:kern w:val="0"/>
                <w:szCs w:val="21"/>
                <w:highlight w:val="none"/>
                <w:lang w:val="en-US" w:eastAsia="zh-CN" w:bidi="ar"/>
              </w:rPr>
              <w:t>92</w:t>
            </w:r>
          </w:p>
        </w:tc>
      </w:tr>
      <w:tr w14:paraId="46B10C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341" w:type="pct"/>
            <w:noWrap w:val="0"/>
            <w:vAlign w:val="center"/>
          </w:tcPr>
          <w:p w14:paraId="68E4024A">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2</w:t>
            </w:r>
          </w:p>
        </w:tc>
        <w:tc>
          <w:tcPr>
            <w:tcW w:w="1210" w:type="pct"/>
            <w:noWrap w:val="0"/>
            <w:vAlign w:val="center"/>
          </w:tcPr>
          <w:p w14:paraId="572DC6B9">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油水混合物</w:t>
            </w:r>
          </w:p>
        </w:tc>
        <w:tc>
          <w:tcPr>
            <w:tcW w:w="1279" w:type="pct"/>
            <w:noWrap w:val="0"/>
            <w:vAlign w:val="center"/>
          </w:tcPr>
          <w:p w14:paraId="0F8076C9">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HW09油/水、烃/水混合物或乳化液</w:t>
            </w:r>
          </w:p>
        </w:tc>
        <w:tc>
          <w:tcPr>
            <w:tcW w:w="761" w:type="pct"/>
            <w:noWrap w:val="0"/>
            <w:vAlign w:val="center"/>
          </w:tcPr>
          <w:p w14:paraId="6C85CC43">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900-007-09</w:t>
            </w:r>
          </w:p>
        </w:tc>
        <w:tc>
          <w:tcPr>
            <w:tcW w:w="703" w:type="pct"/>
            <w:noWrap w:val="0"/>
            <w:vAlign w:val="center"/>
          </w:tcPr>
          <w:p w14:paraId="5908576E">
            <w:pPr>
              <w:widowControl/>
              <w:adjustRightInd w:val="0"/>
              <w:snapToGrid w:val="0"/>
              <w:jc w:val="left"/>
              <w:textAlignment w:val="center"/>
              <w:rPr>
                <w:rFonts w:hint="eastAsia" w:ascii="宋体" w:hAnsi="宋体" w:cs="宋体"/>
                <w:color w:val="000000"/>
                <w:kern w:val="0"/>
                <w:szCs w:val="21"/>
                <w:highlight w:val="none"/>
                <w:lang w:val="en-US" w:eastAsia="zh-CN" w:bidi="ar"/>
              </w:rPr>
            </w:pPr>
            <w:r>
              <w:rPr>
                <w:rFonts w:hint="eastAsia" w:ascii="宋体" w:hAnsi="宋体" w:cs="宋体"/>
                <w:color w:val="000000"/>
                <w:kern w:val="0"/>
                <w:szCs w:val="21"/>
                <w:highlight w:val="none"/>
                <w:lang w:val="en-US" w:eastAsia="zh-CN" w:bidi="ar"/>
              </w:rPr>
              <w:t>T</w:t>
            </w:r>
          </w:p>
        </w:tc>
        <w:tc>
          <w:tcPr>
            <w:tcW w:w="703" w:type="pct"/>
            <w:noWrap w:val="0"/>
            <w:vAlign w:val="center"/>
          </w:tcPr>
          <w:p w14:paraId="135C2E3B">
            <w:pPr>
              <w:widowControl/>
              <w:adjustRightInd w:val="0"/>
              <w:snapToGrid w:val="0"/>
              <w:jc w:val="left"/>
              <w:textAlignment w:val="center"/>
              <w:rPr>
                <w:rFonts w:hint="eastAsia" w:ascii="宋体" w:hAnsi="宋体" w:eastAsia="宋体" w:cs="宋体"/>
                <w:color w:val="000000"/>
                <w:kern w:val="0"/>
                <w:szCs w:val="21"/>
                <w:highlight w:val="none"/>
                <w:lang w:val="en-US" w:eastAsia="zh-CN" w:bidi="ar"/>
              </w:rPr>
            </w:pPr>
            <w:r>
              <w:rPr>
                <w:rFonts w:hint="eastAsia" w:ascii="宋体" w:hAnsi="宋体" w:cs="宋体"/>
                <w:color w:val="000000"/>
                <w:kern w:val="0"/>
                <w:szCs w:val="21"/>
                <w:highlight w:val="none"/>
                <w:lang w:val="en-US" w:eastAsia="zh-CN" w:bidi="ar"/>
              </w:rPr>
              <w:t>8</w:t>
            </w:r>
          </w:p>
        </w:tc>
      </w:tr>
      <w:tr w14:paraId="05201C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341" w:type="pct"/>
            <w:noWrap w:val="0"/>
            <w:vAlign w:val="center"/>
          </w:tcPr>
          <w:p w14:paraId="792048F0">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3</w:t>
            </w:r>
          </w:p>
        </w:tc>
        <w:tc>
          <w:tcPr>
            <w:tcW w:w="1210" w:type="pct"/>
            <w:noWrap w:val="0"/>
            <w:vAlign w:val="center"/>
          </w:tcPr>
          <w:p w14:paraId="7000E592">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漆渣</w:t>
            </w:r>
          </w:p>
        </w:tc>
        <w:tc>
          <w:tcPr>
            <w:tcW w:w="1279" w:type="pct"/>
            <w:vMerge w:val="restart"/>
            <w:noWrap w:val="0"/>
            <w:vAlign w:val="center"/>
          </w:tcPr>
          <w:p w14:paraId="21CB88F0">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HW12染料、涂料废物</w:t>
            </w:r>
          </w:p>
        </w:tc>
        <w:tc>
          <w:tcPr>
            <w:tcW w:w="761" w:type="pct"/>
            <w:noWrap w:val="0"/>
            <w:vAlign w:val="center"/>
          </w:tcPr>
          <w:p w14:paraId="74950D41">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900-252-12</w:t>
            </w:r>
          </w:p>
        </w:tc>
        <w:tc>
          <w:tcPr>
            <w:tcW w:w="703" w:type="pct"/>
            <w:noWrap w:val="0"/>
            <w:vAlign w:val="center"/>
          </w:tcPr>
          <w:p w14:paraId="28488953">
            <w:pPr>
              <w:widowControl/>
              <w:adjustRightInd w:val="0"/>
              <w:snapToGrid w:val="0"/>
              <w:jc w:val="left"/>
              <w:textAlignment w:val="center"/>
              <w:rPr>
                <w:rFonts w:hint="eastAsia" w:ascii="宋体" w:hAnsi="宋体" w:cs="宋体"/>
                <w:color w:val="000000"/>
                <w:kern w:val="0"/>
                <w:szCs w:val="21"/>
                <w:highlight w:val="none"/>
                <w:lang w:val="en-US" w:eastAsia="zh-CN" w:bidi="ar"/>
              </w:rPr>
            </w:pPr>
            <w:r>
              <w:rPr>
                <w:rFonts w:hint="eastAsia" w:ascii="宋体" w:hAnsi="宋体" w:cs="宋体"/>
                <w:color w:val="000000"/>
                <w:kern w:val="0"/>
                <w:szCs w:val="21"/>
                <w:highlight w:val="none"/>
                <w:lang w:val="en-US" w:eastAsia="zh-CN" w:bidi="ar"/>
              </w:rPr>
              <w:t>T，I</w:t>
            </w:r>
          </w:p>
        </w:tc>
        <w:tc>
          <w:tcPr>
            <w:tcW w:w="703" w:type="pct"/>
            <w:noWrap w:val="0"/>
            <w:vAlign w:val="center"/>
          </w:tcPr>
          <w:p w14:paraId="6191937C">
            <w:pPr>
              <w:widowControl/>
              <w:adjustRightInd w:val="0"/>
              <w:snapToGrid w:val="0"/>
              <w:jc w:val="left"/>
              <w:textAlignment w:val="center"/>
              <w:rPr>
                <w:rFonts w:hint="default" w:ascii="宋体" w:hAnsi="宋体" w:eastAsia="宋体" w:cs="宋体"/>
                <w:color w:val="000000"/>
                <w:kern w:val="0"/>
                <w:szCs w:val="21"/>
                <w:highlight w:val="none"/>
                <w:lang w:val="en-US" w:eastAsia="zh-CN" w:bidi="ar"/>
              </w:rPr>
            </w:pPr>
            <w:r>
              <w:rPr>
                <w:rFonts w:hint="eastAsia" w:ascii="宋体" w:hAnsi="宋体" w:cs="宋体"/>
                <w:color w:val="000000"/>
                <w:kern w:val="0"/>
                <w:szCs w:val="21"/>
                <w:highlight w:val="none"/>
                <w:lang w:val="en-US" w:eastAsia="zh-CN" w:bidi="ar"/>
              </w:rPr>
              <w:t>97</w:t>
            </w:r>
          </w:p>
        </w:tc>
      </w:tr>
      <w:tr w14:paraId="052F2C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341" w:type="pct"/>
            <w:noWrap w:val="0"/>
            <w:vAlign w:val="center"/>
          </w:tcPr>
          <w:p w14:paraId="0CFE192E">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4</w:t>
            </w:r>
          </w:p>
        </w:tc>
        <w:tc>
          <w:tcPr>
            <w:tcW w:w="1210" w:type="pct"/>
            <w:noWrap w:val="0"/>
            <w:vAlign w:val="center"/>
          </w:tcPr>
          <w:p w14:paraId="71838576">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废油漆</w:t>
            </w:r>
          </w:p>
        </w:tc>
        <w:tc>
          <w:tcPr>
            <w:tcW w:w="1279" w:type="pct"/>
            <w:vMerge w:val="continue"/>
            <w:noWrap w:val="0"/>
            <w:vAlign w:val="center"/>
          </w:tcPr>
          <w:p w14:paraId="4505D24E">
            <w:pPr>
              <w:adjustRightInd w:val="0"/>
              <w:snapToGrid w:val="0"/>
              <w:jc w:val="left"/>
              <w:rPr>
                <w:rFonts w:hint="eastAsia" w:ascii="宋体" w:hAnsi="宋体" w:cs="宋体"/>
                <w:color w:val="000000"/>
                <w:szCs w:val="21"/>
                <w:highlight w:val="none"/>
              </w:rPr>
            </w:pPr>
          </w:p>
        </w:tc>
        <w:tc>
          <w:tcPr>
            <w:tcW w:w="761" w:type="pct"/>
            <w:noWrap w:val="0"/>
            <w:vAlign w:val="center"/>
          </w:tcPr>
          <w:p w14:paraId="5FA6B5C4">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900-299-12</w:t>
            </w:r>
          </w:p>
        </w:tc>
        <w:tc>
          <w:tcPr>
            <w:tcW w:w="703" w:type="pct"/>
            <w:noWrap w:val="0"/>
            <w:vAlign w:val="center"/>
          </w:tcPr>
          <w:p w14:paraId="5D449E28">
            <w:pPr>
              <w:widowControl/>
              <w:adjustRightInd w:val="0"/>
              <w:snapToGrid w:val="0"/>
              <w:jc w:val="left"/>
              <w:textAlignment w:val="center"/>
              <w:rPr>
                <w:rFonts w:hint="eastAsia" w:ascii="宋体" w:hAnsi="宋体" w:cs="宋体"/>
                <w:color w:val="000000"/>
                <w:kern w:val="0"/>
                <w:szCs w:val="21"/>
                <w:highlight w:val="none"/>
                <w:lang w:val="en-US" w:eastAsia="zh-CN" w:bidi="ar"/>
              </w:rPr>
            </w:pPr>
            <w:r>
              <w:rPr>
                <w:rFonts w:hint="eastAsia" w:ascii="宋体" w:hAnsi="宋体" w:cs="宋体"/>
                <w:color w:val="000000"/>
                <w:kern w:val="0"/>
                <w:szCs w:val="21"/>
                <w:highlight w:val="none"/>
                <w:lang w:val="en-US" w:eastAsia="zh-CN" w:bidi="ar"/>
              </w:rPr>
              <w:t>T</w:t>
            </w:r>
          </w:p>
        </w:tc>
        <w:tc>
          <w:tcPr>
            <w:tcW w:w="703" w:type="pct"/>
            <w:noWrap w:val="0"/>
            <w:vAlign w:val="center"/>
          </w:tcPr>
          <w:p w14:paraId="383A9374">
            <w:pPr>
              <w:widowControl/>
              <w:adjustRightInd w:val="0"/>
              <w:snapToGrid w:val="0"/>
              <w:jc w:val="left"/>
              <w:textAlignment w:val="center"/>
              <w:rPr>
                <w:rFonts w:hint="eastAsia" w:ascii="宋体" w:hAnsi="宋体" w:eastAsia="宋体" w:cs="宋体"/>
                <w:color w:val="000000"/>
                <w:kern w:val="0"/>
                <w:szCs w:val="21"/>
                <w:highlight w:val="none"/>
                <w:lang w:val="en-US" w:eastAsia="zh-CN" w:bidi="ar"/>
              </w:rPr>
            </w:pPr>
            <w:r>
              <w:rPr>
                <w:rFonts w:hint="eastAsia" w:ascii="宋体" w:hAnsi="宋体" w:cs="宋体"/>
                <w:color w:val="000000"/>
                <w:kern w:val="0"/>
                <w:szCs w:val="21"/>
                <w:highlight w:val="none"/>
                <w:lang w:val="en-US" w:eastAsia="zh-CN" w:bidi="ar"/>
              </w:rPr>
              <w:t>5</w:t>
            </w:r>
          </w:p>
        </w:tc>
      </w:tr>
      <w:tr w14:paraId="36E543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341" w:type="pct"/>
            <w:noWrap/>
            <w:vAlign w:val="center"/>
          </w:tcPr>
          <w:p w14:paraId="2B9CDB16">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5</w:t>
            </w:r>
          </w:p>
        </w:tc>
        <w:tc>
          <w:tcPr>
            <w:tcW w:w="1210" w:type="pct"/>
            <w:noWrap w:val="0"/>
            <w:vAlign w:val="center"/>
          </w:tcPr>
          <w:p w14:paraId="210C8F1A">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废胶</w:t>
            </w:r>
          </w:p>
        </w:tc>
        <w:tc>
          <w:tcPr>
            <w:tcW w:w="1279" w:type="pct"/>
            <w:noWrap w:val="0"/>
            <w:vAlign w:val="center"/>
          </w:tcPr>
          <w:p w14:paraId="23150C39">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HW13有机树脂类废物</w:t>
            </w:r>
          </w:p>
        </w:tc>
        <w:tc>
          <w:tcPr>
            <w:tcW w:w="761" w:type="pct"/>
            <w:noWrap w:val="0"/>
            <w:vAlign w:val="center"/>
          </w:tcPr>
          <w:p w14:paraId="0DFDC51C">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900-014-13</w:t>
            </w:r>
          </w:p>
        </w:tc>
        <w:tc>
          <w:tcPr>
            <w:tcW w:w="703" w:type="pct"/>
            <w:noWrap w:val="0"/>
            <w:vAlign w:val="center"/>
          </w:tcPr>
          <w:p w14:paraId="08B77BA9">
            <w:pPr>
              <w:widowControl/>
              <w:adjustRightInd w:val="0"/>
              <w:snapToGrid w:val="0"/>
              <w:jc w:val="left"/>
              <w:textAlignment w:val="center"/>
              <w:rPr>
                <w:rFonts w:hint="eastAsia" w:ascii="宋体" w:hAnsi="宋体" w:cs="宋体"/>
                <w:color w:val="000000"/>
                <w:kern w:val="0"/>
                <w:szCs w:val="21"/>
                <w:highlight w:val="none"/>
                <w:lang w:val="en-US" w:eastAsia="zh-CN" w:bidi="ar"/>
              </w:rPr>
            </w:pPr>
            <w:r>
              <w:rPr>
                <w:rFonts w:hint="eastAsia" w:ascii="宋体" w:hAnsi="宋体" w:cs="宋体"/>
                <w:color w:val="000000"/>
                <w:kern w:val="0"/>
                <w:szCs w:val="21"/>
                <w:highlight w:val="none"/>
                <w:lang w:val="en-US" w:eastAsia="zh-CN" w:bidi="ar"/>
              </w:rPr>
              <w:t>T</w:t>
            </w:r>
          </w:p>
        </w:tc>
        <w:tc>
          <w:tcPr>
            <w:tcW w:w="703" w:type="pct"/>
            <w:noWrap w:val="0"/>
            <w:vAlign w:val="center"/>
          </w:tcPr>
          <w:p w14:paraId="2AD69B39">
            <w:pPr>
              <w:widowControl/>
              <w:adjustRightInd w:val="0"/>
              <w:snapToGrid w:val="0"/>
              <w:jc w:val="left"/>
              <w:textAlignment w:val="center"/>
              <w:rPr>
                <w:rFonts w:hint="default" w:ascii="宋体" w:hAnsi="宋体" w:eastAsia="宋体" w:cs="宋体"/>
                <w:color w:val="000000"/>
                <w:kern w:val="0"/>
                <w:szCs w:val="21"/>
                <w:highlight w:val="none"/>
                <w:lang w:val="en-US" w:eastAsia="zh-CN" w:bidi="ar"/>
              </w:rPr>
            </w:pPr>
            <w:r>
              <w:rPr>
                <w:rFonts w:hint="eastAsia" w:ascii="宋体" w:hAnsi="宋体" w:cs="宋体"/>
                <w:color w:val="000000"/>
                <w:kern w:val="0"/>
                <w:szCs w:val="21"/>
                <w:highlight w:val="none"/>
                <w:lang w:val="en-US" w:eastAsia="zh-CN" w:bidi="ar"/>
              </w:rPr>
              <w:t>10</w:t>
            </w:r>
          </w:p>
        </w:tc>
      </w:tr>
      <w:tr w14:paraId="0BC07F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341" w:type="pct"/>
            <w:noWrap/>
            <w:vAlign w:val="center"/>
          </w:tcPr>
          <w:p w14:paraId="136F1ABC">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6</w:t>
            </w:r>
          </w:p>
        </w:tc>
        <w:tc>
          <w:tcPr>
            <w:tcW w:w="1210" w:type="pct"/>
            <w:noWrap w:val="0"/>
            <w:vAlign w:val="center"/>
          </w:tcPr>
          <w:p w14:paraId="4B5126FA">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磷化渣（含镍）、废槽渣、废槽液</w:t>
            </w:r>
          </w:p>
        </w:tc>
        <w:tc>
          <w:tcPr>
            <w:tcW w:w="1279" w:type="pct"/>
            <w:vMerge w:val="restart"/>
            <w:noWrap w:val="0"/>
            <w:vAlign w:val="center"/>
          </w:tcPr>
          <w:p w14:paraId="0D9C042F">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HW17表面处理废物</w:t>
            </w:r>
          </w:p>
        </w:tc>
        <w:tc>
          <w:tcPr>
            <w:tcW w:w="761" w:type="pct"/>
            <w:noWrap w:val="0"/>
            <w:vAlign w:val="center"/>
          </w:tcPr>
          <w:p w14:paraId="02834D58">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336-064-17</w:t>
            </w:r>
          </w:p>
        </w:tc>
        <w:tc>
          <w:tcPr>
            <w:tcW w:w="703" w:type="pct"/>
            <w:noWrap w:val="0"/>
            <w:vAlign w:val="center"/>
          </w:tcPr>
          <w:p w14:paraId="4924F228">
            <w:pPr>
              <w:widowControl/>
              <w:adjustRightInd w:val="0"/>
              <w:snapToGrid w:val="0"/>
              <w:jc w:val="left"/>
              <w:textAlignment w:val="center"/>
              <w:rPr>
                <w:rFonts w:hint="eastAsia" w:ascii="宋体" w:hAnsi="宋体" w:cs="宋体"/>
                <w:color w:val="000000"/>
                <w:kern w:val="0"/>
                <w:szCs w:val="21"/>
                <w:highlight w:val="none"/>
                <w:lang w:val="en-US" w:eastAsia="zh-CN" w:bidi="ar"/>
              </w:rPr>
            </w:pPr>
            <w:r>
              <w:rPr>
                <w:rFonts w:hint="eastAsia" w:ascii="宋体" w:hAnsi="宋体" w:cs="宋体"/>
                <w:color w:val="000000"/>
                <w:kern w:val="0"/>
                <w:szCs w:val="21"/>
                <w:highlight w:val="none"/>
                <w:lang w:val="en-US" w:eastAsia="zh-CN" w:bidi="ar"/>
              </w:rPr>
              <w:t>T/C</w:t>
            </w:r>
          </w:p>
        </w:tc>
        <w:tc>
          <w:tcPr>
            <w:tcW w:w="703" w:type="pct"/>
            <w:noWrap w:val="0"/>
            <w:vAlign w:val="center"/>
          </w:tcPr>
          <w:p w14:paraId="22F02772">
            <w:pPr>
              <w:widowControl/>
              <w:adjustRightInd w:val="0"/>
              <w:snapToGrid w:val="0"/>
              <w:jc w:val="left"/>
              <w:textAlignment w:val="center"/>
              <w:rPr>
                <w:rFonts w:hint="default" w:ascii="宋体" w:hAnsi="宋体" w:eastAsia="宋体" w:cs="宋体"/>
                <w:color w:val="000000"/>
                <w:kern w:val="0"/>
                <w:szCs w:val="21"/>
                <w:highlight w:val="none"/>
                <w:lang w:val="en-US" w:eastAsia="zh-CN" w:bidi="ar"/>
              </w:rPr>
            </w:pPr>
            <w:r>
              <w:rPr>
                <w:rFonts w:hint="eastAsia" w:ascii="宋体" w:hAnsi="宋体" w:cs="宋体"/>
                <w:color w:val="000000"/>
                <w:kern w:val="0"/>
                <w:szCs w:val="21"/>
                <w:highlight w:val="none"/>
                <w:lang w:val="en-US" w:eastAsia="zh-CN" w:bidi="ar"/>
              </w:rPr>
              <w:t>40</w:t>
            </w:r>
          </w:p>
        </w:tc>
      </w:tr>
      <w:tr w14:paraId="273407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341" w:type="pct"/>
            <w:noWrap/>
            <w:vAlign w:val="center"/>
          </w:tcPr>
          <w:p w14:paraId="526D5E14">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7</w:t>
            </w:r>
          </w:p>
        </w:tc>
        <w:tc>
          <w:tcPr>
            <w:tcW w:w="1210" w:type="pct"/>
            <w:noWrap w:val="0"/>
            <w:vAlign w:val="center"/>
          </w:tcPr>
          <w:p w14:paraId="251E4EBF">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废水处理污泥</w:t>
            </w:r>
          </w:p>
        </w:tc>
        <w:tc>
          <w:tcPr>
            <w:tcW w:w="1279" w:type="pct"/>
            <w:vMerge w:val="continue"/>
            <w:noWrap w:val="0"/>
            <w:vAlign w:val="center"/>
          </w:tcPr>
          <w:p w14:paraId="6799F9E4">
            <w:pPr>
              <w:adjustRightInd w:val="0"/>
              <w:snapToGrid w:val="0"/>
              <w:jc w:val="left"/>
              <w:rPr>
                <w:rFonts w:hint="eastAsia" w:ascii="宋体" w:hAnsi="宋体" w:cs="宋体"/>
                <w:color w:val="000000"/>
                <w:szCs w:val="21"/>
                <w:highlight w:val="none"/>
              </w:rPr>
            </w:pPr>
          </w:p>
        </w:tc>
        <w:tc>
          <w:tcPr>
            <w:tcW w:w="761" w:type="pct"/>
            <w:noWrap w:val="0"/>
            <w:vAlign w:val="center"/>
          </w:tcPr>
          <w:p w14:paraId="6D014ECD">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336-064-17</w:t>
            </w:r>
          </w:p>
        </w:tc>
        <w:tc>
          <w:tcPr>
            <w:tcW w:w="703" w:type="pct"/>
            <w:noWrap w:val="0"/>
            <w:vAlign w:val="center"/>
          </w:tcPr>
          <w:p w14:paraId="66B30B4D">
            <w:pPr>
              <w:widowControl/>
              <w:adjustRightInd w:val="0"/>
              <w:snapToGrid w:val="0"/>
              <w:jc w:val="left"/>
              <w:textAlignment w:val="center"/>
              <w:rPr>
                <w:rFonts w:hint="eastAsia" w:ascii="宋体" w:hAnsi="宋体" w:cs="宋体"/>
                <w:color w:val="000000"/>
                <w:kern w:val="0"/>
                <w:szCs w:val="21"/>
                <w:highlight w:val="none"/>
                <w:lang w:val="en-US" w:eastAsia="zh-CN" w:bidi="ar"/>
              </w:rPr>
            </w:pPr>
            <w:r>
              <w:rPr>
                <w:rFonts w:hint="eastAsia" w:ascii="宋体" w:hAnsi="宋体" w:cs="宋体"/>
                <w:color w:val="000000"/>
                <w:kern w:val="0"/>
                <w:szCs w:val="21"/>
                <w:highlight w:val="none"/>
                <w:lang w:val="en-US" w:eastAsia="zh-CN" w:bidi="ar"/>
              </w:rPr>
              <w:t>T/C</w:t>
            </w:r>
          </w:p>
        </w:tc>
        <w:tc>
          <w:tcPr>
            <w:tcW w:w="703" w:type="pct"/>
            <w:noWrap w:val="0"/>
            <w:vAlign w:val="center"/>
          </w:tcPr>
          <w:p w14:paraId="0841AE6F">
            <w:pPr>
              <w:widowControl/>
              <w:adjustRightInd w:val="0"/>
              <w:snapToGrid w:val="0"/>
              <w:jc w:val="left"/>
              <w:textAlignment w:val="center"/>
              <w:rPr>
                <w:rFonts w:hint="default" w:ascii="宋体" w:hAnsi="宋体" w:eastAsia="宋体" w:cs="宋体"/>
                <w:color w:val="000000"/>
                <w:kern w:val="0"/>
                <w:szCs w:val="21"/>
                <w:highlight w:val="none"/>
                <w:lang w:val="en-US" w:eastAsia="zh-CN" w:bidi="ar"/>
              </w:rPr>
            </w:pPr>
            <w:r>
              <w:rPr>
                <w:rFonts w:hint="eastAsia" w:ascii="宋体" w:hAnsi="宋体" w:cs="宋体"/>
                <w:color w:val="000000"/>
                <w:kern w:val="0"/>
                <w:szCs w:val="21"/>
                <w:highlight w:val="none"/>
                <w:lang w:val="en-US" w:eastAsia="zh-CN" w:bidi="ar"/>
              </w:rPr>
              <w:t>17</w:t>
            </w:r>
          </w:p>
        </w:tc>
      </w:tr>
      <w:tr w14:paraId="5EBED0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341" w:type="pct"/>
            <w:noWrap/>
            <w:vAlign w:val="center"/>
          </w:tcPr>
          <w:p w14:paraId="7B1A6B50">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8</w:t>
            </w:r>
          </w:p>
        </w:tc>
        <w:tc>
          <w:tcPr>
            <w:tcW w:w="1210" w:type="pct"/>
            <w:noWrap w:val="0"/>
            <w:vAlign w:val="center"/>
          </w:tcPr>
          <w:p w14:paraId="3BC60B7D">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实验室废液</w:t>
            </w:r>
          </w:p>
        </w:tc>
        <w:tc>
          <w:tcPr>
            <w:tcW w:w="1279" w:type="pct"/>
            <w:vMerge w:val="restart"/>
            <w:noWrap w:val="0"/>
            <w:vAlign w:val="center"/>
          </w:tcPr>
          <w:p w14:paraId="6A0CA372">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HW49其他废物</w:t>
            </w:r>
          </w:p>
        </w:tc>
        <w:tc>
          <w:tcPr>
            <w:tcW w:w="761" w:type="pct"/>
            <w:noWrap w:val="0"/>
            <w:vAlign w:val="center"/>
          </w:tcPr>
          <w:p w14:paraId="28B15810">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900-047-49</w:t>
            </w:r>
          </w:p>
        </w:tc>
        <w:tc>
          <w:tcPr>
            <w:tcW w:w="703" w:type="pct"/>
            <w:noWrap w:val="0"/>
            <w:vAlign w:val="center"/>
          </w:tcPr>
          <w:p w14:paraId="37CB2A79">
            <w:pPr>
              <w:widowControl/>
              <w:adjustRightInd w:val="0"/>
              <w:snapToGrid w:val="0"/>
              <w:jc w:val="left"/>
              <w:textAlignment w:val="center"/>
              <w:rPr>
                <w:rFonts w:hint="eastAsia" w:ascii="宋体" w:hAnsi="宋体" w:cs="宋体"/>
                <w:color w:val="000000"/>
                <w:kern w:val="0"/>
                <w:szCs w:val="21"/>
                <w:highlight w:val="none"/>
                <w:lang w:val="en-US" w:eastAsia="zh-CN" w:bidi="ar"/>
              </w:rPr>
            </w:pPr>
            <w:r>
              <w:rPr>
                <w:rFonts w:hint="eastAsia" w:ascii="宋体" w:hAnsi="宋体" w:cs="宋体"/>
                <w:color w:val="000000"/>
                <w:kern w:val="0"/>
                <w:szCs w:val="21"/>
                <w:highlight w:val="none"/>
                <w:lang w:val="en-US" w:eastAsia="zh-CN" w:bidi="ar"/>
              </w:rPr>
              <w:t>T/C/I/R</w:t>
            </w:r>
          </w:p>
        </w:tc>
        <w:tc>
          <w:tcPr>
            <w:tcW w:w="703" w:type="pct"/>
            <w:noWrap w:val="0"/>
            <w:vAlign w:val="center"/>
          </w:tcPr>
          <w:p w14:paraId="210377BA">
            <w:pPr>
              <w:widowControl/>
              <w:adjustRightInd w:val="0"/>
              <w:snapToGrid w:val="0"/>
              <w:jc w:val="left"/>
              <w:textAlignment w:val="center"/>
              <w:rPr>
                <w:rFonts w:hint="eastAsia" w:ascii="宋体" w:hAnsi="宋体" w:eastAsia="宋体" w:cs="宋体"/>
                <w:color w:val="000000"/>
                <w:kern w:val="0"/>
                <w:szCs w:val="21"/>
                <w:highlight w:val="none"/>
                <w:lang w:val="en-US" w:eastAsia="zh-CN" w:bidi="ar"/>
              </w:rPr>
            </w:pPr>
            <w:r>
              <w:rPr>
                <w:rFonts w:hint="eastAsia" w:ascii="宋体" w:hAnsi="宋体" w:cs="宋体"/>
                <w:color w:val="000000"/>
                <w:kern w:val="0"/>
                <w:szCs w:val="21"/>
                <w:highlight w:val="none"/>
                <w:lang w:val="en-US" w:eastAsia="zh-CN" w:bidi="ar"/>
              </w:rPr>
              <w:t>3</w:t>
            </w:r>
          </w:p>
        </w:tc>
      </w:tr>
      <w:tr w14:paraId="3A378E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341" w:type="pct"/>
            <w:noWrap/>
            <w:vAlign w:val="center"/>
          </w:tcPr>
          <w:p w14:paraId="413C2A9B">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9</w:t>
            </w:r>
          </w:p>
        </w:tc>
        <w:tc>
          <w:tcPr>
            <w:tcW w:w="1210" w:type="pct"/>
            <w:noWrap w:val="0"/>
            <w:vAlign w:val="center"/>
          </w:tcPr>
          <w:p w14:paraId="3844F622">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废活性炭</w:t>
            </w:r>
          </w:p>
        </w:tc>
        <w:tc>
          <w:tcPr>
            <w:tcW w:w="1279" w:type="pct"/>
            <w:vMerge w:val="continue"/>
            <w:noWrap w:val="0"/>
            <w:vAlign w:val="center"/>
          </w:tcPr>
          <w:p w14:paraId="44580A66">
            <w:pPr>
              <w:adjustRightInd w:val="0"/>
              <w:snapToGrid w:val="0"/>
              <w:jc w:val="left"/>
              <w:rPr>
                <w:rFonts w:hint="eastAsia" w:ascii="宋体" w:hAnsi="宋体" w:cs="宋体"/>
                <w:color w:val="000000"/>
                <w:szCs w:val="21"/>
                <w:highlight w:val="none"/>
              </w:rPr>
            </w:pPr>
          </w:p>
        </w:tc>
        <w:tc>
          <w:tcPr>
            <w:tcW w:w="761" w:type="pct"/>
            <w:noWrap w:val="0"/>
            <w:vAlign w:val="center"/>
          </w:tcPr>
          <w:p w14:paraId="751B617C">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900-039-49</w:t>
            </w:r>
          </w:p>
        </w:tc>
        <w:tc>
          <w:tcPr>
            <w:tcW w:w="703" w:type="pct"/>
            <w:noWrap w:val="0"/>
            <w:vAlign w:val="center"/>
          </w:tcPr>
          <w:p w14:paraId="026BF66A">
            <w:pPr>
              <w:widowControl/>
              <w:adjustRightInd w:val="0"/>
              <w:snapToGrid w:val="0"/>
              <w:jc w:val="left"/>
              <w:textAlignment w:val="center"/>
              <w:rPr>
                <w:rFonts w:hint="eastAsia" w:ascii="宋体" w:hAnsi="宋体" w:cs="宋体"/>
                <w:color w:val="000000"/>
                <w:kern w:val="0"/>
                <w:szCs w:val="21"/>
                <w:highlight w:val="none"/>
                <w:lang w:val="en-US" w:eastAsia="zh-CN" w:bidi="ar"/>
              </w:rPr>
            </w:pPr>
            <w:r>
              <w:rPr>
                <w:rFonts w:hint="eastAsia" w:ascii="宋体" w:hAnsi="宋体" w:cs="宋体"/>
                <w:color w:val="000000"/>
                <w:kern w:val="0"/>
                <w:szCs w:val="21"/>
                <w:highlight w:val="none"/>
                <w:lang w:val="en-US" w:eastAsia="zh-CN" w:bidi="ar"/>
              </w:rPr>
              <w:t>T</w:t>
            </w:r>
          </w:p>
        </w:tc>
        <w:tc>
          <w:tcPr>
            <w:tcW w:w="703" w:type="pct"/>
            <w:noWrap w:val="0"/>
            <w:vAlign w:val="center"/>
          </w:tcPr>
          <w:p w14:paraId="4164343D">
            <w:pPr>
              <w:widowControl/>
              <w:adjustRightInd w:val="0"/>
              <w:snapToGrid w:val="0"/>
              <w:jc w:val="left"/>
              <w:textAlignment w:val="center"/>
              <w:rPr>
                <w:rFonts w:hint="eastAsia" w:ascii="宋体" w:hAnsi="宋体" w:eastAsia="宋体" w:cs="宋体"/>
                <w:color w:val="000000"/>
                <w:kern w:val="0"/>
                <w:szCs w:val="21"/>
                <w:highlight w:val="none"/>
                <w:lang w:val="en-US" w:eastAsia="zh-CN" w:bidi="ar"/>
              </w:rPr>
            </w:pPr>
            <w:r>
              <w:rPr>
                <w:rFonts w:hint="eastAsia" w:ascii="宋体" w:hAnsi="宋体" w:cs="宋体"/>
                <w:color w:val="000000"/>
                <w:kern w:val="0"/>
                <w:szCs w:val="21"/>
                <w:highlight w:val="none"/>
                <w:lang w:val="en-US" w:eastAsia="zh-CN" w:bidi="ar"/>
              </w:rPr>
              <w:t>4</w:t>
            </w:r>
          </w:p>
        </w:tc>
      </w:tr>
      <w:tr w14:paraId="4713BA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7" w:hRule="atLeast"/>
        </w:trPr>
        <w:tc>
          <w:tcPr>
            <w:tcW w:w="341" w:type="pct"/>
            <w:noWrap/>
            <w:vAlign w:val="center"/>
          </w:tcPr>
          <w:p w14:paraId="7580DBA4">
            <w:pPr>
              <w:adjustRightInd w:val="0"/>
              <w:snapToGrid w:val="0"/>
              <w:jc w:val="left"/>
              <w:rPr>
                <w:rFonts w:ascii="宋体" w:hAnsi="宋体" w:cs="宋体"/>
                <w:color w:val="000000"/>
                <w:szCs w:val="21"/>
                <w:highlight w:val="none"/>
              </w:rPr>
            </w:pPr>
            <w:r>
              <w:rPr>
                <w:rFonts w:hint="eastAsia" w:ascii="宋体" w:hAnsi="宋体" w:cs="宋体"/>
                <w:color w:val="000000"/>
                <w:szCs w:val="21"/>
                <w:highlight w:val="none"/>
              </w:rPr>
              <w:t>10</w:t>
            </w:r>
          </w:p>
        </w:tc>
        <w:tc>
          <w:tcPr>
            <w:tcW w:w="1210" w:type="pct"/>
            <w:noWrap w:val="0"/>
            <w:vAlign w:val="center"/>
          </w:tcPr>
          <w:p w14:paraId="328F11AC">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沾染物（废抹布和废劳保用品、沾染危险化学品等的废包装物、废遮蔽物</w:t>
            </w:r>
            <w:r>
              <w:rPr>
                <w:rFonts w:hint="eastAsia" w:ascii="宋体" w:hAnsi="宋体" w:cs="宋体"/>
                <w:color w:val="000000"/>
                <w:kern w:val="0"/>
                <w:szCs w:val="21"/>
                <w:highlight w:val="none"/>
                <w:lang w:eastAsia="zh-CN" w:bidi="ar"/>
              </w:rPr>
              <w:t>、</w:t>
            </w:r>
            <w:r>
              <w:rPr>
                <w:rFonts w:hint="eastAsia" w:ascii="宋体" w:hAnsi="宋体" w:cs="宋体"/>
                <w:color w:val="000000"/>
                <w:kern w:val="0"/>
                <w:szCs w:val="21"/>
                <w:highlight w:val="none"/>
                <w:lang w:bidi="ar"/>
              </w:rPr>
              <w:t>废过滤棉等）</w:t>
            </w:r>
          </w:p>
        </w:tc>
        <w:tc>
          <w:tcPr>
            <w:tcW w:w="1279" w:type="pct"/>
            <w:vMerge w:val="continue"/>
            <w:noWrap w:val="0"/>
            <w:vAlign w:val="center"/>
          </w:tcPr>
          <w:p w14:paraId="63F56686">
            <w:pPr>
              <w:adjustRightInd w:val="0"/>
              <w:snapToGrid w:val="0"/>
              <w:jc w:val="left"/>
              <w:rPr>
                <w:rFonts w:hint="eastAsia" w:ascii="宋体" w:hAnsi="宋体" w:cs="宋体"/>
                <w:color w:val="000000"/>
                <w:szCs w:val="21"/>
                <w:highlight w:val="none"/>
              </w:rPr>
            </w:pPr>
          </w:p>
        </w:tc>
        <w:tc>
          <w:tcPr>
            <w:tcW w:w="761" w:type="pct"/>
            <w:noWrap w:val="0"/>
            <w:vAlign w:val="center"/>
          </w:tcPr>
          <w:p w14:paraId="334223D4">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900-041-49</w:t>
            </w:r>
          </w:p>
        </w:tc>
        <w:tc>
          <w:tcPr>
            <w:tcW w:w="703" w:type="pct"/>
            <w:noWrap w:val="0"/>
            <w:vAlign w:val="center"/>
          </w:tcPr>
          <w:p w14:paraId="7892DCBC">
            <w:pPr>
              <w:widowControl/>
              <w:adjustRightInd w:val="0"/>
              <w:snapToGrid w:val="0"/>
              <w:jc w:val="left"/>
              <w:textAlignment w:val="center"/>
              <w:rPr>
                <w:rFonts w:hint="eastAsia" w:ascii="宋体" w:hAnsi="宋体" w:cs="宋体"/>
                <w:color w:val="000000"/>
                <w:szCs w:val="21"/>
                <w:highlight w:val="none"/>
                <w:lang w:val="en-US" w:eastAsia="zh-CN"/>
              </w:rPr>
            </w:pPr>
            <w:r>
              <w:rPr>
                <w:rFonts w:hint="eastAsia" w:ascii="宋体" w:hAnsi="宋体" w:cs="宋体"/>
                <w:color w:val="000000"/>
                <w:szCs w:val="21"/>
                <w:highlight w:val="none"/>
                <w:lang w:val="en-US" w:eastAsia="zh-CN"/>
              </w:rPr>
              <w:t>T</w:t>
            </w:r>
          </w:p>
        </w:tc>
        <w:tc>
          <w:tcPr>
            <w:tcW w:w="703" w:type="pct"/>
            <w:noWrap w:val="0"/>
            <w:vAlign w:val="center"/>
          </w:tcPr>
          <w:p w14:paraId="0B20B8ED">
            <w:pPr>
              <w:widowControl/>
              <w:adjustRightInd w:val="0"/>
              <w:snapToGrid w:val="0"/>
              <w:jc w:val="left"/>
              <w:textAlignment w:val="center"/>
              <w:rPr>
                <w:rFonts w:hint="default" w:ascii="宋体" w:hAnsi="宋体" w:eastAsia="宋体" w:cs="宋体"/>
                <w:color w:val="000000"/>
                <w:szCs w:val="21"/>
                <w:highlight w:val="none"/>
                <w:lang w:val="en-US" w:eastAsia="zh-CN"/>
              </w:rPr>
            </w:pPr>
            <w:r>
              <w:rPr>
                <w:rFonts w:hint="eastAsia" w:ascii="宋体" w:hAnsi="宋体" w:cs="宋体"/>
                <w:color w:val="000000"/>
                <w:szCs w:val="21"/>
                <w:highlight w:val="none"/>
                <w:lang w:val="en-US" w:eastAsia="zh-CN"/>
              </w:rPr>
              <w:t>20</w:t>
            </w:r>
          </w:p>
        </w:tc>
      </w:tr>
    </w:tbl>
    <w:p w14:paraId="223270CD">
      <w:pPr>
        <w:pStyle w:val="14"/>
        <w:numPr>
          <w:ilvl w:val="0"/>
          <w:numId w:val="0"/>
        </w:numPr>
        <w:spacing w:line="360" w:lineRule="auto"/>
        <w:jc w:val="left"/>
        <w:rPr>
          <w:rFonts w:hint="default" w:hAnsi="宋体"/>
          <w:szCs w:val="21"/>
          <w:highlight w:val="none"/>
          <w:lang w:val="en-US" w:eastAsia="zh-CN"/>
        </w:rPr>
      </w:pPr>
      <w:r>
        <w:rPr>
          <w:rFonts w:hint="eastAsia" w:hAnsi="宋体"/>
          <w:szCs w:val="21"/>
          <w:highlight w:val="none"/>
          <w:lang w:val="en-US" w:eastAsia="zh-CN"/>
        </w:rPr>
        <w:t>备注：1、本表中危险废物类别均为需要委外付费处置危险废物，不包括废矿物油、废铅蓄电池等可售卖以及废包装桶、废含汞荧光灯管等需要单一委托具备相应资质的第三方处置的危险废物。</w:t>
      </w:r>
    </w:p>
    <w:p w14:paraId="163DB222">
      <w:pPr>
        <w:pStyle w:val="14"/>
        <w:numPr>
          <w:ilvl w:val="0"/>
          <w:numId w:val="0"/>
        </w:numPr>
        <w:spacing w:line="360" w:lineRule="auto"/>
        <w:jc w:val="left"/>
        <w:rPr>
          <w:rFonts w:hint="default" w:hAnsi="宋体"/>
          <w:szCs w:val="21"/>
          <w:highlight w:val="none"/>
          <w:lang w:val="en-US" w:eastAsia="zh-CN"/>
        </w:rPr>
      </w:pPr>
      <w:r>
        <w:rPr>
          <w:rFonts w:hint="eastAsia" w:hAnsi="宋体"/>
          <w:szCs w:val="21"/>
          <w:highlight w:val="none"/>
          <w:lang w:val="en-US" w:eastAsia="zh-CN"/>
        </w:rPr>
        <w:t>2、2025年预估产量按照2025年计划生产产量和2024年单车危险废物产生量进行预估。</w:t>
      </w:r>
    </w:p>
    <w:p w14:paraId="51417EB7">
      <w:pPr>
        <w:pStyle w:val="73"/>
        <w:numPr>
          <w:numId w:val="0"/>
        </w:numPr>
        <w:ind w:left="710" w:leftChars="0"/>
      </w:pPr>
    </w:p>
    <w:p w14:paraId="4EC58B63">
      <w:pPr>
        <w:pStyle w:val="73"/>
      </w:pPr>
      <w:r>
        <w:rPr>
          <w:rFonts w:hint="eastAsia"/>
        </w:rPr>
        <w:t>招标形式：</w:t>
      </w:r>
      <w:r>
        <w:rPr>
          <w:rFonts w:hint="eastAsia"/>
          <w:highlight w:val="yellow"/>
        </w:rPr>
        <w:t>公开招标</w:t>
      </w:r>
    </w:p>
    <w:p w14:paraId="0B813421">
      <w:pPr>
        <w:pStyle w:val="72"/>
        <w:rPr>
          <w:highlight w:val="yellow"/>
        </w:rPr>
      </w:pPr>
      <w:bookmarkStart w:id="5" w:name="_Toc47976590"/>
      <w:r>
        <w:rPr>
          <w:rFonts w:hint="eastAsia"/>
          <w:highlight w:val="yellow"/>
        </w:rPr>
        <w:t>投标人资格要求</w:t>
      </w:r>
      <w:bookmarkEnd w:id="5"/>
    </w:p>
    <w:p w14:paraId="2497BB7B">
      <w:pPr>
        <w:pStyle w:val="72"/>
        <w:numPr>
          <w:numId w:val="0"/>
        </w:numPr>
        <w:ind w:leftChars="0"/>
        <w:rPr>
          <w:rFonts w:hint="eastAsia" w:ascii="宋体" w:hAnsi="宋体" w:eastAsia="宋体" w:cs="宋体"/>
          <w:sz w:val="21"/>
          <w:szCs w:val="21"/>
          <w:highlight w:val="none"/>
        </w:rPr>
      </w:pPr>
      <w:r>
        <w:rPr>
          <w:rFonts w:hint="eastAsia" w:ascii="宋体" w:hAnsi="宋体" w:eastAsia="宋体" w:cs="宋体"/>
          <w:sz w:val="21"/>
          <w:szCs w:val="21"/>
          <w:highlight w:val="none"/>
        </w:rPr>
        <w:t>1.投标方必须是在中华人民共和国境内注册的独立法人机构，具有独立承担民事责任能力。</w:t>
      </w:r>
    </w:p>
    <w:p w14:paraId="48DC58C9">
      <w:pPr>
        <w:pStyle w:val="72"/>
        <w:numPr>
          <w:numId w:val="0"/>
        </w:numPr>
        <w:ind w:leftChars="0"/>
        <w:rPr>
          <w:rFonts w:hint="eastAsia" w:ascii="宋体" w:hAnsi="宋体" w:eastAsia="宋体" w:cs="宋体"/>
          <w:sz w:val="21"/>
          <w:szCs w:val="21"/>
          <w:highlight w:val="none"/>
        </w:rPr>
      </w:pPr>
      <w:r>
        <w:rPr>
          <w:rFonts w:hint="eastAsia" w:ascii="宋体" w:hAnsi="宋体" w:eastAsia="宋体" w:cs="宋体"/>
          <w:sz w:val="21"/>
          <w:szCs w:val="21"/>
          <w:highlight w:val="none"/>
        </w:rPr>
        <w:t>2.投标方的注册资本不少于500万元人民币（或等值其他货币），近三年（截止到报名时）危险废物处置业绩不少于3个。</w:t>
      </w:r>
    </w:p>
    <w:p w14:paraId="76353396">
      <w:pPr>
        <w:pStyle w:val="72"/>
        <w:numPr>
          <w:numId w:val="0"/>
        </w:numPr>
        <w:ind w:leftChars="0"/>
        <w:rPr>
          <w:rFonts w:hint="eastAsia" w:ascii="宋体" w:hAnsi="宋体" w:eastAsia="宋体" w:cs="宋体"/>
          <w:sz w:val="21"/>
          <w:szCs w:val="21"/>
          <w:highlight w:val="none"/>
        </w:rPr>
      </w:pPr>
      <w:r>
        <w:rPr>
          <w:rFonts w:hint="eastAsia" w:ascii="宋体" w:hAnsi="宋体" w:eastAsia="宋体" w:cs="宋体"/>
          <w:sz w:val="21"/>
          <w:szCs w:val="21"/>
          <w:highlight w:val="none"/>
        </w:rPr>
        <w:t>3.投标人须具备行政主管部门颁发的有效危险废物经营（收集、贮存及处置）资质，且经营资质范围必须涵盖招标人委托的危废类别范围。</w:t>
      </w:r>
    </w:p>
    <w:p w14:paraId="7723B95D">
      <w:pPr>
        <w:pStyle w:val="72"/>
        <w:numPr>
          <w:numId w:val="0"/>
        </w:numPr>
        <w:ind w:leftChars="0"/>
        <w:rPr>
          <w:rFonts w:hint="eastAsia" w:ascii="宋体" w:hAnsi="宋体" w:eastAsia="宋体" w:cs="宋体"/>
          <w:sz w:val="21"/>
          <w:szCs w:val="21"/>
          <w:highlight w:val="none"/>
        </w:rPr>
      </w:pPr>
      <w:r>
        <w:rPr>
          <w:rFonts w:hint="eastAsia" w:ascii="宋体" w:hAnsi="宋体" w:eastAsia="宋体" w:cs="宋体"/>
          <w:sz w:val="21"/>
          <w:szCs w:val="21"/>
          <w:highlight w:val="none"/>
        </w:rPr>
        <w:t>4.投标方满足技术、质量、资金等要求，财务状况良好、经营稳定，具有全面履约的能力。</w:t>
      </w:r>
    </w:p>
    <w:p w14:paraId="1C528A84">
      <w:pPr>
        <w:pStyle w:val="72"/>
        <w:numPr>
          <w:numId w:val="0"/>
        </w:numPr>
        <w:ind w:leftChars="0"/>
        <w:rPr>
          <w:rFonts w:hint="eastAsia" w:ascii="宋体" w:hAnsi="宋体" w:eastAsia="宋体" w:cs="宋体"/>
          <w:sz w:val="21"/>
          <w:szCs w:val="21"/>
          <w:highlight w:val="none"/>
        </w:rPr>
      </w:pPr>
      <w:r>
        <w:rPr>
          <w:rFonts w:hint="eastAsia" w:ascii="宋体" w:hAnsi="宋体" w:eastAsia="宋体" w:cs="宋体"/>
          <w:sz w:val="21"/>
          <w:szCs w:val="21"/>
          <w:highlight w:val="none"/>
        </w:rPr>
        <w:t>5.投标方有专业售后服务团队，满足我司售后服务要求。</w:t>
      </w:r>
    </w:p>
    <w:p w14:paraId="38C3FDD3">
      <w:pPr>
        <w:pStyle w:val="72"/>
        <w:numPr>
          <w:numId w:val="0"/>
        </w:numPr>
        <w:ind w:leftChars="0"/>
        <w:rPr>
          <w:rFonts w:hint="eastAsia" w:ascii="宋体" w:hAnsi="宋体" w:eastAsia="宋体" w:cs="宋体"/>
          <w:sz w:val="21"/>
          <w:szCs w:val="21"/>
          <w:highlight w:val="none"/>
        </w:rPr>
      </w:pPr>
      <w:r>
        <w:rPr>
          <w:rFonts w:hint="eastAsia" w:ascii="宋体" w:hAnsi="宋体" w:eastAsia="宋体" w:cs="宋体"/>
          <w:sz w:val="21"/>
          <w:szCs w:val="21"/>
          <w:highlight w:val="none"/>
        </w:rPr>
        <w:t>6.投标方信誉良好，无违法违规等不良行为。</w:t>
      </w:r>
    </w:p>
    <w:p w14:paraId="4F627A21">
      <w:pPr>
        <w:pStyle w:val="72"/>
        <w:numPr>
          <w:numId w:val="0"/>
        </w:numPr>
        <w:ind w:leftChars="0"/>
        <w:rPr>
          <w:rFonts w:hint="eastAsia" w:ascii="宋体" w:hAnsi="宋体" w:eastAsia="宋体" w:cs="宋体"/>
          <w:sz w:val="21"/>
          <w:szCs w:val="21"/>
          <w:highlight w:val="none"/>
        </w:rPr>
      </w:pPr>
      <w:r>
        <w:rPr>
          <w:rFonts w:hint="eastAsia" w:ascii="宋体" w:hAnsi="宋体" w:eastAsia="宋体" w:cs="宋体"/>
          <w:sz w:val="21"/>
          <w:szCs w:val="21"/>
          <w:highlight w:val="none"/>
        </w:rPr>
        <w:t>7.无招标违规、谎报年度报告信息、提供虚假资质资料等行为或其他行政处罚记录。</w:t>
      </w:r>
    </w:p>
    <w:p w14:paraId="7D7158CE">
      <w:pPr>
        <w:pStyle w:val="72"/>
        <w:numPr>
          <w:numId w:val="0"/>
        </w:numPr>
        <w:ind w:leftChars="0"/>
        <w:rPr>
          <w:rFonts w:hint="eastAsia" w:ascii="宋体" w:hAnsi="宋体" w:eastAsia="宋体" w:cs="宋体"/>
          <w:sz w:val="21"/>
          <w:szCs w:val="21"/>
          <w:highlight w:val="none"/>
        </w:rPr>
      </w:pPr>
      <w:r>
        <w:rPr>
          <w:rFonts w:hint="eastAsia" w:ascii="宋体" w:hAnsi="宋体" w:eastAsia="宋体" w:cs="宋体"/>
          <w:sz w:val="21"/>
          <w:szCs w:val="21"/>
          <w:highlight w:val="none"/>
        </w:rPr>
        <w:t>8.投标方的直接或间接股东、法定代表人、董事、监事、高管非重汽员工及其亲属。</w:t>
      </w:r>
    </w:p>
    <w:p w14:paraId="3A53E91C">
      <w:pPr>
        <w:pStyle w:val="72"/>
        <w:numPr>
          <w:numId w:val="0"/>
        </w:numPr>
        <w:ind w:leftChars="0"/>
        <w:rPr>
          <w:rFonts w:hint="eastAsia" w:ascii="宋体" w:hAnsi="宋体" w:eastAsia="宋体" w:cs="宋体"/>
          <w:sz w:val="21"/>
          <w:szCs w:val="21"/>
          <w:highlight w:val="none"/>
        </w:rPr>
      </w:pPr>
      <w:r>
        <w:rPr>
          <w:rFonts w:hint="eastAsia" w:ascii="宋体" w:hAnsi="宋体" w:eastAsia="宋体" w:cs="宋体"/>
          <w:sz w:val="21"/>
          <w:szCs w:val="21"/>
          <w:highlight w:val="none"/>
        </w:rPr>
        <w:t>9.没有被中国重汽集团列入黑名单。</w:t>
      </w:r>
    </w:p>
    <w:p w14:paraId="4E0B6918">
      <w:pPr>
        <w:pStyle w:val="72"/>
        <w:numPr>
          <w:numId w:val="0"/>
        </w:numPr>
        <w:ind w:leftChars="0"/>
        <w:rPr>
          <w:rFonts w:hint="eastAsia" w:ascii="宋体" w:hAnsi="宋体" w:eastAsia="宋体" w:cs="宋体"/>
          <w:sz w:val="21"/>
          <w:szCs w:val="21"/>
          <w:highlight w:val="none"/>
        </w:rPr>
      </w:pPr>
      <w:r>
        <w:rPr>
          <w:rFonts w:hint="eastAsia" w:ascii="宋体" w:hAnsi="宋体" w:eastAsia="宋体" w:cs="宋体"/>
          <w:sz w:val="21"/>
          <w:szCs w:val="21"/>
          <w:highlight w:val="none"/>
        </w:rPr>
        <w:t>10.法律法规对合格投标方的其他要求、规定。</w:t>
      </w:r>
    </w:p>
    <w:p w14:paraId="18352514">
      <w:pPr>
        <w:pStyle w:val="72"/>
        <w:numPr>
          <w:numId w:val="0"/>
        </w:numPr>
        <w:ind w:leftChars="0"/>
        <w:rPr>
          <w:rFonts w:hint="eastAsia" w:ascii="宋体" w:hAnsi="宋体" w:eastAsia="宋体" w:cs="宋体"/>
          <w:sz w:val="21"/>
          <w:szCs w:val="21"/>
          <w:highlight w:val="none"/>
        </w:rPr>
      </w:pPr>
      <w:r>
        <w:rPr>
          <w:rFonts w:hint="eastAsia" w:ascii="宋体" w:hAnsi="宋体" w:eastAsia="宋体" w:cs="宋体"/>
          <w:sz w:val="21"/>
          <w:szCs w:val="21"/>
          <w:highlight w:val="none"/>
          <w:lang w:val="en-US" w:eastAsia="zh-CN"/>
        </w:rPr>
        <w:t>11.</w:t>
      </w:r>
      <w:r>
        <w:rPr>
          <w:rFonts w:hint="eastAsia" w:ascii="宋体" w:hAnsi="宋体" w:eastAsia="宋体" w:cs="宋体"/>
          <w:sz w:val="21"/>
          <w:szCs w:val="21"/>
          <w:highlight w:val="none"/>
        </w:rPr>
        <w:t>不接受联合体投标。</w:t>
      </w:r>
    </w:p>
    <w:p w14:paraId="76B97D53">
      <w:pPr>
        <w:pStyle w:val="72"/>
        <w:rPr>
          <w:highlight w:val="yellow"/>
        </w:rPr>
      </w:pPr>
      <w:bookmarkStart w:id="6" w:name="_Toc47976591"/>
      <w:r>
        <w:rPr>
          <w:rFonts w:hint="eastAsia"/>
          <w:highlight w:val="yellow"/>
        </w:rPr>
        <w:t>报名及招标文件的获取</w:t>
      </w:r>
      <w:bookmarkEnd w:id="6"/>
    </w:p>
    <w:p w14:paraId="06CAB1A1">
      <w:pPr>
        <w:pStyle w:val="14"/>
        <w:numPr>
          <w:ilvl w:val="0"/>
          <w:numId w:val="10"/>
        </w:numPr>
        <w:spacing w:line="360" w:lineRule="auto"/>
        <w:ind w:firstLine="422" w:firstLineChars="200"/>
        <w:rPr>
          <w:rFonts w:hAnsi="宋体" w:cs="宋体"/>
          <w:szCs w:val="21"/>
          <w:highlight w:val="yellow"/>
        </w:rPr>
      </w:pPr>
      <w:r>
        <w:rPr>
          <w:rFonts w:hint="eastAsia" w:hAnsi="宋体" w:cs="宋体"/>
          <w:b/>
          <w:bCs/>
          <w:szCs w:val="21"/>
        </w:rPr>
        <w:t>报名截止时间：2025年</w:t>
      </w:r>
      <w:r>
        <w:rPr>
          <w:rFonts w:hint="eastAsia" w:hAnsi="宋体" w:cs="宋体"/>
          <w:b/>
          <w:bCs/>
          <w:szCs w:val="21"/>
          <w:lang w:val="en-US" w:eastAsia="zh-CN"/>
        </w:rPr>
        <w:t>10</w:t>
      </w:r>
      <w:r>
        <w:rPr>
          <w:rFonts w:hint="eastAsia" w:hAnsi="宋体" w:cs="宋体"/>
          <w:b/>
          <w:bCs/>
          <w:szCs w:val="21"/>
        </w:rPr>
        <w:t>月</w:t>
      </w:r>
      <w:r>
        <w:rPr>
          <w:rFonts w:hint="eastAsia" w:hAnsi="宋体" w:cs="宋体"/>
          <w:b/>
          <w:bCs/>
          <w:szCs w:val="21"/>
          <w:lang w:val="en-US" w:eastAsia="zh-CN"/>
        </w:rPr>
        <w:t>18</w:t>
      </w:r>
      <w:bookmarkStart w:id="37" w:name="_GoBack"/>
      <w:bookmarkEnd w:id="37"/>
      <w:r>
        <w:rPr>
          <w:rFonts w:hint="eastAsia" w:hAnsi="宋体" w:cs="宋体"/>
          <w:b/>
          <w:bCs/>
          <w:szCs w:val="21"/>
        </w:rPr>
        <w:t>日下午17点</w:t>
      </w:r>
    </w:p>
    <w:p w14:paraId="2CDA9095">
      <w:pPr>
        <w:pStyle w:val="14"/>
        <w:numPr>
          <w:ilvl w:val="0"/>
          <w:numId w:val="10"/>
        </w:numPr>
        <w:spacing w:line="360" w:lineRule="auto"/>
        <w:ind w:firstLine="422" w:firstLineChars="200"/>
        <w:rPr>
          <w:rFonts w:hAnsi="宋体" w:cs="宋体"/>
          <w:szCs w:val="21"/>
          <w:highlight w:val="yellow"/>
        </w:rPr>
      </w:pPr>
      <w:r>
        <w:rPr>
          <w:rFonts w:hint="eastAsia" w:hAnsi="宋体" w:cs="宋体"/>
          <w:b/>
          <w:bCs/>
          <w:szCs w:val="21"/>
        </w:rPr>
        <w:t>招标文件获取方式：投标人在上述时间范围内，在中国重汽e采通平台上获取招标文件</w:t>
      </w:r>
    </w:p>
    <w:p w14:paraId="298925F4">
      <w:pPr>
        <w:pStyle w:val="72"/>
        <w:numPr>
          <w:numId w:val="0"/>
        </w:numPr>
        <w:ind w:leftChars="0"/>
        <w:rPr>
          <w:highlight w:val="yellow"/>
        </w:rPr>
      </w:pPr>
      <w:r>
        <w:rPr>
          <w:rFonts w:hint="eastAsia" w:ascii="宋体" w:hAnsi="宋体" w:eastAsia="宋体" w:cs="宋体"/>
          <w:sz w:val="21"/>
          <w:szCs w:val="21"/>
        </w:rPr>
        <w:t>报名方式：拟投标人根据招标人在中国重汽官网等公开媒体上发布的招标信息，在“中国重汽e采通”平台报名。按照中国重汽e采通“SRM非生产供应商注册手册”进行注册，注册完毕后按照“SRM系统供应商用户手册”，登录重汽e采通平台后进入“供应商应标”，选择对应的项目，点击“应标”后按照招标文件第三部分投标文件组成资格证明文件中的准备资料并上传，资质审查通过即为报名成功；公示期间请尽快报名。</w:t>
      </w:r>
    </w:p>
    <w:p w14:paraId="4509C0DA">
      <w:pPr>
        <w:pStyle w:val="72"/>
        <w:rPr>
          <w:highlight w:val="yellow"/>
        </w:rPr>
      </w:pPr>
      <w:bookmarkStart w:id="7" w:name="_Toc47976592"/>
      <w:r>
        <w:rPr>
          <w:rFonts w:hint="eastAsia"/>
          <w:highlight w:val="yellow"/>
        </w:rPr>
        <w:t>投标文件的递交</w:t>
      </w:r>
      <w:bookmarkEnd w:id="7"/>
    </w:p>
    <w:p w14:paraId="4D5BAEB1">
      <w:pPr>
        <w:pStyle w:val="72"/>
        <w:numPr>
          <w:numId w:val="0"/>
        </w:numPr>
        <w:ind w:leftChars="0"/>
        <w:rPr>
          <w:rFonts w:hint="eastAsia" w:ascii="宋体" w:hAnsi="宋体" w:eastAsia="宋体" w:cs="宋体"/>
          <w:sz w:val="21"/>
          <w:szCs w:val="21"/>
          <w:highlight w:val="yellow"/>
        </w:rPr>
      </w:pPr>
      <w:r>
        <w:rPr>
          <w:rFonts w:hint="eastAsia" w:ascii="宋体" w:hAnsi="宋体" w:eastAsia="宋体" w:cs="宋体"/>
          <w:b/>
          <w:sz w:val="21"/>
          <w:szCs w:val="21"/>
        </w:rPr>
        <w:t>投标方式：在中国重汽e采通平台应标成功后，进入“供应商投标”环节，投递盖章扫描版电子标书（包含资质标书、技术标书、商务标书），若逾期未在中国重汽e采通平台上传电子标书，一律视为无效投标。</w:t>
      </w:r>
    </w:p>
    <w:p w14:paraId="5073525A">
      <w:pPr>
        <w:pStyle w:val="72"/>
        <w:rPr>
          <w:highlight w:val="yellow"/>
        </w:rPr>
      </w:pPr>
      <w:r>
        <w:rPr>
          <w:rFonts w:hint="eastAsia"/>
          <w:highlight w:val="yellow"/>
          <w:lang w:val="en-US" w:eastAsia="zh-CN"/>
        </w:rPr>
        <w:t>开标时间和地点</w:t>
      </w:r>
    </w:p>
    <w:p w14:paraId="12B0FF18">
      <w:pPr>
        <w:pStyle w:val="72"/>
        <w:numPr>
          <w:ilvl w:val="0"/>
          <w:numId w:val="11"/>
        </w:numPr>
        <w:ind w:left="840"/>
        <w:rPr>
          <w:highlight w:val="yellow"/>
        </w:rPr>
      </w:pPr>
      <w:r>
        <w:rPr>
          <w:rFonts w:hint="eastAsia" w:ascii="宋体" w:hAnsi="宋体" w:eastAsia="宋体" w:cs="宋体"/>
          <w:sz w:val="21"/>
          <w:szCs w:val="21"/>
          <w:highlight w:val="yellow"/>
        </w:rPr>
        <w:t>时间：2025年1</w:t>
      </w:r>
      <w:r>
        <w:rPr>
          <w:rFonts w:hint="eastAsia" w:ascii="宋体" w:hAnsi="宋体" w:eastAsia="宋体" w:cs="宋体"/>
          <w:sz w:val="21"/>
          <w:szCs w:val="21"/>
          <w:highlight w:val="yellow"/>
          <w:lang w:val="en-US" w:eastAsia="zh-CN"/>
        </w:rPr>
        <w:t>1</w:t>
      </w:r>
      <w:r>
        <w:rPr>
          <w:rFonts w:hint="eastAsia" w:ascii="宋体" w:hAnsi="宋体" w:eastAsia="宋体" w:cs="宋体"/>
          <w:sz w:val="21"/>
          <w:szCs w:val="21"/>
          <w:highlight w:val="yellow"/>
        </w:rPr>
        <w:t>月</w:t>
      </w:r>
      <w:r>
        <w:rPr>
          <w:rFonts w:hint="eastAsia" w:ascii="宋体" w:hAnsi="宋体" w:eastAsia="宋体" w:cs="宋体"/>
          <w:sz w:val="21"/>
          <w:szCs w:val="21"/>
          <w:highlight w:val="yellow"/>
          <w:lang w:val="en-US" w:eastAsia="zh-CN"/>
        </w:rPr>
        <w:t>13</w:t>
      </w:r>
      <w:r>
        <w:rPr>
          <w:rFonts w:hint="eastAsia" w:ascii="宋体" w:hAnsi="宋体" w:eastAsia="宋体" w:cs="宋体"/>
          <w:sz w:val="21"/>
          <w:szCs w:val="21"/>
          <w:highlight w:val="yellow"/>
        </w:rPr>
        <w:t>日9:00:00</w:t>
      </w:r>
    </w:p>
    <w:p w14:paraId="5E5D6D6B">
      <w:pPr>
        <w:pStyle w:val="72"/>
        <w:numPr>
          <w:ilvl w:val="0"/>
          <w:numId w:val="11"/>
        </w:numPr>
        <w:ind w:left="840"/>
        <w:rPr>
          <w:highlight w:val="yellow"/>
        </w:rPr>
      </w:pPr>
      <w:r>
        <w:rPr>
          <w:rFonts w:hint="eastAsia" w:ascii="宋体" w:hAnsi="宋体" w:eastAsia="宋体" w:cs="宋体"/>
          <w:sz w:val="21"/>
          <w:szCs w:val="21"/>
          <w:highlight w:val="yellow"/>
        </w:rPr>
        <w:t>地点：济南市历城区华奥路777号重汽科技大厦</w:t>
      </w:r>
    </w:p>
    <w:p w14:paraId="22385406">
      <w:pPr>
        <w:pStyle w:val="72"/>
      </w:pPr>
      <w:bookmarkStart w:id="8" w:name="_Toc47976593"/>
      <w:r>
        <w:rPr>
          <w:rFonts w:hint="eastAsia"/>
        </w:rPr>
        <w:t>招标公告发布媒介</w:t>
      </w:r>
      <w:bookmarkEnd w:id="8"/>
    </w:p>
    <w:p w14:paraId="15C59335">
      <w:pPr>
        <w:pStyle w:val="73"/>
        <w:numPr>
          <w:ilvl w:val="0"/>
          <w:numId w:val="0"/>
        </w:numPr>
        <w:ind w:left="1130" w:hanging="420"/>
        <w:rPr>
          <w:rFonts w:hint="eastAsia"/>
          <w:highlight w:val="none"/>
        </w:rPr>
      </w:pPr>
      <w:r>
        <w:rPr>
          <w:rFonts w:hint="eastAsia"/>
          <w:highlight w:val="none"/>
        </w:rPr>
        <w:t>本次招标公告同时在</w:t>
      </w:r>
      <w:r>
        <w:rPr>
          <w:rFonts w:hint="eastAsia"/>
          <w:highlight w:val="yellow"/>
        </w:rPr>
        <w:t>中国重型汽车集团有限公司官网</w:t>
      </w:r>
      <w:r>
        <w:rPr>
          <w:rFonts w:hint="eastAsia"/>
          <w:highlight w:val="none"/>
        </w:rPr>
        <w:t>上发布。</w:t>
      </w:r>
    </w:p>
    <w:p w14:paraId="65FC2213">
      <w:pPr>
        <w:pStyle w:val="72"/>
        <w:rPr>
          <w:highlight w:val="yellow"/>
        </w:rPr>
      </w:pPr>
      <w:bookmarkStart w:id="9" w:name="_Toc47976594"/>
      <w:r>
        <w:rPr>
          <w:rFonts w:hint="eastAsia"/>
          <w:highlight w:val="yellow"/>
        </w:rPr>
        <w:t>联系方式</w:t>
      </w:r>
      <w:bookmarkEnd w:id="9"/>
    </w:p>
    <w:p w14:paraId="467084F2">
      <w:pPr>
        <w:ind w:firstLine="422" w:firstLineChars="200"/>
        <w:rPr>
          <w:rFonts w:ascii="宋体" w:hAnsi="宋体" w:cs="宋体"/>
          <w:b/>
          <w:snapToGrid w:val="0"/>
          <w:kern w:val="0"/>
          <w:szCs w:val="21"/>
        </w:rPr>
      </w:pPr>
      <w:r>
        <w:rPr>
          <w:rFonts w:hint="eastAsia" w:ascii="宋体" w:hAnsi="宋体" w:cs="宋体"/>
          <w:b/>
          <w:snapToGrid w:val="0"/>
          <w:kern w:val="0"/>
          <w:szCs w:val="21"/>
        </w:rPr>
        <w:t>招标人名称：</w:t>
      </w:r>
      <w:r>
        <w:rPr>
          <w:rFonts w:hint="eastAsia" w:ascii="宋体" w:hAnsi="宋体" w:cs="宋体"/>
          <w:b/>
          <w:szCs w:val="21"/>
          <w:u w:val="single"/>
        </w:rPr>
        <w:t>中国重汽集团济南动力有限公司</w:t>
      </w:r>
    </w:p>
    <w:p w14:paraId="26FF52CC">
      <w:pPr>
        <w:pStyle w:val="72"/>
        <w:numPr>
          <w:ilvl w:val="0"/>
          <w:numId w:val="0"/>
        </w:numPr>
        <w:ind w:firstLine="422" w:firstLineChars="200"/>
        <w:rPr>
          <w:bCs w:val="0"/>
          <w:sz w:val="21"/>
          <w:szCs w:val="21"/>
          <w:highlight w:val="yellow"/>
        </w:rPr>
      </w:pPr>
      <w:r>
        <w:rPr>
          <w:rFonts w:hint="eastAsia" w:ascii="宋体" w:hAnsi="宋体" w:eastAsia="宋体" w:cs="宋体"/>
          <w:bCs w:val="0"/>
          <w:snapToGrid w:val="0"/>
          <w:kern w:val="0"/>
          <w:sz w:val="21"/>
          <w:szCs w:val="21"/>
        </w:rPr>
        <w:t>招标人地址：</w:t>
      </w:r>
      <w:r>
        <w:rPr>
          <w:rFonts w:hint="eastAsia" w:ascii="宋体" w:hAnsi="宋体" w:eastAsia="宋体" w:cs="宋体"/>
          <w:bCs w:val="0"/>
          <w:sz w:val="21"/>
          <w:szCs w:val="21"/>
          <w:u w:val="single"/>
        </w:rPr>
        <w:t>济南市历城区华奥路777号</w:t>
      </w:r>
    </w:p>
    <w:p w14:paraId="669BF840">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highlight w:val="yellow"/>
        </w:rPr>
        <w:t>商务联系人：</w:t>
      </w:r>
      <w:r>
        <w:rPr>
          <w:rFonts w:hint="eastAsia" w:ascii="宋体" w:hAnsi="宋体" w:eastAsia="宋体" w:cs="宋体"/>
          <w:bCs w:val="0"/>
          <w:sz w:val="21"/>
          <w:szCs w:val="21"/>
        </w:rPr>
        <w:t>郭朝琛</w:t>
      </w:r>
    </w:p>
    <w:p w14:paraId="6CE0E423">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电话：15275666282</w:t>
      </w:r>
    </w:p>
    <w:p w14:paraId="2CAE25E3">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邮箱：1494144783@qq.com</w:t>
      </w:r>
    </w:p>
    <w:p w14:paraId="2242C6EA">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highlight w:val="yellow"/>
        </w:rPr>
        <w:t>技术联系人：</w:t>
      </w:r>
      <w:r>
        <w:rPr>
          <w:rFonts w:hint="eastAsia" w:ascii="宋体" w:hAnsi="宋体" w:eastAsia="宋体" w:cs="宋体"/>
          <w:bCs w:val="0"/>
          <w:sz w:val="21"/>
          <w:szCs w:val="21"/>
        </w:rPr>
        <w:t>周英</w:t>
      </w:r>
    </w:p>
    <w:p w14:paraId="62F80E4E">
      <w:pPr>
        <w:pStyle w:val="72"/>
        <w:numPr>
          <w:ilvl w:val="0"/>
          <w:numId w:val="0"/>
        </w:numPr>
        <w:ind w:firstLine="422" w:firstLineChars="200"/>
        <w:rPr>
          <w:rFonts w:hint="eastAsia" w:ascii="宋体" w:hAnsi="宋体" w:eastAsia="宋体" w:cs="宋体"/>
          <w:bCs w:val="0"/>
          <w:sz w:val="21"/>
          <w:szCs w:val="21"/>
        </w:rPr>
      </w:pPr>
      <w:r>
        <w:rPr>
          <w:rFonts w:hint="eastAsia" w:ascii="宋体" w:hAnsi="宋体" w:eastAsia="宋体" w:cs="宋体"/>
          <w:bCs w:val="0"/>
          <w:sz w:val="21"/>
          <w:szCs w:val="21"/>
        </w:rPr>
        <w:t>电话：15730385281</w:t>
      </w:r>
    </w:p>
    <w:p w14:paraId="5F538BD8">
      <w:pPr>
        <w:pStyle w:val="72"/>
        <w:numPr>
          <w:numId w:val="0"/>
        </w:numPr>
        <w:ind w:leftChars="0" w:firstLine="422" w:firstLineChars="200"/>
      </w:pPr>
      <w:r>
        <w:rPr>
          <w:rFonts w:hint="eastAsia" w:ascii="宋体" w:hAnsi="宋体" w:eastAsia="宋体" w:cs="宋体"/>
          <w:b/>
          <w:bCs/>
          <w:sz w:val="21"/>
          <w:szCs w:val="21"/>
        </w:rPr>
        <w:t>邮箱：zhouying1@sinotruk.com</w:t>
      </w:r>
    </w:p>
    <w:p w14:paraId="6D4C3503">
      <w:pPr>
        <w:pStyle w:val="76"/>
      </w:pPr>
    </w:p>
    <w:p w14:paraId="70A7FEA7">
      <w:pPr>
        <w:pStyle w:val="76"/>
        <w:jc w:val="both"/>
        <w:rPr>
          <w:rFonts w:hint="default"/>
          <w:highlight w:val="cyan"/>
          <w:u w:val="single"/>
          <w:lang w:val="en-US" w:eastAsia="zh-CN"/>
        </w:rPr>
      </w:pPr>
    </w:p>
    <w:p w14:paraId="3A7E2D48">
      <w:pPr>
        <w:pStyle w:val="76"/>
        <w:jc w:val="right"/>
        <w:rPr>
          <w:rFonts w:hint="eastAsia"/>
          <w:highlight w:val="cyan"/>
          <w:u w:val="single"/>
          <w:lang w:val="en-US" w:eastAsia="zh-CN"/>
        </w:rPr>
      </w:pPr>
    </w:p>
    <w:p w14:paraId="22C6BEDA">
      <w:pPr>
        <w:pStyle w:val="76"/>
        <w:jc w:val="right"/>
        <w:rPr>
          <w:rFonts w:hint="eastAsia"/>
          <w:highlight w:val="cyan"/>
          <w:u w:val="single"/>
          <w:lang w:val="en-US" w:eastAsia="zh-CN"/>
        </w:rPr>
      </w:pPr>
    </w:p>
    <w:p w14:paraId="410F58AB">
      <w:pPr>
        <w:pStyle w:val="76"/>
        <w:ind w:firstLine="6510" w:firstLineChars="3100"/>
        <w:jc w:val="both"/>
      </w:pPr>
      <w:r>
        <w:rPr>
          <w:rFonts w:hint="eastAsia"/>
          <w:highlight w:val="none"/>
          <w:u w:val="single"/>
          <w:lang w:val="en-US" w:eastAsia="zh-CN"/>
        </w:rPr>
        <w:t>2025</w:t>
      </w:r>
      <w:r>
        <w:rPr>
          <w:rFonts w:hint="eastAsia"/>
        </w:rPr>
        <w:t>年</w:t>
      </w:r>
      <w:r>
        <w:rPr>
          <w:rFonts w:hint="eastAsia"/>
          <w:lang w:val="en-US" w:eastAsia="zh-CN"/>
        </w:rPr>
        <w:t>10</w:t>
      </w:r>
      <w:r>
        <w:rPr>
          <w:rFonts w:hint="eastAsia"/>
        </w:rPr>
        <w:t>月</w:t>
      </w:r>
      <w:r>
        <w:rPr>
          <w:rFonts w:hint="eastAsia"/>
          <w:lang w:val="en-US" w:eastAsia="zh-CN"/>
        </w:rPr>
        <w:t>13</w:t>
      </w:r>
      <w:r>
        <w:rPr>
          <w:rFonts w:hint="eastAsia"/>
        </w:rPr>
        <w:t>日</w:t>
      </w:r>
    </w:p>
    <w:p w14:paraId="73B695ED">
      <w:r>
        <w:br w:type="page"/>
      </w:r>
    </w:p>
    <w:p w14:paraId="3D820EEC">
      <w:pPr>
        <w:pStyle w:val="71"/>
      </w:pPr>
      <w:bookmarkStart w:id="10" w:name="_Toc7753"/>
      <w:bookmarkStart w:id="11" w:name="_Toc47976595"/>
      <w:r>
        <w:rPr>
          <w:rFonts w:hint="eastAsia"/>
        </w:rPr>
        <w:t>第一部分  投标人须知</w:t>
      </w:r>
      <w:bookmarkEnd w:id="10"/>
      <w:bookmarkEnd w:id="11"/>
    </w:p>
    <w:p w14:paraId="418340FC">
      <w:pPr>
        <w:pStyle w:val="72"/>
        <w:numPr>
          <w:ilvl w:val="0"/>
          <w:numId w:val="12"/>
        </w:numPr>
        <w:ind w:left="420"/>
        <w:jc w:val="left"/>
      </w:pPr>
      <w:bookmarkStart w:id="12" w:name="_Toc47976596"/>
      <w:r>
        <w:rPr>
          <w:rFonts w:hint="eastAsia"/>
        </w:rPr>
        <w:t>项目介绍</w:t>
      </w:r>
      <w:bookmarkEnd w:id="12"/>
    </w:p>
    <w:p w14:paraId="6360E7CD">
      <w:pPr>
        <w:pStyle w:val="76"/>
        <w:numPr>
          <w:ilvl w:val="0"/>
          <w:numId w:val="13"/>
        </w:numPr>
        <w:ind w:left="425" w:leftChars="0" w:hanging="425" w:firstLineChars="0"/>
      </w:pPr>
      <w:r>
        <w:rPr>
          <w:rFonts w:hint="eastAsia"/>
        </w:rPr>
        <w:t>项目名称：</w:t>
      </w:r>
      <w:r>
        <w:rPr>
          <w:rFonts w:hint="eastAsia"/>
          <w:highlight w:val="yellow"/>
        </w:rPr>
        <w:t>2025年危险废物处置项目</w:t>
      </w:r>
    </w:p>
    <w:p w14:paraId="17A97EAA">
      <w:pPr>
        <w:pStyle w:val="76"/>
        <w:numPr>
          <w:ilvl w:val="0"/>
          <w:numId w:val="13"/>
        </w:numPr>
        <w:ind w:left="425" w:leftChars="0" w:hanging="425" w:firstLineChars="0"/>
      </w:pPr>
      <w:r>
        <w:rPr>
          <w:rFonts w:hint="eastAsia"/>
        </w:rPr>
        <w:t>项目编号：</w:t>
      </w:r>
      <w:r>
        <w:rPr>
          <w:rFonts w:hint="eastAsia"/>
          <w:highlight w:val="yellow"/>
        </w:rPr>
        <w:t>FSCZB2025100022</w:t>
      </w:r>
    </w:p>
    <w:p w14:paraId="5C6CF568">
      <w:pPr>
        <w:pStyle w:val="76"/>
        <w:numPr>
          <w:ilvl w:val="0"/>
          <w:numId w:val="13"/>
        </w:numPr>
        <w:ind w:left="425" w:leftChars="0" w:hanging="425" w:firstLineChars="0"/>
      </w:pPr>
      <w:r>
        <w:rPr>
          <w:rFonts w:hint="eastAsia"/>
        </w:rPr>
        <w:t>招标形式：</w:t>
      </w:r>
      <w:bookmarkStart w:id="13" w:name="_Toc47112482"/>
      <w:r>
        <w:rPr>
          <w:rFonts w:hint="eastAsia"/>
          <w:highlight w:val="yellow"/>
          <w:lang w:val="en-US" w:eastAsia="zh-CN"/>
        </w:rPr>
        <w:t>公开招标</w:t>
      </w:r>
    </w:p>
    <w:p w14:paraId="742B3A80">
      <w:pPr>
        <w:pStyle w:val="76"/>
        <w:numPr>
          <w:ilvl w:val="0"/>
          <w:numId w:val="13"/>
        </w:numPr>
        <w:ind w:left="425" w:leftChars="0" w:hanging="425" w:firstLineChars="0"/>
      </w:pPr>
      <w:r>
        <w:rPr>
          <w:rFonts w:hint="eastAsia"/>
          <w:lang w:val="en-US" w:eastAsia="zh-CN"/>
        </w:rPr>
        <w:t>项目概况：</w:t>
      </w:r>
      <w:r>
        <w:rPr>
          <w:rFonts w:hint="eastAsia"/>
          <w:highlight w:val="none"/>
        </w:rPr>
        <w:t>重汽（重庆）轻型汽车有限公司位于重庆市江津区双福生产基地在进行生产经营活动中，会产生危险废物。现委托中标人，对招标人经营过程中产生的废溶剂、油水混合物、漆渣、废油漆、废胶等按国家相关规定要求处理/处置，并承担相应的责任。并同时承担运输过程中的安全、环保及其他相关责任。</w:t>
      </w:r>
    </w:p>
    <w:p w14:paraId="151561C8">
      <w:pPr>
        <w:pStyle w:val="76"/>
        <w:numPr>
          <w:ilvl w:val="0"/>
          <w:numId w:val="13"/>
        </w:numPr>
        <w:ind w:left="425" w:leftChars="0" w:hanging="425" w:firstLineChars="0"/>
        <w:rPr>
          <w:rFonts w:hint="default" w:ascii="宋体" w:hAnsi="Courier New" w:eastAsia="宋体" w:cs="Times New Roman"/>
          <w:highlight w:val="none"/>
          <w:lang w:val="en-US" w:eastAsia="zh-CN"/>
        </w:rPr>
      </w:pPr>
      <w:r>
        <w:rPr>
          <w:rFonts w:hint="eastAsia" w:cs="Times New Roman"/>
          <w:highlight w:val="none"/>
          <w:lang w:val="en-US" w:eastAsia="zh-CN"/>
        </w:rPr>
        <w:t>招标内容</w:t>
      </w:r>
      <w:r>
        <w:rPr>
          <w:rFonts w:hint="eastAsia" w:ascii="宋体" w:hAnsi="Courier New" w:eastAsia="宋体" w:cs="Times New Roman"/>
          <w:highlight w:val="none"/>
          <w:lang w:val="en-US" w:eastAsia="zh-CN"/>
        </w:rPr>
        <w:t>具体要求详见《技术标书》。</w:t>
      </w:r>
    </w:p>
    <w:p w14:paraId="10BC6F77">
      <w:pPr>
        <w:pStyle w:val="76"/>
        <w:numPr>
          <w:ilvl w:val="0"/>
          <w:numId w:val="13"/>
        </w:numPr>
        <w:ind w:left="425" w:leftChars="0" w:hanging="425" w:firstLineChars="0"/>
        <w:rPr>
          <w:rFonts w:hint="default" w:cs="Times New Roman"/>
          <w:u w:val="none"/>
          <w:lang w:val="en-US" w:eastAsia="zh-CN"/>
        </w:rPr>
      </w:pPr>
      <w:r>
        <w:rPr>
          <w:rFonts w:hint="eastAsia"/>
          <w:lang w:val="en-US" w:eastAsia="zh-CN"/>
        </w:rPr>
        <w:t>报价：</w:t>
      </w:r>
      <w:r>
        <w:rPr>
          <w:rFonts w:hint="eastAsia" w:cs="Times New Roman"/>
          <w:b/>
          <w:bCs/>
          <w:color w:val="FF0000"/>
          <w:highlight w:val="yellow"/>
          <w:u w:val="none"/>
          <w:lang w:val="en-US" w:eastAsia="zh-CN"/>
        </w:rPr>
        <w:t>报价应包含币种、不含税金额、税率及价税合计金额</w:t>
      </w:r>
    </w:p>
    <w:p w14:paraId="2A2F2260">
      <w:pPr>
        <w:pStyle w:val="76"/>
        <w:numPr>
          <w:ilvl w:val="0"/>
          <w:numId w:val="13"/>
        </w:numPr>
        <w:ind w:left="425" w:leftChars="0" w:hanging="425" w:firstLineChars="0"/>
        <w:rPr>
          <w:rFonts w:hint="eastAsia" w:cs="Times New Roman"/>
          <w:highlight w:val="none"/>
          <w:lang w:val="en-US" w:eastAsia="zh-CN"/>
        </w:rPr>
      </w:pPr>
      <w:r>
        <w:rPr>
          <w:rFonts w:hint="eastAsia" w:ascii="宋体" w:hAnsi="Courier New" w:eastAsia="宋体" w:cs="Times New Roman"/>
          <w:highlight w:val="none"/>
          <w:lang w:val="en-US" w:eastAsia="zh-CN"/>
        </w:rPr>
        <w:t>招标人信息：</w:t>
      </w:r>
    </w:p>
    <w:p w14:paraId="49EA9036">
      <w:pPr>
        <w:ind w:firstLine="422" w:firstLineChars="200"/>
        <w:rPr>
          <w:rFonts w:ascii="宋体" w:hAnsi="宋体" w:cs="宋体"/>
          <w:b/>
          <w:snapToGrid w:val="0"/>
          <w:kern w:val="0"/>
          <w:szCs w:val="21"/>
        </w:rPr>
      </w:pPr>
      <w:r>
        <w:rPr>
          <w:rFonts w:hint="eastAsia" w:ascii="宋体" w:hAnsi="宋体" w:cs="宋体"/>
          <w:b/>
          <w:snapToGrid w:val="0"/>
          <w:kern w:val="0"/>
          <w:szCs w:val="21"/>
        </w:rPr>
        <w:t>招标人名称：</w:t>
      </w:r>
      <w:r>
        <w:rPr>
          <w:rFonts w:hint="eastAsia" w:ascii="宋体" w:hAnsi="宋体" w:cs="宋体"/>
          <w:b/>
          <w:szCs w:val="21"/>
          <w:u w:val="single"/>
        </w:rPr>
        <w:t>中国重汽集团济南动力有限公司</w:t>
      </w:r>
    </w:p>
    <w:p w14:paraId="6C87215E">
      <w:pPr>
        <w:pStyle w:val="72"/>
        <w:numPr>
          <w:ilvl w:val="0"/>
          <w:numId w:val="0"/>
        </w:numPr>
        <w:ind w:firstLine="422" w:firstLineChars="200"/>
        <w:rPr>
          <w:bCs w:val="0"/>
          <w:sz w:val="21"/>
          <w:szCs w:val="21"/>
          <w:highlight w:val="yellow"/>
        </w:rPr>
      </w:pPr>
      <w:r>
        <w:rPr>
          <w:rFonts w:hint="eastAsia" w:ascii="宋体" w:hAnsi="宋体" w:eastAsia="宋体" w:cs="宋体"/>
          <w:bCs w:val="0"/>
          <w:snapToGrid w:val="0"/>
          <w:kern w:val="0"/>
          <w:sz w:val="21"/>
          <w:szCs w:val="21"/>
        </w:rPr>
        <w:t>招标人地址：</w:t>
      </w:r>
      <w:r>
        <w:rPr>
          <w:rFonts w:hint="eastAsia" w:ascii="宋体" w:hAnsi="宋体" w:eastAsia="宋体" w:cs="宋体"/>
          <w:bCs w:val="0"/>
          <w:sz w:val="21"/>
          <w:szCs w:val="21"/>
          <w:u w:val="single"/>
        </w:rPr>
        <w:t>济南市历城区华奥路777号</w:t>
      </w:r>
    </w:p>
    <w:p w14:paraId="05D35AF8">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highlight w:val="yellow"/>
        </w:rPr>
        <w:t>商务联系人：</w:t>
      </w:r>
      <w:r>
        <w:rPr>
          <w:rFonts w:hint="eastAsia" w:ascii="宋体" w:hAnsi="宋体" w:eastAsia="宋体" w:cs="宋体"/>
          <w:bCs w:val="0"/>
          <w:sz w:val="21"/>
          <w:szCs w:val="21"/>
        </w:rPr>
        <w:t>郭朝琛</w:t>
      </w:r>
    </w:p>
    <w:p w14:paraId="3B81A866">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电话：15275666282</w:t>
      </w:r>
    </w:p>
    <w:p w14:paraId="3856A11F">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邮箱：1494144783@qq.com</w:t>
      </w:r>
    </w:p>
    <w:p w14:paraId="1D428AAC">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highlight w:val="yellow"/>
        </w:rPr>
        <w:t>技术联系人：</w:t>
      </w:r>
      <w:r>
        <w:rPr>
          <w:rFonts w:hint="eastAsia" w:ascii="宋体" w:hAnsi="宋体" w:eastAsia="宋体" w:cs="宋体"/>
          <w:bCs w:val="0"/>
          <w:sz w:val="21"/>
          <w:szCs w:val="21"/>
        </w:rPr>
        <w:t>周英</w:t>
      </w:r>
    </w:p>
    <w:p w14:paraId="4AC2D1D9">
      <w:pPr>
        <w:pStyle w:val="72"/>
        <w:numPr>
          <w:ilvl w:val="0"/>
          <w:numId w:val="0"/>
        </w:numPr>
        <w:ind w:firstLine="422" w:firstLineChars="200"/>
        <w:rPr>
          <w:rFonts w:hint="eastAsia" w:ascii="宋体" w:hAnsi="宋体" w:eastAsia="宋体" w:cs="宋体"/>
          <w:bCs w:val="0"/>
          <w:sz w:val="21"/>
          <w:szCs w:val="21"/>
        </w:rPr>
      </w:pPr>
      <w:r>
        <w:rPr>
          <w:rFonts w:hint="eastAsia" w:ascii="宋体" w:hAnsi="宋体" w:eastAsia="宋体" w:cs="宋体"/>
          <w:bCs w:val="0"/>
          <w:sz w:val="21"/>
          <w:szCs w:val="21"/>
        </w:rPr>
        <w:t>电话：15730385281</w:t>
      </w:r>
    </w:p>
    <w:p w14:paraId="0D517860">
      <w:pPr>
        <w:pStyle w:val="76"/>
        <w:numPr>
          <w:numId w:val="0"/>
        </w:numPr>
        <w:ind w:leftChars="0" w:firstLine="422" w:firstLineChars="200"/>
        <w:rPr>
          <w:rFonts w:hint="eastAsia" w:cs="Times New Roman"/>
          <w:highlight w:val="none"/>
          <w:lang w:val="en-US" w:eastAsia="zh-CN"/>
        </w:rPr>
      </w:pPr>
      <w:r>
        <w:rPr>
          <w:rFonts w:hint="eastAsia" w:ascii="宋体" w:hAnsi="宋体" w:eastAsia="宋体" w:cs="宋体"/>
          <w:b/>
          <w:bCs/>
          <w:sz w:val="21"/>
          <w:szCs w:val="21"/>
        </w:rPr>
        <w:t>邮箱：zhouying1@sinotruk.com</w:t>
      </w:r>
    </w:p>
    <w:bookmarkEnd w:id="13"/>
    <w:p w14:paraId="50DC6C75">
      <w:pPr>
        <w:pStyle w:val="72"/>
      </w:pPr>
      <w:bookmarkStart w:id="14" w:name="_Toc47976598"/>
      <w:r>
        <w:rPr>
          <w:rFonts w:hint="eastAsia"/>
        </w:rPr>
        <w:t>合格的投标人。</w:t>
      </w:r>
      <w:bookmarkEnd w:id="14"/>
    </w:p>
    <w:p w14:paraId="3C8DE851">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投标人须遵守《中华人民共和国招标投标法》及其它有关的法律和法规；为中华人民共和国境内注册的独立法人机构，具有独立承担民事责任能力；</w:t>
      </w:r>
    </w:p>
    <w:p w14:paraId="3A0297CA">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rFonts w:hint="eastAsia" w:ascii="宋体" w:hAnsi="Courier New" w:eastAsia="宋体" w:cs="Times New Roman"/>
          <w:b w:val="0"/>
          <w:bCs/>
          <w:strike w:val="0"/>
          <w:dstrike w:val="0"/>
          <w:highlight w:val="none"/>
        </w:rPr>
      </w:pPr>
      <w:r>
        <w:rPr>
          <w:rFonts w:hint="eastAsia" w:ascii="宋体" w:hAnsi="Courier New" w:eastAsia="宋体" w:cs="Times New Roman"/>
          <w:b w:val="0"/>
          <w:bCs/>
          <w:strike w:val="0"/>
          <w:dstrike w:val="0"/>
          <w:highlight w:val="none"/>
        </w:rPr>
        <w:t>拟标投人必须是在中华人民共和国境内注册的独立法人机构，具有独立承担民事责任能力；注册资金不少于</w:t>
      </w:r>
      <w:r>
        <w:rPr>
          <w:rFonts w:hint="eastAsia" w:cs="Times New Roman"/>
          <w:b w:val="0"/>
          <w:bCs/>
          <w:strike w:val="0"/>
          <w:dstrike w:val="0"/>
          <w:highlight w:val="yellow"/>
          <w:u w:val="single"/>
          <w:lang w:val="en-US" w:eastAsia="zh-CN"/>
        </w:rPr>
        <w:t>500</w:t>
      </w:r>
      <w:r>
        <w:rPr>
          <w:rFonts w:hint="eastAsia" w:ascii="宋体" w:hAnsi="Courier New" w:eastAsia="宋体" w:cs="Times New Roman"/>
          <w:b w:val="0"/>
          <w:bCs/>
          <w:strike w:val="0"/>
          <w:dstrike w:val="0"/>
          <w:highlight w:val="none"/>
        </w:rPr>
        <w:t>万人民币（或等值其他货币）；公司成立</w:t>
      </w:r>
      <w:r>
        <w:rPr>
          <w:rFonts w:hint="eastAsia" w:cs="Times New Roman"/>
          <w:b w:val="0"/>
          <w:bCs/>
          <w:strike w:val="0"/>
          <w:dstrike w:val="0"/>
          <w:highlight w:val="yellow"/>
          <w:u w:val="single"/>
          <w:lang w:val="en-US" w:eastAsia="zh-CN"/>
        </w:rPr>
        <w:t>3</w:t>
      </w:r>
      <w:r>
        <w:rPr>
          <w:rFonts w:hint="eastAsia" w:ascii="宋体" w:hAnsi="Courier New" w:eastAsia="宋体" w:cs="Times New Roman"/>
          <w:b w:val="0"/>
          <w:bCs/>
          <w:strike w:val="0"/>
          <w:dstrike w:val="0"/>
          <w:highlight w:val="none"/>
        </w:rPr>
        <w:t>年以上（以营业执照成立日期到开标当日满</w:t>
      </w:r>
      <w:r>
        <w:rPr>
          <w:rFonts w:hint="eastAsia" w:cs="Times New Roman"/>
          <w:b w:val="0"/>
          <w:bCs/>
          <w:strike w:val="0"/>
          <w:dstrike w:val="0"/>
          <w:highlight w:val="yellow"/>
          <w:u w:val="single"/>
          <w:lang w:val="en-US" w:eastAsia="zh-CN"/>
        </w:rPr>
        <w:t>3</w:t>
      </w:r>
      <w:r>
        <w:rPr>
          <w:rFonts w:hint="eastAsia" w:ascii="宋体" w:hAnsi="Courier New" w:eastAsia="宋体" w:cs="Times New Roman"/>
          <w:b w:val="0"/>
          <w:bCs/>
          <w:strike w:val="0"/>
          <w:dstrike w:val="0"/>
          <w:highlight w:val="none"/>
        </w:rPr>
        <w:t>年为准），且经营范围满足招标人需求；并在人员、设备、资金等方面具有承担本项目的能力；</w:t>
      </w:r>
    </w:p>
    <w:p w14:paraId="2B164D82">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投标人须具有良好的商业信誉和健全的财务会计制度，财务状况和市场行为良好。没有处于被有权机关吊销营业执照、吊销资质、停业整顿、取消投标资格以及财产被接管、冻结或进入破产程序等；</w:t>
      </w:r>
    </w:p>
    <w:p w14:paraId="11A84527">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投标人在“信用中国”中未列入联合惩戒失信人名单，且工商行政管理局的《国家企业信用信息公示系统》中查询不存在不良记录；</w:t>
      </w:r>
    </w:p>
    <w:p w14:paraId="7850D9F4">
      <w:pPr>
        <w:pStyle w:val="73"/>
        <w:numPr>
          <w:ilvl w:val="0"/>
          <w:numId w:val="14"/>
        </w:numPr>
        <w:ind w:left="0" w:firstLine="0"/>
        <w:rPr>
          <w:b w:val="0"/>
          <w:bCs/>
        </w:rPr>
      </w:pPr>
      <w:r>
        <w:rPr>
          <w:rFonts w:hint="eastAsia" w:ascii="宋体" w:hAnsi="Courier New" w:eastAsia="宋体" w:cs="Times New Roman"/>
          <w:b w:val="0"/>
          <w:bCs/>
          <w:strike w:val="0"/>
          <w:dstrike w:val="0"/>
          <w:highlight w:val="none"/>
        </w:rPr>
        <w:t>无招标违规、谎报年度报告信息、提供虚假资质资料等行为或其他行政处罚记录；</w:t>
      </w:r>
    </w:p>
    <w:p w14:paraId="0124C8EA">
      <w:pPr>
        <w:pStyle w:val="73"/>
        <w:numPr>
          <w:ilvl w:val="0"/>
          <w:numId w:val="14"/>
        </w:numPr>
        <w:ind w:left="0" w:firstLine="0"/>
        <w:rPr>
          <w:rFonts w:hint="eastAsia" w:ascii="宋体" w:hAnsi="Courier New" w:eastAsia="宋体" w:cs="Times New Roman"/>
          <w:b w:val="0"/>
          <w:bCs/>
          <w:strike w:val="0"/>
          <w:dstrike w:val="0"/>
          <w:highlight w:val="none"/>
        </w:rPr>
      </w:pPr>
      <w:r>
        <w:rPr>
          <w:rFonts w:hint="eastAsia"/>
          <w:b w:val="0"/>
          <w:bCs/>
        </w:rPr>
        <w:t>近三年内在经营活动中无与本项目有关的违法及重大违规情况</w:t>
      </w:r>
      <w:r>
        <w:rPr>
          <w:rFonts w:hint="eastAsia"/>
          <w:b w:val="0"/>
          <w:bCs/>
          <w:lang w:eastAsia="zh-CN"/>
        </w:rPr>
        <w:t>；</w:t>
      </w:r>
    </w:p>
    <w:p w14:paraId="7F71A33C">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投标人没有被列入招标人处《黑名单》（《黑名单》指投标人与招标人在以往或正在进行的合作中，存在招标人认为的违反合同约定或违反法律法规等的失信行为）的；</w:t>
      </w:r>
    </w:p>
    <w:p w14:paraId="45902C3C">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公司经营范围满足招标项目需求；</w:t>
      </w:r>
    </w:p>
    <w:p w14:paraId="46FDC1F4">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投标人须具有履行招标文件所有设备、专业技术等要求的能力；</w:t>
      </w:r>
    </w:p>
    <w:p w14:paraId="10068469">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投标人须有依法缴纳税收和社会保障资金的良好记录；</w:t>
      </w:r>
    </w:p>
    <w:p w14:paraId="651270A8">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具有本次招标货物的供货、安装、售后服务等的相应资质；</w:t>
      </w:r>
    </w:p>
    <w:p w14:paraId="274E20B1">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投标人须负责提供合理的便于运输的包装物，并承担相关费用</w:t>
      </w:r>
      <w:r>
        <w:rPr>
          <w:rFonts w:hint="eastAsia"/>
          <w:b w:val="0"/>
          <w:bCs/>
          <w:strike w:val="0"/>
          <w:dstrike w:val="0"/>
          <w:highlight w:val="none"/>
          <w:lang w:eastAsia="zh-CN"/>
        </w:rPr>
        <w:t>；</w:t>
      </w:r>
    </w:p>
    <w:p w14:paraId="7B48E8FC">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投标人须认可招标人的工作指令，包括节、假日能正常开展工作的要求。</w:t>
      </w:r>
    </w:p>
    <w:p w14:paraId="316F538A">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ascii="宋体" w:hAnsi="Courier New" w:eastAsia="宋体" w:cs="Times New Roman"/>
          <w:b w:val="0"/>
          <w:bCs/>
          <w:strike w:val="0"/>
          <w:dstrike w:val="0"/>
          <w:highlight w:val="none"/>
          <w:lang w:val="en-US" w:eastAsia="zh-CN"/>
        </w:rPr>
        <w:t>拟投标人的直接或间接股东、法定代表人、董事、监事、高管非重汽员工及其亲属；</w:t>
      </w:r>
    </w:p>
    <w:p w14:paraId="371EFEB6">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投标人必须是最终投标、签订合同的单位，不得以任何理由将已中标项目以任何形式转包或者分包给其他单位</w:t>
      </w:r>
      <w:r>
        <w:rPr>
          <w:rFonts w:hint="eastAsia"/>
          <w:b w:val="0"/>
          <w:bCs/>
          <w:strike w:val="0"/>
          <w:dstrike w:val="0"/>
          <w:highlight w:val="none"/>
          <w:lang w:eastAsia="zh-CN"/>
        </w:rPr>
        <w:t>；</w:t>
      </w:r>
    </w:p>
    <w:p w14:paraId="3B1E6D00">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bCs w:val="0"/>
          <w:strike w:val="0"/>
          <w:dstrike w:val="0"/>
          <w:color w:val="FF0000"/>
          <w:highlight w:val="none"/>
        </w:rPr>
      </w:pPr>
      <w:r>
        <w:rPr>
          <w:rFonts w:hint="eastAsia"/>
          <w:b w:val="0"/>
          <w:bCs/>
          <w:strike w:val="0"/>
          <w:dstrike w:val="0"/>
          <w:highlight w:val="none"/>
        </w:rPr>
        <w:t>本次招标项目</w:t>
      </w:r>
      <w:r>
        <w:rPr>
          <w:rFonts w:hint="eastAsia"/>
          <w:b w:val="0"/>
          <w:bCs/>
          <w:strike w:val="0"/>
          <w:dstrike w:val="0"/>
          <w:highlight w:val="yellow"/>
          <w:u w:val="none"/>
        </w:rPr>
        <w:t>不接受</w:t>
      </w:r>
      <w:r>
        <w:rPr>
          <w:rFonts w:hint="eastAsia"/>
          <w:b w:val="0"/>
          <w:bCs/>
          <w:strike w:val="0"/>
          <w:dstrike w:val="0"/>
          <w:highlight w:val="none"/>
        </w:rPr>
        <w:t>联合体投标</w:t>
      </w:r>
      <w:r>
        <w:rPr>
          <w:rFonts w:hint="eastAsia"/>
          <w:b w:val="0"/>
          <w:bCs/>
          <w:strike w:val="0"/>
          <w:dstrike w:val="0"/>
          <w:highlight w:val="none"/>
          <w:lang w:eastAsia="zh-CN"/>
        </w:rPr>
        <w:t>；</w:t>
      </w:r>
    </w:p>
    <w:p w14:paraId="3339A7C9">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法律、行政法规规定的其他条件</w:t>
      </w:r>
      <w:r>
        <w:rPr>
          <w:rFonts w:hint="eastAsia"/>
          <w:b w:val="0"/>
          <w:bCs/>
          <w:strike w:val="0"/>
          <w:dstrike w:val="0"/>
          <w:highlight w:val="none"/>
          <w:lang w:eastAsia="zh-CN"/>
        </w:rPr>
        <w:t>；</w:t>
      </w:r>
    </w:p>
    <w:p w14:paraId="6D75D9DC">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近三年（截止到报名时）危险废物处置业绩不少于3个。</w:t>
      </w:r>
    </w:p>
    <w:p w14:paraId="78F48A99">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投标人须具备行政主管部门颁发的有效危险废物经营（收集、贮存及处置）资质，且经营资质范围必须涵盖招标人委托的危废类别范围。</w:t>
      </w:r>
    </w:p>
    <w:p w14:paraId="01A7CCB4">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投标方有专业售后服务团队，满足我司售后服务要求。</w:t>
      </w:r>
    </w:p>
    <w:p w14:paraId="31CA8C38">
      <w:pPr>
        <w:pStyle w:val="72"/>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09A92690">
      <w:pPr>
        <w:pStyle w:val="76"/>
        <w:numPr>
          <w:ilvl w:val="0"/>
          <w:numId w:val="15"/>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w:t>
      </w:r>
      <w:r>
        <w:rPr>
          <w:rFonts w:hint="eastAsia" w:ascii="宋体" w:hAnsi="Courier New" w:eastAsia="宋体" w:cs="Times New Roman"/>
          <w:highlight w:val="yellow"/>
          <w:lang w:val="en-US" w:eastAsia="zh-CN"/>
        </w:rPr>
        <w:t>20</w:t>
      </w:r>
      <w:r>
        <w:rPr>
          <w:rFonts w:hint="eastAsia" w:cs="Times New Roman"/>
          <w:highlight w:val="yellow"/>
          <w:lang w:val="en-US" w:eastAsia="zh-CN"/>
        </w:rPr>
        <w:t>25</w:t>
      </w:r>
      <w:r>
        <w:rPr>
          <w:rFonts w:hint="eastAsia" w:ascii="宋体" w:hAnsi="Courier New" w:eastAsia="宋体" w:cs="Times New Roman"/>
          <w:highlight w:val="yellow"/>
          <w:lang w:val="en-US" w:eastAsia="zh-CN"/>
        </w:rPr>
        <w:t>年</w:t>
      </w:r>
      <w:r>
        <w:rPr>
          <w:rFonts w:hint="eastAsia" w:cs="Times New Roman"/>
          <w:highlight w:val="yellow"/>
          <w:lang w:val="en-US" w:eastAsia="zh-CN"/>
        </w:rPr>
        <w:t>10</w:t>
      </w:r>
      <w:r>
        <w:rPr>
          <w:rFonts w:hint="eastAsia" w:ascii="宋体" w:hAnsi="Courier New" w:eastAsia="宋体" w:cs="Times New Roman"/>
          <w:highlight w:val="yellow"/>
          <w:lang w:val="en-US" w:eastAsia="zh-CN"/>
        </w:rPr>
        <w:t>月</w:t>
      </w:r>
      <w:r>
        <w:rPr>
          <w:rFonts w:hint="eastAsia" w:cs="Times New Roman"/>
          <w:highlight w:val="yellow"/>
          <w:lang w:val="en-US" w:eastAsia="zh-CN"/>
        </w:rPr>
        <w:t>13</w:t>
      </w:r>
      <w:r>
        <w:rPr>
          <w:rFonts w:hint="eastAsia" w:ascii="宋体" w:hAnsi="Courier New" w:eastAsia="宋体" w:cs="Times New Roman"/>
          <w:highlight w:val="yellow"/>
          <w:lang w:val="en-US" w:eastAsia="zh-CN"/>
        </w:rPr>
        <w:t>日</w:t>
      </w:r>
    </w:p>
    <w:p w14:paraId="06F551C0">
      <w:pPr>
        <w:pStyle w:val="76"/>
        <w:numPr>
          <w:ilvl w:val="0"/>
          <w:numId w:val="15"/>
        </w:numPr>
        <w:jc w:val="both"/>
        <w:rPr>
          <w:highlight w:val="yellow"/>
        </w:rPr>
      </w:pPr>
      <w:r>
        <w:rPr>
          <w:rFonts w:hint="eastAsia"/>
          <w:highlight w:val="yellow"/>
        </w:rPr>
        <w:t>招标文件领取方式：线上</w:t>
      </w:r>
    </w:p>
    <w:p w14:paraId="5BA032BB">
      <w:pPr>
        <w:pStyle w:val="76"/>
        <w:ind w:firstLine="210" w:firstLineChars="100"/>
        <w:jc w:val="both"/>
        <w:rPr>
          <w:highlight w:val="yellow"/>
        </w:rPr>
      </w:pPr>
      <w:r>
        <w:rPr>
          <w:rFonts w:hint="eastAsia"/>
          <w:highlight w:val="yellow"/>
        </w:rPr>
        <w:t>地点：中国重汽e采通平台</w:t>
      </w:r>
    </w:p>
    <w:p w14:paraId="5C2ED88E">
      <w:pPr>
        <w:pStyle w:val="76"/>
        <w:numPr>
          <w:ilvl w:val="0"/>
          <w:numId w:val="0"/>
        </w:numPr>
        <w:ind w:leftChars="0" w:firstLine="210" w:firstLineChars="100"/>
        <w:jc w:val="both"/>
        <w:rPr>
          <w:rFonts w:hint="default" w:ascii="宋体" w:hAnsi="Courier New" w:eastAsia="宋体" w:cs="Times New Roman"/>
          <w:highlight w:val="yellow"/>
          <w:lang w:val="en-US" w:eastAsia="zh-CN"/>
        </w:rPr>
      </w:pPr>
      <w:r>
        <w:rPr>
          <w:rFonts w:hint="eastAsia"/>
          <w:highlight w:val="yellow"/>
        </w:rPr>
        <w:t>领取截止时间：2025年</w:t>
      </w:r>
      <w:r>
        <w:rPr>
          <w:rFonts w:hint="eastAsia"/>
          <w:highlight w:val="yellow"/>
          <w:lang w:val="en-US" w:eastAsia="zh-CN"/>
        </w:rPr>
        <w:t>10</w:t>
      </w:r>
      <w:r>
        <w:rPr>
          <w:rFonts w:hint="eastAsia"/>
          <w:highlight w:val="yellow"/>
        </w:rPr>
        <w:t>月</w:t>
      </w:r>
      <w:r>
        <w:rPr>
          <w:rFonts w:hint="eastAsia"/>
          <w:highlight w:val="yellow"/>
          <w:lang w:val="en-US" w:eastAsia="zh-CN"/>
        </w:rPr>
        <w:t>18</w:t>
      </w:r>
      <w:r>
        <w:rPr>
          <w:rFonts w:hint="eastAsia"/>
          <w:highlight w:val="yellow"/>
        </w:rPr>
        <w:t>日</w:t>
      </w:r>
    </w:p>
    <w:p w14:paraId="7BBFEC4F">
      <w:pPr>
        <w:pStyle w:val="76"/>
        <w:numPr>
          <w:ilvl w:val="0"/>
          <w:numId w:val="15"/>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答疑时间：</w:t>
      </w:r>
      <w:r>
        <w:rPr>
          <w:rFonts w:hint="eastAsia" w:ascii="宋体" w:hAnsi="Courier New" w:eastAsia="宋体" w:cs="Times New Roman"/>
          <w:highlight w:val="yellow"/>
          <w:lang w:val="en-US" w:eastAsia="zh-CN"/>
        </w:rPr>
        <w:t>20</w:t>
      </w:r>
      <w:r>
        <w:rPr>
          <w:rFonts w:hint="eastAsia" w:cs="Times New Roman"/>
          <w:highlight w:val="yellow"/>
          <w:lang w:val="en-US" w:eastAsia="zh-CN"/>
        </w:rPr>
        <w:t>25</w:t>
      </w:r>
      <w:r>
        <w:rPr>
          <w:rFonts w:hint="eastAsia" w:ascii="宋体" w:hAnsi="Courier New" w:eastAsia="宋体" w:cs="Times New Roman"/>
          <w:highlight w:val="yellow"/>
          <w:lang w:val="en-US" w:eastAsia="zh-CN"/>
        </w:rPr>
        <w:t>年</w:t>
      </w:r>
      <w:r>
        <w:rPr>
          <w:rFonts w:hint="eastAsia" w:cs="Times New Roman"/>
          <w:highlight w:val="yellow"/>
          <w:lang w:val="en-US" w:eastAsia="zh-CN"/>
        </w:rPr>
        <w:t>10</w:t>
      </w:r>
      <w:r>
        <w:rPr>
          <w:rFonts w:hint="eastAsia" w:ascii="宋体" w:hAnsi="Courier New" w:eastAsia="宋体" w:cs="Times New Roman"/>
          <w:highlight w:val="yellow"/>
          <w:lang w:val="en-US" w:eastAsia="zh-CN"/>
        </w:rPr>
        <w:t>月</w:t>
      </w:r>
      <w:r>
        <w:rPr>
          <w:rFonts w:hint="eastAsia" w:cs="Times New Roman"/>
          <w:highlight w:val="yellow"/>
          <w:lang w:val="en-US" w:eastAsia="zh-CN"/>
        </w:rPr>
        <w:t>23</w:t>
      </w:r>
      <w:r>
        <w:rPr>
          <w:rFonts w:hint="eastAsia" w:ascii="宋体" w:hAnsi="Courier New" w:eastAsia="宋体" w:cs="Times New Roman"/>
          <w:highlight w:val="yellow"/>
          <w:lang w:val="en-US" w:eastAsia="zh-CN"/>
        </w:rPr>
        <w:t>日</w:t>
      </w:r>
      <w:r>
        <w:rPr>
          <w:rFonts w:hint="eastAsia" w:ascii="宋体" w:hAnsi="宋体" w:eastAsia="宋体" w:cs="宋体"/>
          <w:bCs/>
          <w:sz w:val="21"/>
          <w:szCs w:val="21"/>
          <w:highlight w:val="yellow"/>
        </w:rPr>
        <w:t>1</w:t>
      </w:r>
      <w:r>
        <w:rPr>
          <w:rFonts w:hint="eastAsia" w:ascii="宋体" w:hAnsi="宋体" w:eastAsia="宋体" w:cs="宋体"/>
          <w:bCs/>
          <w:sz w:val="21"/>
          <w:szCs w:val="21"/>
          <w:highlight w:val="yellow"/>
          <w:lang w:val="en-US" w:eastAsia="zh-CN"/>
        </w:rPr>
        <w:t>2</w:t>
      </w:r>
      <w:r>
        <w:rPr>
          <w:rFonts w:hint="eastAsia" w:ascii="宋体" w:hAnsi="宋体" w:eastAsia="宋体" w:cs="宋体"/>
          <w:bCs/>
          <w:sz w:val="21"/>
          <w:szCs w:val="21"/>
          <w:highlight w:val="yellow"/>
        </w:rPr>
        <w:t>:00:00</w:t>
      </w:r>
      <w:r>
        <w:rPr>
          <w:rFonts w:hint="eastAsia" w:ascii="宋体" w:hAnsi="Courier New" w:eastAsia="宋体" w:cs="Times New Roman"/>
          <w:highlight w:val="yellow"/>
          <w:lang w:val="en-US" w:eastAsia="zh-CN"/>
        </w:rPr>
        <w:t>前</w:t>
      </w:r>
    </w:p>
    <w:p w14:paraId="62CB87C4">
      <w:pPr>
        <w:pStyle w:val="76"/>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提交疑问</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07C0B551">
      <w:pPr>
        <w:pStyle w:val="76"/>
        <w:numPr>
          <w:ilvl w:val="0"/>
          <w:numId w:val="15"/>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领取答疑、澄清和修改文件时间：</w:t>
      </w:r>
      <w:r>
        <w:rPr>
          <w:rFonts w:hint="eastAsia"/>
          <w:highlight w:val="yellow"/>
        </w:rPr>
        <w:t>2025年10月</w:t>
      </w:r>
      <w:r>
        <w:rPr>
          <w:rFonts w:hint="eastAsia"/>
          <w:highlight w:val="yellow"/>
          <w:lang w:val="en-US" w:eastAsia="zh-CN"/>
        </w:rPr>
        <w:t>23</w:t>
      </w:r>
      <w:r>
        <w:rPr>
          <w:rFonts w:hint="eastAsia"/>
          <w:highlight w:val="yellow"/>
        </w:rPr>
        <w:t>日</w:t>
      </w:r>
      <w:r>
        <w:rPr>
          <w:rFonts w:hint="eastAsia" w:ascii="宋体" w:hAnsi="宋体" w:eastAsia="宋体" w:cs="宋体"/>
          <w:bCs/>
          <w:sz w:val="21"/>
          <w:szCs w:val="21"/>
          <w:highlight w:val="yellow"/>
        </w:rPr>
        <w:t>17:00:00</w:t>
      </w:r>
      <w:r>
        <w:rPr>
          <w:rFonts w:hint="eastAsia"/>
          <w:highlight w:val="yellow"/>
        </w:rPr>
        <w:t>前：</w:t>
      </w:r>
    </w:p>
    <w:p w14:paraId="59AC1516">
      <w:pPr>
        <w:pStyle w:val="76"/>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答疑、澄清和修改文件方式：招标人将以电子邮件的方式将招标文件的答疑澄清文件发送至答疑文件提交时登记的电子邮箱。</w:t>
      </w:r>
    </w:p>
    <w:p w14:paraId="50653E88">
      <w:pPr>
        <w:pStyle w:val="76"/>
        <w:numPr>
          <w:ilvl w:val="0"/>
          <w:numId w:val="15"/>
        </w:numPr>
        <w:ind w:left="425" w:leftChars="0" w:hanging="425" w:firstLineChars="0"/>
        <w:jc w:val="both"/>
        <w:rPr>
          <w:rFonts w:hint="eastAsia" w:ascii="宋体" w:hAnsi="Courier New" w:eastAsia="宋体" w:cs="Times New Roman"/>
          <w:highlight w:val="yellow"/>
          <w:lang w:val="en-US" w:eastAsia="zh-CN"/>
        </w:rPr>
      </w:pPr>
      <w:r>
        <w:rPr>
          <w:rFonts w:hint="eastAsia" w:ascii="宋体" w:hAnsi="Courier New" w:eastAsia="宋体" w:cs="Times New Roman"/>
          <w:highlight w:val="yellow"/>
          <w:lang w:val="en-US" w:eastAsia="zh-CN"/>
        </w:rPr>
        <w:t>报名方式</w:t>
      </w:r>
      <w:r>
        <w:rPr>
          <w:rFonts w:hint="eastAsia" w:cs="Times New Roman"/>
          <w:highlight w:val="yellow"/>
          <w:lang w:val="en-US" w:eastAsia="zh-CN"/>
        </w:rPr>
        <w:t>：</w:t>
      </w:r>
      <w:r>
        <w:rPr>
          <w:rFonts w:hint="eastAsia"/>
          <w:highlight w:val="yellow"/>
        </w:rPr>
        <w:t>在“中国重汽e采通”平台报名</w:t>
      </w:r>
    </w:p>
    <w:p w14:paraId="37E44D95">
      <w:pPr>
        <w:pStyle w:val="76"/>
        <w:numPr>
          <w:ilvl w:val="0"/>
          <w:numId w:val="15"/>
        </w:numPr>
        <w:ind w:left="425" w:leftChars="0" w:hanging="425" w:firstLineChars="0"/>
        <w:jc w:val="both"/>
        <w:rPr>
          <w:rFonts w:hint="eastAsia" w:ascii="宋体" w:hAnsi="Courier New" w:eastAsia="宋体" w:cs="Times New Roman"/>
          <w:highlight w:val="yellow"/>
          <w:lang w:val="en-US" w:eastAsia="zh-CN"/>
        </w:rPr>
      </w:pPr>
      <w:r>
        <w:rPr>
          <w:rFonts w:hint="eastAsia" w:ascii="宋体" w:hAnsi="Courier New" w:eastAsia="宋体" w:cs="Times New Roman"/>
          <w:highlight w:val="yellow"/>
          <w:lang w:val="en-US" w:eastAsia="zh-CN"/>
        </w:rPr>
        <w:t>应标截止时间</w:t>
      </w:r>
      <w:r>
        <w:rPr>
          <w:rFonts w:hint="eastAsia" w:cs="Times New Roman"/>
          <w:highlight w:val="yellow"/>
          <w:lang w:val="en-US" w:eastAsia="zh-CN"/>
        </w:rPr>
        <w:t>：</w:t>
      </w:r>
      <w:r>
        <w:rPr>
          <w:rFonts w:hint="eastAsia" w:hAnsi="宋体" w:cs="宋体"/>
          <w:sz w:val="24"/>
          <w:szCs w:val="24"/>
          <w:highlight w:val="yellow"/>
        </w:rPr>
        <w:t>2025年</w:t>
      </w:r>
      <w:r>
        <w:rPr>
          <w:rFonts w:hint="eastAsia" w:hAnsi="宋体" w:cs="宋体"/>
          <w:sz w:val="24"/>
          <w:szCs w:val="24"/>
          <w:highlight w:val="yellow"/>
          <w:lang w:val="en-US" w:eastAsia="zh-CN"/>
        </w:rPr>
        <w:t>10</w:t>
      </w:r>
      <w:r>
        <w:rPr>
          <w:rFonts w:hint="eastAsia" w:hAnsi="宋体" w:cs="宋体"/>
          <w:sz w:val="24"/>
          <w:szCs w:val="24"/>
          <w:highlight w:val="yellow"/>
        </w:rPr>
        <w:t>月</w:t>
      </w:r>
      <w:r>
        <w:rPr>
          <w:rFonts w:hint="eastAsia" w:hAnsi="宋体" w:cs="宋体"/>
          <w:sz w:val="24"/>
          <w:szCs w:val="24"/>
          <w:highlight w:val="yellow"/>
          <w:lang w:val="en-US" w:eastAsia="zh-CN"/>
        </w:rPr>
        <w:t>18</w:t>
      </w:r>
      <w:r>
        <w:rPr>
          <w:rFonts w:hint="eastAsia" w:hAnsi="宋体" w:cs="宋体"/>
          <w:sz w:val="24"/>
          <w:szCs w:val="24"/>
          <w:highlight w:val="yellow"/>
        </w:rPr>
        <w:t>日</w:t>
      </w:r>
      <w:r>
        <w:rPr>
          <w:rFonts w:hint="eastAsia" w:hAnsi="宋体" w:cs="宋体"/>
          <w:bCs/>
          <w:sz w:val="24"/>
          <w:szCs w:val="24"/>
          <w:highlight w:val="yellow"/>
        </w:rPr>
        <w:t>17:00:00</w:t>
      </w:r>
      <w:r>
        <w:rPr>
          <w:rFonts w:hint="eastAsia" w:cs="宋体"/>
          <w:bCs/>
          <w:highlight w:val="yellow"/>
        </w:rPr>
        <w:t>前</w:t>
      </w:r>
    </w:p>
    <w:p w14:paraId="0C785EC5">
      <w:pPr>
        <w:pStyle w:val="72"/>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14:paraId="59493963">
      <w:pPr>
        <w:pStyle w:val="73"/>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b w:val="0"/>
        </w:rPr>
      </w:pPr>
      <w:r>
        <w:rPr>
          <w:rFonts w:hint="eastAsia"/>
          <w:b w:val="0"/>
          <w:lang w:val="en-US" w:eastAsia="zh-CN"/>
        </w:rPr>
        <w:t>投标文件的组成</w:t>
      </w:r>
    </w:p>
    <w:p w14:paraId="5EA04826">
      <w:pPr>
        <w:pStyle w:val="73"/>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投标人编写的投标文件由《投标文件（资质标）》、《投标文件（技术标）》(若有）、《投标文件（商务标）》（开标一览表）文件组成，共计</w:t>
      </w:r>
      <w:r>
        <w:rPr>
          <w:rFonts w:hint="eastAsia" w:cs="Times New Roman"/>
          <w:b w:val="0"/>
          <w:bCs/>
          <w:highlight w:val="yellow"/>
          <w:u w:val="single"/>
          <w:lang w:val="en-US" w:eastAsia="zh-CN"/>
        </w:rPr>
        <w:t>3</w:t>
      </w:r>
      <w:r>
        <w:rPr>
          <w:rFonts w:hint="eastAsia" w:ascii="宋体" w:hAnsi="Courier New" w:eastAsia="宋体" w:cs="Times New Roman"/>
          <w:b w:val="0"/>
          <w:bCs/>
          <w:highlight w:val="none"/>
          <w:lang w:val="en-US" w:eastAsia="zh-CN"/>
        </w:rPr>
        <w:t>个文件。</w:t>
      </w:r>
    </w:p>
    <w:p w14:paraId="2DD7BA97">
      <w:pPr>
        <w:pStyle w:val="74"/>
        <w:numPr>
          <w:ilvl w:val="0"/>
          <w:numId w:val="17"/>
        </w:numPr>
        <w:ind w:left="425" w:leftChars="0" w:hanging="425" w:firstLineChars="0"/>
        <w:rPr>
          <w:b w:val="0"/>
          <w:bCs/>
          <w:highlight w:val="none"/>
        </w:rPr>
      </w:pPr>
      <w:r>
        <w:rPr>
          <w:rFonts w:hint="eastAsia"/>
          <w:b w:val="0"/>
          <w:bCs/>
          <w:highlight w:val="none"/>
        </w:rPr>
        <w:t>资质文件：</w:t>
      </w:r>
    </w:p>
    <w:p w14:paraId="13BAC003">
      <w:pPr>
        <w:pStyle w:val="75"/>
        <w:numPr>
          <w:ilvl w:val="0"/>
          <w:numId w:val="18"/>
        </w:numPr>
        <w:ind w:left="425" w:leftChars="0" w:hanging="425" w:firstLineChars="0"/>
        <w:rPr>
          <w:b w:val="0"/>
          <w:bCs/>
          <w:highlight w:val="none"/>
        </w:rPr>
      </w:pPr>
      <w:r>
        <w:rPr>
          <w:rFonts w:hint="eastAsia"/>
          <w:b w:val="0"/>
          <w:bCs/>
          <w:highlight w:val="none"/>
        </w:rPr>
        <w:t>法定代表人身份证明；</w:t>
      </w:r>
    </w:p>
    <w:p w14:paraId="4DBDF119">
      <w:pPr>
        <w:pStyle w:val="75"/>
        <w:numPr>
          <w:ilvl w:val="0"/>
          <w:numId w:val="18"/>
        </w:numPr>
        <w:ind w:left="425" w:leftChars="0" w:hanging="425" w:firstLineChars="0"/>
        <w:rPr>
          <w:b w:val="0"/>
          <w:bCs/>
          <w:highlight w:val="none"/>
        </w:rPr>
      </w:pPr>
      <w:r>
        <w:rPr>
          <w:rFonts w:hint="eastAsia"/>
          <w:b w:val="0"/>
          <w:bCs/>
          <w:highlight w:val="none"/>
        </w:rPr>
        <w:t>法定代表人授权委托书（授权人需带身份证原件）；</w:t>
      </w:r>
    </w:p>
    <w:p w14:paraId="73FE5F95">
      <w:pPr>
        <w:pStyle w:val="75"/>
        <w:numPr>
          <w:ilvl w:val="0"/>
          <w:numId w:val="18"/>
        </w:numPr>
        <w:ind w:left="425" w:leftChars="0" w:hanging="425" w:firstLineChars="0"/>
        <w:rPr>
          <w:b w:val="0"/>
          <w:bCs/>
          <w:highlight w:val="none"/>
        </w:rPr>
      </w:pPr>
      <w:r>
        <w:rPr>
          <w:rFonts w:hint="eastAsia"/>
          <w:b w:val="0"/>
          <w:bCs/>
          <w:highlight w:val="none"/>
        </w:rPr>
        <w:t>营业执照副本原件</w:t>
      </w:r>
      <w:r>
        <w:rPr>
          <w:rFonts w:hint="eastAsia"/>
          <w:b w:val="0"/>
          <w:bCs/>
          <w:highlight w:val="none"/>
          <w:lang w:val="en-US" w:eastAsia="zh-CN"/>
        </w:rPr>
        <w:t>或复印件并加盖公章</w:t>
      </w:r>
      <w:r>
        <w:rPr>
          <w:rFonts w:hint="eastAsia"/>
          <w:b w:val="0"/>
          <w:bCs/>
          <w:highlight w:val="none"/>
        </w:rPr>
        <w:t>；</w:t>
      </w:r>
    </w:p>
    <w:p w14:paraId="440F9E5B">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投标人应具有相应生产证明，若</w:t>
      </w:r>
      <w:r>
        <w:rPr>
          <w:rFonts w:hint="eastAsia"/>
          <w:b w:val="0"/>
          <w:bCs/>
          <w:highlight w:val="none"/>
          <w:lang w:val="en-US" w:eastAsia="zh-CN"/>
        </w:rPr>
        <w:t>非原厂商</w:t>
      </w:r>
      <w:r>
        <w:rPr>
          <w:rFonts w:hint="eastAsia"/>
          <w:b w:val="0"/>
          <w:bCs/>
          <w:highlight w:val="none"/>
        </w:rPr>
        <w:t>需提供</w:t>
      </w:r>
      <w:r>
        <w:rPr>
          <w:rFonts w:hint="eastAsia"/>
          <w:b w:val="0"/>
          <w:bCs/>
          <w:highlight w:val="none"/>
          <w:lang w:val="en-US" w:eastAsia="zh-CN"/>
        </w:rPr>
        <w:t>原厂商</w:t>
      </w:r>
      <w:r>
        <w:rPr>
          <w:rFonts w:hint="eastAsia"/>
          <w:b w:val="0"/>
          <w:bCs/>
          <w:highlight w:val="none"/>
        </w:rPr>
        <w:t>授权书（原件或加盖投标单位公章的彩色打印件）；</w:t>
      </w:r>
    </w:p>
    <w:p w14:paraId="6A7B69C9">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证明投标人满足投标资料表中列出的业绩要求的文件</w:t>
      </w:r>
      <w:r>
        <w:rPr>
          <w:rFonts w:hint="eastAsia"/>
          <w:b w:val="0"/>
          <w:bCs/>
          <w:highlight w:val="none"/>
          <w:lang w:eastAsia="zh-CN"/>
        </w:rPr>
        <w:t>；</w:t>
      </w:r>
    </w:p>
    <w:p w14:paraId="2E43C7FD">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hAnsi="Courier New"/>
          <w:b w:val="0"/>
          <w:bCs/>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7CB7B902">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企业最近半年完税证明、信用证明材料（征信报告）；</w:t>
      </w:r>
    </w:p>
    <w:p w14:paraId="2F1917FF">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年度纳税信用评价信息（可从电子税务局查询截图，需加盖公章）；</w:t>
      </w:r>
    </w:p>
    <w:p w14:paraId="66CC3FFB">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企业对外担保说明（写明贵单位对外有无对外担保和质押业务，需加盖公章）。</w:t>
      </w:r>
    </w:p>
    <w:p w14:paraId="49857420">
      <w:pPr>
        <w:pStyle w:val="75"/>
        <w:numPr>
          <w:ilvl w:val="0"/>
          <w:numId w:val="18"/>
        </w:numPr>
        <w:ind w:left="425" w:leftChars="0" w:hanging="425" w:firstLineChars="0"/>
        <w:rPr>
          <w:b w:val="0"/>
          <w:bCs/>
          <w:highlight w:val="none"/>
        </w:rPr>
      </w:pPr>
      <w:r>
        <w:rPr>
          <w:rFonts w:hint="eastAsia"/>
          <w:b w:val="0"/>
          <w:bCs/>
          <w:highlight w:val="none"/>
        </w:rPr>
        <w:t>信用中国截图或国家企业信用信息公示系统截图；</w:t>
      </w:r>
    </w:p>
    <w:p w14:paraId="08F8AAFD">
      <w:pPr>
        <w:pStyle w:val="75"/>
        <w:numPr>
          <w:ilvl w:val="0"/>
          <w:numId w:val="18"/>
        </w:numPr>
        <w:ind w:left="425" w:leftChars="0" w:hanging="425" w:firstLineChars="0"/>
        <w:rPr>
          <w:b w:val="0"/>
          <w:bCs/>
          <w:highlight w:val="none"/>
        </w:rPr>
      </w:pPr>
      <w:r>
        <w:rPr>
          <w:rFonts w:hint="eastAsia"/>
          <w:b w:val="0"/>
          <w:bCs/>
          <w:highlight w:val="none"/>
        </w:rPr>
        <w:t>招标文件中要求的其它资格证明文件。</w:t>
      </w:r>
    </w:p>
    <w:p w14:paraId="0FCAA68A">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b w:val="0"/>
          <w:bCs/>
          <w:highlight w:val="none"/>
        </w:rPr>
      </w:pPr>
      <w:r>
        <w:rPr>
          <w:rFonts w:hint="eastAsia"/>
          <w:b w:val="0"/>
          <w:bCs/>
          <w:highlight w:val="none"/>
        </w:rPr>
        <w:t>对于投标人资质审核不通过的，招标人有权拒绝其投标。</w:t>
      </w:r>
    </w:p>
    <w:p w14:paraId="35D922EF">
      <w:pPr>
        <w:pStyle w:val="74"/>
        <w:numPr>
          <w:ilvl w:val="0"/>
          <w:numId w:val="17"/>
        </w:numPr>
        <w:ind w:left="425" w:leftChars="0" w:hanging="425" w:firstLineChars="0"/>
        <w:rPr>
          <w:rFonts w:hint="eastAsia" w:cs="Times New Roman"/>
          <w:b w:val="0"/>
          <w:bCs/>
          <w:highlight w:val="yellow"/>
        </w:rPr>
      </w:pPr>
      <w:r>
        <w:rPr>
          <w:rFonts w:hint="eastAsia" w:cs="Times New Roman"/>
          <w:b w:val="0"/>
          <w:bCs/>
          <w:highlight w:val="yellow"/>
        </w:rPr>
        <w:t>技术标：</w:t>
      </w:r>
    </w:p>
    <w:p w14:paraId="7CB8DE54">
      <w:pPr>
        <w:pStyle w:val="75"/>
        <w:numPr>
          <w:ilvl w:val="0"/>
          <w:numId w:val="20"/>
        </w:numPr>
        <w:ind w:left="425" w:leftChars="0" w:hanging="425" w:firstLineChars="0"/>
        <w:rPr>
          <w:b w:val="0"/>
          <w:bCs/>
          <w:highlight w:val="yellow"/>
        </w:rPr>
      </w:pPr>
      <w:r>
        <w:rPr>
          <w:rFonts w:hint="eastAsia"/>
          <w:b w:val="0"/>
          <w:bCs/>
          <w:highlight w:val="yellow"/>
        </w:rPr>
        <w:t>技术配置对比表。</w:t>
      </w:r>
    </w:p>
    <w:p w14:paraId="3D6F729D">
      <w:pPr>
        <w:pStyle w:val="75"/>
        <w:numPr>
          <w:ilvl w:val="0"/>
          <w:numId w:val="20"/>
        </w:numPr>
        <w:ind w:left="425" w:leftChars="0" w:hanging="425" w:firstLineChars="0"/>
        <w:rPr>
          <w:b w:val="0"/>
          <w:bCs/>
          <w:highlight w:val="yellow"/>
        </w:rPr>
      </w:pPr>
      <w:r>
        <w:rPr>
          <w:rFonts w:hint="eastAsia"/>
          <w:b w:val="0"/>
          <w:bCs/>
          <w:highlight w:val="yellow"/>
        </w:rPr>
        <w:t>投标设备配置明细表；</w:t>
      </w:r>
    </w:p>
    <w:p w14:paraId="69AE970B">
      <w:pPr>
        <w:pStyle w:val="75"/>
        <w:numPr>
          <w:ilvl w:val="0"/>
          <w:numId w:val="20"/>
        </w:numPr>
        <w:ind w:left="425" w:leftChars="0" w:hanging="425" w:firstLineChars="0"/>
        <w:rPr>
          <w:b w:val="0"/>
          <w:bCs/>
          <w:highlight w:val="yellow"/>
        </w:rPr>
      </w:pPr>
      <w:r>
        <w:rPr>
          <w:rFonts w:hint="eastAsia"/>
          <w:b w:val="0"/>
          <w:bCs/>
          <w:highlight w:val="yellow"/>
        </w:rPr>
        <w:t>技术规格偏离表；</w:t>
      </w:r>
    </w:p>
    <w:p w14:paraId="5D2BBFAC">
      <w:pPr>
        <w:pStyle w:val="75"/>
        <w:numPr>
          <w:ilvl w:val="0"/>
          <w:numId w:val="20"/>
        </w:numPr>
        <w:ind w:left="425" w:leftChars="0" w:hanging="425" w:firstLineChars="0"/>
        <w:rPr>
          <w:b w:val="0"/>
          <w:bCs/>
          <w:highlight w:val="yellow"/>
        </w:rPr>
      </w:pPr>
      <w:r>
        <w:rPr>
          <w:rFonts w:hint="eastAsia"/>
          <w:b w:val="0"/>
          <w:bCs/>
          <w:highlight w:val="yellow"/>
        </w:rPr>
        <w:t>技术性能、参数的描述；</w:t>
      </w:r>
      <w:r>
        <w:rPr>
          <w:b w:val="0"/>
          <w:bCs/>
          <w:highlight w:val="yellow"/>
        </w:rPr>
        <w:t xml:space="preserve"> </w:t>
      </w:r>
    </w:p>
    <w:p w14:paraId="6E70AD99">
      <w:pPr>
        <w:pStyle w:val="75"/>
        <w:numPr>
          <w:ilvl w:val="0"/>
          <w:numId w:val="20"/>
        </w:numPr>
        <w:ind w:left="425" w:leftChars="0" w:hanging="425" w:firstLineChars="0"/>
        <w:rPr>
          <w:b w:val="0"/>
          <w:bCs/>
          <w:highlight w:val="yellow"/>
        </w:rPr>
      </w:pPr>
      <w:r>
        <w:rPr>
          <w:rFonts w:hint="eastAsia"/>
          <w:b w:val="0"/>
          <w:bCs/>
          <w:highlight w:val="yellow"/>
        </w:rPr>
        <w:t>备品备件工具材料明细表；</w:t>
      </w:r>
      <w:r>
        <w:rPr>
          <w:b w:val="0"/>
          <w:bCs/>
          <w:highlight w:val="yellow"/>
        </w:rPr>
        <w:t xml:space="preserve"> </w:t>
      </w:r>
    </w:p>
    <w:p w14:paraId="47175D6D">
      <w:pPr>
        <w:pStyle w:val="74"/>
        <w:numPr>
          <w:ilvl w:val="0"/>
          <w:numId w:val="17"/>
        </w:numPr>
        <w:ind w:left="425" w:leftChars="0" w:hanging="425" w:firstLineChars="0"/>
        <w:rPr>
          <w:rFonts w:hint="eastAsia" w:cs="Times New Roman"/>
          <w:b w:val="0"/>
          <w:bCs/>
          <w:highlight w:val="none"/>
        </w:rPr>
      </w:pPr>
      <w:r>
        <w:rPr>
          <w:rFonts w:hint="eastAsia" w:cs="Times New Roman"/>
          <w:b w:val="0"/>
          <w:bCs/>
          <w:highlight w:val="none"/>
        </w:rPr>
        <w:t>商务标：</w:t>
      </w:r>
    </w:p>
    <w:p w14:paraId="1FEC8CF2">
      <w:pPr>
        <w:pStyle w:val="75"/>
        <w:keepNext w:val="0"/>
        <w:keepLines w:val="0"/>
        <w:pageBreakBefore w:val="0"/>
        <w:widowControl w:val="0"/>
        <w:numPr>
          <w:ilvl w:val="0"/>
          <w:numId w:val="21"/>
        </w:numPr>
        <w:kinsoku/>
        <w:wordWrap/>
        <w:overflowPunct/>
        <w:topLinePunct w:val="0"/>
        <w:autoSpaceDE/>
        <w:autoSpaceDN/>
        <w:bidi w:val="0"/>
        <w:adjustRightInd/>
        <w:snapToGrid/>
        <w:ind w:left="425" w:leftChars="0" w:hanging="425" w:firstLineChars="0"/>
        <w:textAlignment w:val="auto"/>
        <w:rPr>
          <w:b w:val="0"/>
          <w:bCs/>
          <w:highlight w:val="yellow"/>
        </w:rPr>
      </w:pPr>
      <w:r>
        <w:rPr>
          <w:rFonts w:hint="eastAsia"/>
          <w:b w:val="0"/>
          <w:bCs/>
          <w:highlight w:val="yellow"/>
          <w:lang w:val="en-US" w:eastAsia="zh-CN"/>
        </w:rPr>
        <w:t>开标一览表</w:t>
      </w:r>
    </w:p>
    <w:p w14:paraId="0DFA5CBE">
      <w:pPr>
        <w:pStyle w:val="75"/>
        <w:numPr>
          <w:ilvl w:val="0"/>
          <w:numId w:val="21"/>
        </w:numPr>
        <w:ind w:left="425" w:leftChars="0" w:hanging="425" w:firstLineChars="0"/>
        <w:rPr>
          <w:b w:val="0"/>
          <w:bCs/>
          <w:highlight w:val="yellow"/>
        </w:rPr>
      </w:pPr>
      <w:r>
        <w:rPr>
          <w:rFonts w:hint="eastAsia"/>
          <w:b w:val="0"/>
          <w:bCs/>
          <w:highlight w:val="yellow"/>
        </w:rPr>
        <w:t>投标函（格式见附件）;</w:t>
      </w:r>
    </w:p>
    <w:p w14:paraId="5C36F232">
      <w:pPr>
        <w:pStyle w:val="75"/>
        <w:numPr>
          <w:ilvl w:val="0"/>
          <w:numId w:val="21"/>
        </w:numPr>
        <w:ind w:left="425" w:leftChars="0" w:hanging="425" w:firstLineChars="0"/>
        <w:rPr>
          <w:b w:val="0"/>
          <w:bCs/>
          <w:highlight w:val="yellow"/>
        </w:rPr>
      </w:pPr>
      <w:r>
        <w:rPr>
          <w:rFonts w:hint="eastAsia"/>
          <w:b w:val="0"/>
          <w:bCs/>
          <w:highlight w:val="yellow"/>
        </w:rPr>
        <w:t>商务条款偏离表；</w:t>
      </w:r>
    </w:p>
    <w:p w14:paraId="110B2C29">
      <w:pPr>
        <w:pStyle w:val="75"/>
        <w:numPr>
          <w:ilvl w:val="0"/>
          <w:numId w:val="21"/>
        </w:numPr>
        <w:ind w:left="425" w:leftChars="0" w:hanging="425" w:firstLineChars="0"/>
        <w:rPr>
          <w:b w:val="0"/>
          <w:bCs/>
          <w:highlight w:val="yellow"/>
        </w:rPr>
      </w:pPr>
      <w:r>
        <w:rPr>
          <w:rFonts w:hint="eastAsia"/>
          <w:b w:val="0"/>
          <w:bCs/>
          <w:highlight w:val="yellow"/>
        </w:rPr>
        <w:t>投标货物分项报价表；</w:t>
      </w:r>
    </w:p>
    <w:p w14:paraId="53DECED4">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default" w:cs="Times New Roman"/>
          <w:b w:val="0"/>
          <w:bCs/>
          <w:highlight w:val="none"/>
          <w:lang w:val="en-US" w:eastAsia="zh-CN"/>
        </w:rPr>
      </w:pPr>
      <w:r>
        <w:rPr>
          <w:rFonts w:hint="eastAsia" w:cs="Times New Roman"/>
          <w:b w:val="0"/>
          <w:bCs/>
          <w:highlight w:val="none"/>
          <w:lang w:val="en-US" w:eastAsia="zh-CN"/>
        </w:rPr>
        <w:t>商务报价注意内容：</w:t>
      </w:r>
      <w:r>
        <w:rPr>
          <w:rFonts w:hint="eastAsia" w:cs="Times New Roman"/>
          <w:b w:val="0"/>
          <w:bCs/>
          <w:highlight w:val="none"/>
        </w:rPr>
        <w:t>最高投标限价（招标控制价）：人民币</w:t>
      </w:r>
      <w:r>
        <w:rPr>
          <w:rFonts w:hint="eastAsia" w:cs="Times New Roman"/>
          <w:b w:val="0"/>
          <w:bCs/>
          <w:highlight w:val="yellow"/>
          <w:u w:val="single"/>
          <w:lang w:val="en-US" w:eastAsia="zh-CN"/>
        </w:rPr>
        <w:t>34.768</w:t>
      </w:r>
      <w:r>
        <w:rPr>
          <w:rFonts w:hint="eastAsia" w:cs="Times New Roman"/>
          <w:b w:val="0"/>
          <w:bCs/>
          <w:highlight w:val="none"/>
        </w:rPr>
        <w:t>万元（含</w:t>
      </w:r>
      <w:r>
        <w:rPr>
          <w:rFonts w:hint="eastAsia" w:cs="Times New Roman"/>
          <w:b w:val="0"/>
          <w:bCs/>
          <w:highlight w:val="yellow"/>
          <w:u w:val="single"/>
          <w:lang w:val="en-US" w:eastAsia="zh-CN"/>
        </w:rPr>
        <w:t>6</w:t>
      </w:r>
      <w:r>
        <w:rPr>
          <w:rFonts w:hint="eastAsia" w:cs="Times New Roman"/>
          <w:b w:val="0"/>
          <w:bCs/>
          <w:highlight w:val="none"/>
        </w:rPr>
        <w:t>%增值税），超过投标限价无法投标。</w:t>
      </w:r>
    </w:p>
    <w:p w14:paraId="70E2A45F">
      <w:pPr>
        <w:pStyle w:val="73"/>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rFonts w:hint="eastAsia" w:cs="Times New Roman"/>
          <w:b w:val="0"/>
          <w:lang w:val="en-US" w:eastAsia="zh-CN"/>
        </w:rPr>
      </w:pPr>
      <w:r>
        <w:rPr>
          <w:rFonts w:hint="eastAsia" w:cs="Times New Roman"/>
          <w:b w:val="0"/>
          <w:lang w:val="en-US" w:eastAsia="zh-CN"/>
        </w:rPr>
        <w:t>投标文件的投递</w:t>
      </w:r>
    </w:p>
    <w:p w14:paraId="115D88EA">
      <w:pPr>
        <w:pStyle w:val="75"/>
        <w:numPr>
          <w:ilvl w:val="0"/>
          <w:numId w:val="22"/>
        </w:numPr>
        <w:rPr>
          <w:bCs/>
          <w:highlight w:val="none"/>
        </w:rPr>
      </w:pPr>
      <w:r>
        <w:rPr>
          <w:rFonts w:hint="eastAsia"/>
          <w:bCs/>
          <w:highlight w:val="none"/>
        </w:rPr>
        <w:t>投标方式：</w:t>
      </w:r>
      <w:r>
        <w:rPr>
          <w:rFonts w:hint="eastAsia"/>
          <w:highlight w:val="none"/>
        </w:rPr>
        <w:t>在“中国重汽e采通”平台</w:t>
      </w:r>
      <w:r>
        <w:rPr>
          <w:rFonts w:hint="eastAsia"/>
          <w:bCs/>
          <w:highlight w:val="none"/>
        </w:rPr>
        <w:t>线上投标</w:t>
      </w:r>
    </w:p>
    <w:p w14:paraId="4B85DE38">
      <w:pPr>
        <w:pStyle w:val="75"/>
        <w:numPr>
          <w:ilvl w:val="0"/>
          <w:numId w:val="22"/>
        </w:numPr>
        <w:rPr>
          <w:rFonts w:hint="default" w:cs="Times New Roman"/>
          <w:b w:val="0"/>
          <w:lang w:val="en-US" w:eastAsia="zh-CN"/>
        </w:rPr>
      </w:pPr>
      <w:r>
        <w:rPr>
          <w:rFonts w:hint="eastAsia"/>
          <w:bCs/>
          <w:highlight w:val="none"/>
        </w:rPr>
        <w:t>联系人及联系方式：郭朝琛/15275666282</w:t>
      </w:r>
    </w:p>
    <w:p w14:paraId="6424068A">
      <w:pPr>
        <w:pStyle w:val="75"/>
        <w:numPr>
          <w:ilvl w:val="0"/>
          <w:numId w:val="22"/>
        </w:numPr>
        <w:rPr>
          <w:rFonts w:hint="default" w:cs="Times New Roman"/>
          <w:b w:val="0"/>
          <w:lang w:val="en-US" w:eastAsia="zh-CN"/>
        </w:rPr>
      </w:pPr>
      <w:r>
        <w:rPr>
          <w:rFonts w:hint="eastAsia"/>
          <w:bCs/>
          <w:highlight w:val="none"/>
        </w:rPr>
        <w:t>投标文件递交截止时间：</w:t>
      </w:r>
      <w:r>
        <w:rPr>
          <w:rFonts w:hint="eastAsia"/>
          <w:bCs/>
          <w:highlight w:val="yellow"/>
        </w:rPr>
        <w:t>2025年1</w:t>
      </w:r>
      <w:r>
        <w:rPr>
          <w:rFonts w:hint="eastAsia"/>
          <w:bCs/>
          <w:highlight w:val="yellow"/>
          <w:lang w:val="en-US" w:eastAsia="zh-CN"/>
        </w:rPr>
        <w:t>1</w:t>
      </w:r>
      <w:r>
        <w:rPr>
          <w:rFonts w:hint="eastAsia"/>
          <w:bCs/>
          <w:highlight w:val="yellow"/>
        </w:rPr>
        <w:t>月</w:t>
      </w:r>
      <w:r>
        <w:rPr>
          <w:rFonts w:hint="eastAsia"/>
          <w:bCs/>
          <w:highlight w:val="yellow"/>
          <w:lang w:val="en-US" w:eastAsia="zh-CN"/>
        </w:rPr>
        <w:t>13</w:t>
      </w:r>
      <w:r>
        <w:rPr>
          <w:rFonts w:hint="eastAsia"/>
          <w:bCs/>
          <w:highlight w:val="yellow"/>
        </w:rPr>
        <w:t>日9:00:00</w:t>
      </w:r>
    </w:p>
    <w:p w14:paraId="25974AAC">
      <w:pPr>
        <w:pStyle w:val="72"/>
        <w:rPr>
          <w:rFonts w:hint="eastAsia" w:hAnsi="Courier New" w:cs="Times New Roman"/>
          <w:highlight w:val="none"/>
        </w:rPr>
      </w:pPr>
      <w:bookmarkStart w:id="15"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pStyle w:val="72"/>
        <w:numPr>
          <w:ilvl w:val="0"/>
          <w:numId w:val="23"/>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投标保证金的缴纳</w:t>
      </w:r>
    </w:p>
    <w:p w14:paraId="021ADBC0">
      <w:pPr>
        <w:pStyle w:val="72"/>
        <w:numPr>
          <w:ilvl w:val="0"/>
          <w:numId w:val="24"/>
        </w:numPr>
        <w:ind w:left="425" w:leftChars="0" w:hanging="425" w:firstLine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04CD311F">
      <w:pPr>
        <w:pStyle w:val="72"/>
        <w:numPr>
          <w:ilvl w:val="0"/>
          <w:numId w:val="24"/>
        </w:numPr>
        <w:ind w:left="425" w:leftChars="0" w:hanging="425" w:firstLineChars="0"/>
        <w:rPr>
          <w:rFonts w:hint="default" w:ascii="宋体" w:hAnsi="宋体" w:eastAsia="宋体" w:cs="宋体"/>
          <w:b w:val="0"/>
          <w:bCs w:val="0"/>
          <w:sz w:val="21"/>
          <w:szCs w:val="21"/>
          <w:highlight w:val="yellow"/>
          <w:u w:val="single"/>
          <w:lang w:val="en-US" w:eastAsia="zh-CN"/>
        </w:rPr>
      </w:pPr>
      <w:r>
        <w:rPr>
          <w:rFonts w:hint="eastAsia" w:ascii="宋体" w:hAnsi="宋体" w:eastAsia="宋体" w:cs="宋体"/>
          <w:b w:val="0"/>
          <w:bCs w:val="0"/>
          <w:sz w:val="21"/>
          <w:szCs w:val="21"/>
          <w:highlight w:val="none"/>
        </w:rPr>
        <w:t>投标保证金的金额：人民币</w:t>
      </w:r>
      <w:r>
        <w:rPr>
          <w:rFonts w:hint="eastAsia" w:ascii="宋体" w:hAnsi="宋体" w:eastAsia="宋体" w:cs="宋体"/>
          <w:b w:val="0"/>
          <w:bCs w:val="0"/>
          <w:sz w:val="21"/>
          <w:szCs w:val="21"/>
          <w:highlight w:val="yellow"/>
          <w:u w:val="single"/>
          <w:lang w:val="en-US" w:eastAsia="zh-CN"/>
        </w:rPr>
        <w:t xml:space="preserve"> 5000</w:t>
      </w:r>
      <w:r>
        <w:rPr>
          <w:rFonts w:hint="eastAsia" w:ascii="宋体" w:hAnsi="宋体" w:eastAsia="宋体" w:cs="宋体"/>
          <w:b w:val="0"/>
          <w:bCs w:val="0"/>
          <w:sz w:val="21"/>
          <w:szCs w:val="21"/>
          <w:highlight w:val="none"/>
        </w:rPr>
        <w:t>元</w:t>
      </w:r>
    </w:p>
    <w:p w14:paraId="20472740">
      <w:pPr>
        <w:pStyle w:val="72"/>
        <w:numPr>
          <w:ilvl w:val="0"/>
          <w:numId w:val="24"/>
        </w:numPr>
        <w:rPr>
          <w:rFonts w:ascii="宋体" w:hAnsi="宋体" w:eastAsia="宋体" w:cs="宋体"/>
          <w:b w:val="0"/>
          <w:bCs w:val="0"/>
          <w:sz w:val="21"/>
          <w:szCs w:val="21"/>
          <w:highlight w:val="yellow"/>
          <w:u w:val="single"/>
        </w:rPr>
      </w:pPr>
      <w:r>
        <w:rPr>
          <w:rFonts w:hint="eastAsia" w:ascii="宋体" w:hAnsi="宋体" w:eastAsia="宋体" w:cs="宋体"/>
          <w:b w:val="0"/>
          <w:bCs w:val="0"/>
          <w:sz w:val="21"/>
          <w:szCs w:val="21"/>
          <w:highlight w:val="yellow"/>
        </w:rPr>
        <w:t>开户名称：</w:t>
      </w:r>
      <w:r>
        <w:rPr>
          <w:rFonts w:hint="eastAsia" w:ascii="宋体" w:hAnsi="宋体" w:eastAsia="宋体" w:cs="宋体"/>
          <w:b w:val="0"/>
          <w:bCs w:val="0"/>
          <w:sz w:val="21"/>
          <w:szCs w:val="21"/>
          <w:highlight w:val="yellow"/>
          <w:u w:val="single"/>
        </w:rPr>
        <w:t xml:space="preserve">  中国重汽集团济南动力有限公司</w:t>
      </w:r>
    </w:p>
    <w:p w14:paraId="34045B41">
      <w:pPr>
        <w:pStyle w:val="72"/>
        <w:numPr>
          <w:ilvl w:val="0"/>
          <w:numId w:val="0"/>
        </w:numPr>
        <w:rPr>
          <w:rFonts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开户银行：</w:t>
      </w:r>
      <w:r>
        <w:rPr>
          <w:rFonts w:hint="eastAsia" w:ascii="宋体" w:hAnsi="宋体" w:eastAsia="宋体" w:cs="宋体"/>
          <w:b w:val="0"/>
          <w:bCs w:val="0"/>
          <w:sz w:val="21"/>
          <w:szCs w:val="21"/>
          <w:highlight w:val="yellow"/>
          <w:u w:val="single"/>
        </w:rPr>
        <w:t>中国建设银行股份有限公司济南天桥支行</w:t>
      </w:r>
    </w:p>
    <w:p w14:paraId="0B307584">
      <w:pPr>
        <w:pStyle w:val="72"/>
        <w:numPr>
          <w:ilvl w:val="0"/>
          <w:numId w:val="0"/>
        </w:numPr>
        <w:rPr>
          <w:rFonts w:ascii="宋体" w:hAnsi="宋体" w:eastAsia="宋体" w:cs="宋体"/>
          <w:b w:val="0"/>
          <w:bCs w:val="0"/>
          <w:sz w:val="21"/>
          <w:szCs w:val="21"/>
          <w:highlight w:val="yellow"/>
          <w:u w:val="single"/>
        </w:rPr>
      </w:pPr>
      <w:r>
        <w:rPr>
          <w:rFonts w:hint="eastAsia" w:ascii="宋体" w:hAnsi="宋体" w:eastAsia="宋体" w:cs="宋体"/>
          <w:b w:val="0"/>
          <w:bCs w:val="0"/>
          <w:sz w:val="21"/>
          <w:szCs w:val="21"/>
          <w:highlight w:val="yellow"/>
        </w:rPr>
        <w:t>银行帐号：</w:t>
      </w:r>
      <w:r>
        <w:rPr>
          <w:rFonts w:hint="eastAsia" w:ascii="宋体" w:hAnsi="宋体" w:eastAsia="宋体" w:cs="宋体"/>
          <w:b w:val="0"/>
          <w:bCs w:val="0"/>
          <w:sz w:val="21"/>
          <w:szCs w:val="21"/>
          <w:highlight w:val="yellow"/>
          <w:u w:val="single"/>
        </w:rPr>
        <w:t>37001616508050150300</w:t>
      </w:r>
    </w:p>
    <w:p w14:paraId="1DB7311D">
      <w:pPr>
        <w:pStyle w:val="72"/>
        <w:numPr>
          <w:ilvl w:val="0"/>
          <w:numId w:val="0"/>
        </w:numPr>
        <w:ind w:leftChars="0"/>
        <w:rPr>
          <w:rFonts w:hint="eastAsia" w:ascii="宋体" w:hAnsi="宋体" w:eastAsia="宋体" w:cs="宋体"/>
          <w:b w:val="0"/>
          <w:bCs w:val="0"/>
          <w:sz w:val="21"/>
          <w:szCs w:val="21"/>
          <w:highlight w:val="yellow"/>
          <w:u w:val="single"/>
          <w:lang w:val="en-US" w:eastAsia="zh-CN"/>
        </w:rPr>
      </w:pPr>
      <w:r>
        <w:rPr>
          <w:rFonts w:hint="eastAsia" w:ascii="宋体" w:hAnsi="宋体" w:eastAsia="宋体" w:cs="宋体"/>
          <w:b w:val="0"/>
          <w:bCs w:val="0"/>
          <w:sz w:val="21"/>
          <w:szCs w:val="21"/>
          <w:highlight w:val="yellow"/>
        </w:rPr>
        <w:t>开户行联号：</w:t>
      </w:r>
      <w:r>
        <w:rPr>
          <w:rFonts w:hint="eastAsia" w:ascii="宋体" w:hAnsi="宋体" w:eastAsia="宋体" w:cs="宋体"/>
          <w:b w:val="0"/>
          <w:bCs w:val="0"/>
          <w:sz w:val="21"/>
          <w:szCs w:val="21"/>
          <w:highlight w:val="yellow"/>
          <w:u w:val="single"/>
        </w:rPr>
        <w:t>105451000362</w:t>
      </w:r>
    </w:p>
    <w:p w14:paraId="1591D62C">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转账附言：公司名称+项目名称+投标保证金。</w:t>
      </w:r>
    </w:p>
    <w:p w14:paraId="5568414C">
      <w:pPr>
        <w:pStyle w:val="72"/>
        <w:numPr>
          <w:ilvl w:val="0"/>
          <w:numId w:val="0"/>
        </w:numPr>
        <w:ind w:left="425" w:leftChars="0" w:hanging="425" w:firstLineChars="0"/>
        <w:rPr>
          <w:rFonts w:hint="eastAsia" w:ascii="宋体" w:hAnsi="宋体" w:eastAsia="宋体" w:cs="宋体"/>
          <w:b w:val="0"/>
          <w:bCs w:val="0"/>
          <w:sz w:val="21"/>
          <w:szCs w:val="21"/>
          <w:highlight w:val="none"/>
        </w:rPr>
      </w:pP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kern w:val="2"/>
          <w:sz w:val="21"/>
          <w:szCs w:val="21"/>
          <w:lang w:val="en-US" w:eastAsia="zh-CN" w:bidi="ar-SA"/>
        </w:rPr>
        <w:t>4</w:t>
      </w: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sz w:val="21"/>
          <w:szCs w:val="21"/>
          <w:highlight w:val="none"/>
        </w:rPr>
        <w:t>保证金缴纳截止时间：</w:t>
      </w:r>
      <w:r>
        <w:rPr>
          <w:rFonts w:hint="eastAsia" w:ascii="宋体" w:hAnsi="宋体" w:eastAsia="宋体" w:cs="宋体"/>
          <w:b w:val="0"/>
          <w:bCs w:val="0"/>
          <w:sz w:val="21"/>
          <w:szCs w:val="21"/>
          <w:highlight w:val="yellow"/>
        </w:rPr>
        <w:t>2025年1</w:t>
      </w:r>
      <w:r>
        <w:rPr>
          <w:rFonts w:hint="eastAsia" w:ascii="宋体" w:hAnsi="宋体" w:eastAsia="宋体" w:cs="宋体"/>
          <w:b w:val="0"/>
          <w:bCs w:val="0"/>
          <w:sz w:val="21"/>
          <w:szCs w:val="21"/>
          <w:highlight w:val="yellow"/>
          <w:lang w:val="en-US" w:eastAsia="zh-CN"/>
        </w:rPr>
        <w:t>1</w:t>
      </w:r>
      <w:r>
        <w:rPr>
          <w:rFonts w:hint="eastAsia" w:ascii="宋体" w:hAnsi="宋体" w:eastAsia="宋体" w:cs="宋体"/>
          <w:b w:val="0"/>
          <w:bCs w:val="0"/>
          <w:sz w:val="21"/>
          <w:szCs w:val="21"/>
          <w:highlight w:val="yellow"/>
        </w:rPr>
        <w:t>月</w:t>
      </w:r>
      <w:r>
        <w:rPr>
          <w:rFonts w:hint="eastAsia" w:ascii="宋体" w:hAnsi="宋体" w:eastAsia="宋体" w:cs="宋体"/>
          <w:b w:val="0"/>
          <w:bCs w:val="0"/>
          <w:sz w:val="21"/>
          <w:szCs w:val="21"/>
          <w:highlight w:val="yellow"/>
          <w:lang w:val="en-US" w:eastAsia="zh-CN"/>
        </w:rPr>
        <w:t>13</w:t>
      </w:r>
      <w:r>
        <w:rPr>
          <w:rFonts w:hint="eastAsia" w:ascii="宋体" w:hAnsi="宋体" w:eastAsia="宋体" w:cs="宋体"/>
          <w:b w:val="0"/>
          <w:bCs w:val="0"/>
          <w:sz w:val="21"/>
          <w:szCs w:val="21"/>
          <w:highlight w:val="yellow"/>
        </w:rPr>
        <w:t>日9：00前</w:t>
      </w:r>
      <w:r>
        <w:rPr>
          <w:rFonts w:hint="eastAsia" w:ascii="宋体" w:hAnsi="宋体" w:eastAsia="宋体" w:cs="宋体"/>
          <w:b w:val="0"/>
          <w:bCs w:val="0"/>
          <w:sz w:val="21"/>
          <w:szCs w:val="21"/>
        </w:rPr>
        <w:t>（同</w:t>
      </w:r>
      <w:r>
        <w:rPr>
          <w:rFonts w:hint="eastAsia" w:ascii="宋体" w:hAnsi="宋体" w:eastAsia="宋体" w:cs="宋体"/>
          <w:bCs/>
          <w:sz w:val="21"/>
          <w:szCs w:val="21"/>
          <w:highlight w:val="none"/>
        </w:rPr>
        <w:t>投标文件递交截止</w:t>
      </w:r>
      <w:r>
        <w:rPr>
          <w:rFonts w:hint="eastAsia" w:ascii="宋体" w:hAnsi="宋体" w:eastAsia="宋体" w:cs="宋体"/>
          <w:b w:val="0"/>
          <w:bCs w:val="0"/>
          <w:sz w:val="21"/>
          <w:szCs w:val="21"/>
        </w:rPr>
        <w:t>时间）</w:t>
      </w:r>
    </w:p>
    <w:p w14:paraId="4C2C93DA">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7486A087">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p>
    <w:p w14:paraId="5306DE77">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yellow"/>
          <w:u w:val="single"/>
          <w:lang w:val="en-US" w:eastAsia="zh-CN"/>
        </w:rPr>
        <w:t>30</w:t>
      </w:r>
      <w:r>
        <w:rPr>
          <w:rFonts w:hint="eastAsia" w:ascii="宋体" w:hAnsi="宋体" w:eastAsia="宋体" w:cs="宋体"/>
          <w:b w:val="0"/>
          <w:bCs w:val="0"/>
          <w:sz w:val="21"/>
          <w:szCs w:val="21"/>
          <w:highlight w:val="none"/>
        </w:rPr>
        <w:t>工作日内予以原路返还（无息）；对于中标方，投标保证金将在签订合同后</w:t>
      </w:r>
      <w:r>
        <w:rPr>
          <w:rFonts w:hint="eastAsia" w:ascii="宋体" w:hAnsi="宋体" w:eastAsia="宋体" w:cs="宋体"/>
          <w:b w:val="0"/>
          <w:bCs w:val="0"/>
          <w:sz w:val="21"/>
          <w:szCs w:val="21"/>
          <w:highlight w:val="yellow"/>
          <w:u w:val="single"/>
          <w:lang w:val="en-US" w:eastAsia="zh-CN"/>
        </w:rPr>
        <w:t xml:space="preserve"> 30 </w:t>
      </w:r>
      <w:r>
        <w:rPr>
          <w:rFonts w:hint="eastAsia" w:ascii="宋体" w:hAnsi="宋体" w:eastAsia="宋体" w:cs="宋体"/>
          <w:b w:val="0"/>
          <w:bCs w:val="0"/>
          <w:sz w:val="21"/>
          <w:szCs w:val="21"/>
          <w:highlight w:val="none"/>
          <w:lang w:val="en-US" w:eastAsia="zh-CN"/>
        </w:rPr>
        <w:t>个</w:t>
      </w:r>
      <w:r>
        <w:rPr>
          <w:rFonts w:hint="eastAsia" w:ascii="宋体" w:hAnsi="宋体" w:eastAsia="宋体" w:cs="宋体"/>
          <w:b w:val="0"/>
          <w:bCs w:val="0"/>
          <w:sz w:val="21"/>
          <w:szCs w:val="21"/>
          <w:highlight w:val="none"/>
        </w:rPr>
        <w:t>工作日内原路返还（无息）。</w:t>
      </w:r>
    </w:p>
    <w:p w14:paraId="271EC8CF">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bookmarkEnd w:id="15"/>
    <w:p w14:paraId="368B6990">
      <w:pPr>
        <w:pStyle w:val="72"/>
      </w:pPr>
      <w:r>
        <w:rPr>
          <w:rFonts w:hint="eastAsia"/>
          <w:lang w:val="en-US" w:eastAsia="zh-CN"/>
        </w:rPr>
        <w:t>开评标</w:t>
      </w:r>
    </w:p>
    <w:p w14:paraId="10049441">
      <w:pPr>
        <w:pStyle w:val="72"/>
        <w:numPr>
          <w:ilvl w:val="0"/>
          <w:numId w:val="25"/>
        </w:numPr>
        <w:ind w:firstLine="0"/>
        <w:rPr>
          <w:rFonts w:ascii="宋体" w:hAnsi="宋体" w:eastAsia="宋体" w:cs="宋体"/>
          <w:b w:val="0"/>
          <w:bCs w:val="0"/>
          <w:sz w:val="21"/>
          <w:szCs w:val="21"/>
          <w:highlight w:val="yellow"/>
        </w:rPr>
      </w:pPr>
      <w:r>
        <w:rPr>
          <w:rFonts w:hint="eastAsia" w:ascii="宋体" w:hAnsi="宋体" w:eastAsia="宋体" w:cs="宋体"/>
          <w:b w:val="0"/>
          <w:bCs w:val="0"/>
          <w:sz w:val="21"/>
          <w:szCs w:val="21"/>
          <w:highlight w:val="yellow"/>
          <w:lang w:val="en-US" w:eastAsia="zh-CN"/>
        </w:rPr>
        <w:t>开标时间：</w:t>
      </w:r>
      <w:r>
        <w:rPr>
          <w:rFonts w:hint="eastAsia" w:ascii="宋体" w:hAnsi="宋体" w:eastAsia="宋体" w:cs="宋体"/>
          <w:b w:val="0"/>
          <w:bCs w:val="0"/>
          <w:sz w:val="21"/>
          <w:szCs w:val="21"/>
          <w:highlight w:val="yellow"/>
        </w:rPr>
        <w:t>2025年1</w:t>
      </w:r>
      <w:r>
        <w:rPr>
          <w:rFonts w:hint="eastAsia" w:ascii="宋体" w:hAnsi="宋体" w:eastAsia="宋体" w:cs="宋体"/>
          <w:b w:val="0"/>
          <w:bCs w:val="0"/>
          <w:sz w:val="21"/>
          <w:szCs w:val="21"/>
          <w:highlight w:val="yellow"/>
          <w:lang w:val="en-US" w:eastAsia="zh-CN"/>
        </w:rPr>
        <w:t>1</w:t>
      </w:r>
      <w:r>
        <w:rPr>
          <w:rFonts w:hint="eastAsia" w:ascii="宋体" w:hAnsi="宋体" w:eastAsia="宋体" w:cs="宋体"/>
          <w:b w:val="0"/>
          <w:bCs w:val="0"/>
          <w:sz w:val="21"/>
          <w:szCs w:val="21"/>
          <w:highlight w:val="yellow"/>
        </w:rPr>
        <w:t>月</w:t>
      </w:r>
      <w:r>
        <w:rPr>
          <w:rFonts w:hint="eastAsia" w:ascii="宋体" w:hAnsi="宋体" w:eastAsia="宋体" w:cs="宋体"/>
          <w:b w:val="0"/>
          <w:bCs w:val="0"/>
          <w:sz w:val="21"/>
          <w:szCs w:val="21"/>
          <w:highlight w:val="yellow"/>
          <w:lang w:val="en-US" w:eastAsia="zh-CN"/>
        </w:rPr>
        <w:t>13</w:t>
      </w:r>
      <w:r>
        <w:rPr>
          <w:rFonts w:hint="eastAsia" w:ascii="宋体" w:hAnsi="宋体" w:eastAsia="宋体" w:cs="宋体"/>
          <w:b w:val="0"/>
          <w:bCs w:val="0"/>
          <w:sz w:val="21"/>
          <w:szCs w:val="21"/>
          <w:highlight w:val="yellow"/>
        </w:rPr>
        <w:t>日9:00:00</w:t>
      </w:r>
    </w:p>
    <w:p w14:paraId="211BD09E">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rPr>
        <w:t>开标地点：济南市历城区华奥路777号重汽科技大厦</w:t>
      </w:r>
    </w:p>
    <w:p w14:paraId="420F0E0C">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开标方式：</w:t>
      </w:r>
    </w:p>
    <w:p w14:paraId="1A7C6FA9">
      <w:pPr>
        <w:pStyle w:val="72"/>
        <w:numPr>
          <w:ilvl w:val="0"/>
          <w:numId w:val="0"/>
        </w:numPr>
        <w:ind w:left="59" w:leftChars="0"/>
        <w:rPr>
          <w:rFonts w:hint="eastAsia" w:ascii="宋体" w:hAnsi="宋体" w:eastAsia="宋体" w:cs="宋体"/>
          <w:color w:val="000000"/>
          <w:sz w:val="21"/>
          <w:szCs w:val="21"/>
          <w:highlight w:val="none"/>
        </w:rPr>
      </w:pPr>
      <w:r>
        <w:rPr>
          <w:rFonts w:hint="eastAsia" w:ascii="宋体" w:hAnsi="Courier New" w:eastAsia="宋体" w:cs="Times New Roman"/>
          <w:b w:val="0"/>
          <w:bCs/>
          <w:kern w:val="2"/>
          <w:sz w:val="21"/>
          <w:highlight w:val="none"/>
          <w:lang w:val="en-US" w:eastAsia="zh-CN" w:bidi="ar-SA"/>
        </w:rPr>
        <w:t>线上招标：</w:t>
      </w:r>
      <w:r>
        <w:rPr>
          <w:rFonts w:hint="eastAsia" w:ascii="宋体" w:hAnsi="宋体" w:eastAsia="宋体" w:cs="宋体"/>
          <w:b w:val="0"/>
          <w:bCs w:val="0"/>
          <w:sz w:val="21"/>
          <w:szCs w:val="21"/>
          <w:highlight w:val="none"/>
          <w:lang w:val="en-US" w:eastAsia="zh-CN"/>
        </w:rPr>
        <w:t>因招标人原因，允许各投标方通过视频会议等形式线上招标，所需过程资料均通过e采通进行提报，由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并在报名结束后统一通知。</w:t>
      </w:r>
    </w:p>
    <w:p w14:paraId="2C652027">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14:paraId="6136E50F">
      <w:pPr>
        <w:pStyle w:val="72"/>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评标方法</w:t>
      </w:r>
    </w:p>
    <w:p w14:paraId="649C28C4">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评标方法（合理最低价中标）</w:t>
      </w:r>
    </w:p>
    <w:p w14:paraId="2509BD7C">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本次招标采用技术标入围后，原则上合理最低价中标。本着公平、公正、公开的原则，在通过技术标综合评审后入围的前提下，选择合理最低价确定中标人，对未中标单位不做任何解释。</w:t>
      </w:r>
    </w:p>
    <w:p w14:paraId="0B2A8F6D">
      <w:pPr>
        <w:pStyle w:val="72"/>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14:paraId="08C47440">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按照第</w:t>
      </w:r>
      <w:r>
        <w:rPr>
          <w:rFonts w:hint="eastAsia" w:ascii="宋体" w:hAnsi="宋体" w:eastAsia="宋体" w:cs="宋体"/>
          <w:b/>
          <w:bCs/>
          <w:color w:val="000000"/>
          <w:sz w:val="21"/>
          <w:szCs w:val="21"/>
          <w:highlight w:val="none"/>
          <w:lang w:val="en-US" w:eastAsia="zh-CN"/>
        </w:rPr>
        <w:t>一</w:t>
      </w:r>
      <w:r>
        <w:rPr>
          <w:rFonts w:hint="eastAsia" w:ascii="宋体" w:hAnsi="宋体" w:eastAsia="宋体" w:cs="宋体"/>
          <w:b/>
          <w:bCs/>
          <w:color w:val="000000"/>
          <w:sz w:val="21"/>
          <w:szCs w:val="21"/>
          <w:highlight w:val="none"/>
        </w:rPr>
        <w:t>部分第</w:t>
      </w:r>
      <w:r>
        <w:rPr>
          <w:rFonts w:hint="eastAsia" w:ascii="宋体" w:hAnsi="宋体" w:eastAsia="宋体" w:cs="宋体"/>
          <w:b/>
          <w:bCs/>
          <w:color w:val="000000"/>
          <w:sz w:val="21"/>
          <w:szCs w:val="21"/>
          <w:highlight w:val="none"/>
          <w:lang w:val="en-US" w:eastAsia="zh-CN"/>
        </w:rPr>
        <w:t>四</w:t>
      </w:r>
      <w:r>
        <w:rPr>
          <w:rFonts w:hint="eastAsia" w:ascii="宋体" w:hAnsi="宋体" w:eastAsia="宋体" w:cs="宋体"/>
          <w:b/>
          <w:bCs/>
          <w:color w:val="000000"/>
          <w:sz w:val="21"/>
          <w:szCs w:val="21"/>
          <w:highlight w:val="none"/>
        </w:rPr>
        <w:t>条投标文件</w:t>
      </w:r>
      <w:r>
        <w:rPr>
          <w:rFonts w:hint="eastAsia" w:ascii="宋体" w:hAnsi="宋体" w:eastAsia="宋体" w:cs="宋体"/>
          <w:b/>
          <w:bCs/>
          <w:color w:val="000000"/>
          <w:sz w:val="21"/>
          <w:szCs w:val="21"/>
          <w:highlight w:val="none"/>
          <w:lang w:val="en-US" w:eastAsia="zh-CN"/>
        </w:rPr>
        <w:t>编制</w:t>
      </w:r>
      <w:r>
        <w:rPr>
          <w:rFonts w:hint="eastAsia" w:ascii="宋体" w:hAnsi="宋体" w:eastAsia="宋体" w:cs="宋体"/>
          <w:b/>
          <w:bCs/>
          <w:color w:val="000000"/>
          <w:sz w:val="21"/>
          <w:szCs w:val="21"/>
          <w:highlight w:val="none"/>
        </w:rPr>
        <w:t>资格证明文件中的1.1-1.1</w:t>
      </w:r>
      <w:r>
        <w:rPr>
          <w:rFonts w:hint="eastAsia" w:ascii="宋体" w:hAnsi="宋体" w:eastAsia="宋体" w:cs="宋体"/>
          <w:b/>
          <w:bCs/>
          <w:color w:val="000000"/>
          <w:sz w:val="21"/>
          <w:szCs w:val="21"/>
          <w:highlight w:val="none"/>
          <w:lang w:val="en-US" w:eastAsia="zh-CN"/>
        </w:rPr>
        <w:t>1</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p>
    <w:p w14:paraId="3925B8AD">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通过应标资格审查的单位进入投标环节，按照“SRM系统供应商用户手册”，在重汽e采通平台投递电子标书（包含资质标、技术标、商务标）；没有通过应标资质审查的单位不能进入投标环节；</w:t>
      </w:r>
    </w:p>
    <w:p w14:paraId="3B34C86F">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14:paraId="5672B712">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14:paraId="17C23BBD">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14:paraId="0662E4D4">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default" w:ascii="宋体" w:hAnsi="宋体" w:eastAsia="宋体" w:cs="宋体"/>
          <w:b w:val="0"/>
          <w:bCs w:val="0"/>
          <w:sz w:val="24"/>
          <w:szCs w:val="24"/>
          <w:highlight w:val="none"/>
          <w:lang w:val="en-US" w:eastAsia="zh-CN"/>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14:paraId="7C0A112D">
      <w:pPr>
        <w:pStyle w:val="72"/>
      </w:pPr>
      <w:r>
        <w:rPr>
          <w:rFonts w:hint="eastAsia"/>
          <w:lang w:val="en-US" w:eastAsia="zh-CN"/>
        </w:rPr>
        <w:t>定标</w:t>
      </w:r>
    </w:p>
    <w:p w14:paraId="6B705137">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yellow"/>
          <w:u w:val="single"/>
          <w:lang w:val="en-US" w:eastAsia="zh-CN"/>
        </w:rPr>
        <w:t xml:space="preserve"> 1 </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434A2260">
      <w:pPr>
        <w:pStyle w:val="72"/>
      </w:pPr>
      <w:r>
        <w:rPr>
          <w:rFonts w:hint="eastAsia"/>
          <w:lang w:val="en-US" w:eastAsia="zh-CN"/>
        </w:rPr>
        <w:t>废标及终止招标</w:t>
      </w:r>
    </w:p>
    <w:p w14:paraId="2C8EAF4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14:paraId="3B8EDB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14:paraId="434300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14:paraId="0178F8B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eastAsia="zh-CN"/>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p>
    <w:p w14:paraId="4A1479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14:paraId="57D4CDCD">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14:paraId="019FF29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14:paraId="7FEF70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(8)</w:t>
      </w:r>
      <w:r>
        <w:rPr>
          <w:rFonts w:hint="eastAsia" w:ascii="宋体" w:hAnsi="宋体" w:eastAsia="宋体" w:cs="宋体"/>
          <w:sz w:val="21"/>
          <w:szCs w:val="21"/>
          <w:highlight w:val="none"/>
        </w:rPr>
        <w:t>投标人负责人为同一人或者存在控股、管理关系的不同单位；</w:t>
      </w:r>
    </w:p>
    <w:p w14:paraId="5DB4D46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(9)</w:t>
      </w:r>
      <w:r>
        <w:rPr>
          <w:rFonts w:hint="eastAsia" w:ascii="宋体" w:hAnsi="宋体" w:eastAsia="宋体" w:cs="宋体"/>
          <w:sz w:val="21"/>
          <w:szCs w:val="21"/>
          <w:highlight w:val="none"/>
        </w:rPr>
        <w:t>有效投标不足三家；</w:t>
      </w:r>
    </w:p>
    <w:p w14:paraId="06AA86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14:paraId="1AD76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14:paraId="0D7AB8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14:paraId="46E4730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14:paraId="2A852C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14:paraId="75E706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14:paraId="6BC017B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sz w:val="21"/>
          <w:szCs w:val="21"/>
          <w:highlight w:val="yellow"/>
        </w:rPr>
        <w:t>符合条件的投标人或者对招标文件做实质响应的投标人不足三家的；</w:t>
      </w:r>
    </w:p>
    <w:p w14:paraId="4633ED6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14:paraId="1872B76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16" w:name="OLE_LINK27"/>
      <w:bookmarkStart w:id="17" w:name="OLE_LINK25"/>
      <w:bookmarkStart w:id="18" w:name="OLE_LINK28"/>
      <w:bookmarkStart w:id="19" w:name="OLE_LINK29"/>
      <w:bookmarkStart w:id="20" w:name="OLE_LINK26"/>
      <w:r>
        <w:rPr>
          <w:rFonts w:hint="eastAsia" w:ascii="宋体" w:hAnsi="宋体" w:eastAsia="宋体" w:cs="宋体"/>
          <w:bCs/>
          <w:sz w:val="21"/>
          <w:szCs w:val="21"/>
          <w:highlight w:val="none"/>
        </w:rPr>
        <w:t>；</w:t>
      </w:r>
      <w:bookmarkEnd w:id="16"/>
      <w:bookmarkEnd w:id="17"/>
      <w:bookmarkEnd w:id="18"/>
      <w:bookmarkEnd w:id="19"/>
      <w:bookmarkEnd w:id="20"/>
    </w:p>
    <w:p w14:paraId="5CD1D199">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招标人认为其他应终止招标的情形。</w:t>
      </w:r>
    </w:p>
    <w:p w14:paraId="24E682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2"/>
      </w:pPr>
      <w:r>
        <w:rPr>
          <w:rFonts w:hint="eastAsia"/>
          <w:lang w:val="en-US" w:eastAsia="zh-CN"/>
        </w:rPr>
        <w:t>合同签订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247515F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71A3F1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sz w:val="21"/>
          <w:szCs w:val="21"/>
        </w:rPr>
      </w:pPr>
      <w:r>
        <w:rPr>
          <w:rFonts w:hint="eastAsia" w:ascii="宋体" w:hAnsi="宋体" w:cs="宋体"/>
          <w:b/>
          <w:sz w:val="21"/>
          <w:szCs w:val="21"/>
        </w:rPr>
        <w:t>4.中标人由于履行义务的能力或信用有严重缺陷，招标人有权取消其中标资格，招标人将从中标候选单位中依序重新确定中标人，或重新组织招标；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000000"/>
          <w:sz w:val="21"/>
          <w:szCs w:val="21"/>
          <w:highlight w:val="none"/>
        </w:rPr>
      </w:pPr>
      <w:r>
        <w:rPr>
          <w:rFonts w:hint="eastAsia" w:ascii="宋体" w:hAnsi="宋体" w:cs="宋体"/>
          <w:b/>
          <w:sz w:val="21"/>
          <w:szCs w:val="21"/>
        </w:rPr>
        <w:t>5.合同以双方最终签署的版本为准。</w:t>
      </w:r>
    </w:p>
    <w:p w14:paraId="610E8BB3">
      <w:pPr>
        <w:pStyle w:val="72"/>
      </w:pPr>
      <w:r>
        <w:rPr>
          <w:rFonts w:hint="eastAsia"/>
          <w:lang w:val="en-US" w:eastAsia="zh-CN"/>
        </w:rPr>
        <w:t>交货及付款</w:t>
      </w:r>
    </w:p>
    <w:p w14:paraId="1494B402">
      <w:pPr>
        <w:pStyle w:val="72"/>
        <w:numPr>
          <w:ilvl w:val="0"/>
          <w:numId w:val="28"/>
        </w:numPr>
        <w:ind w:left="425" w:leftChars="0" w:hanging="425" w:firstLineChars="0"/>
        <w:rPr>
          <w:rFonts w:hint="eastAsia" w:ascii="宋体" w:hAnsi="宋体" w:eastAsia="宋体" w:cs="宋体"/>
          <w:b w:val="0"/>
          <w:bCs w:val="0"/>
          <w:sz w:val="21"/>
          <w:szCs w:val="21"/>
          <w:highlight w:val="yellow"/>
          <w:lang w:eastAsia="zh-CN"/>
        </w:rPr>
      </w:pPr>
      <w:r>
        <w:rPr>
          <w:rFonts w:hint="eastAsia" w:ascii="宋体" w:hAnsi="宋体" w:eastAsia="宋体" w:cs="宋体"/>
          <w:b w:val="0"/>
          <w:bCs w:val="0"/>
          <w:sz w:val="21"/>
          <w:szCs w:val="21"/>
          <w:highlight w:val="yellow"/>
        </w:rPr>
        <w:t>付款方式</w:t>
      </w:r>
      <w:r>
        <w:rPr>
          <w:rFonts w:hint="eastAsia" w:ascii="宋体" w:hAnsi="宋体" w:eastAsia="宋体" w:cs="宋体"/>
          <w:b w:val="0"/>
          <w:bCs w:val="0"/>
          <w:sz w:val="21"/>
          <w:szCs w:val="21"/>
          <w:highlight w:val="yellow"/>
          <w:lang w:eastAsia="zh-CN"/>
        </w:rPr>
        <w:t>：</w:t>
      </w:r>
    </w:p>
    <w:p w14:paraId="517A66BC">
      <w:pPr>
        <w:pStyle w:val="72"/>
        <w:numPr>
          <w:ilvl w:val="0"/>
          <w:numId w:val="0"/>
        </w:numPr>
        <w:ind w:left="59" w:leftChars="0"/>
        <w:rPr>
          <w:rFonts w:hint="eastAsia" w:ascii="宋体" w:hAnsi="宋体" w:eastAsia="宋体" w:cs="宋体"/>
          <w:b/>
          <w:bCs/>
          <w:color w:val="FF0000"/>
          <w:sz w:val="21"/>
          <w:szCs w:val="21"/>
          <w:lang w:val="en-US" w:eastAsia="zh-CN"/>
        </w:rPr>
      </w:pPr>
      <w:r>
        <w:rPr>
          <w:rFonts w:hint="eastAsia" w:ascii="宋体" w:hAnsi="宋体" w:eastAsia="宋体" w:cs="宋体"/>
          <w:b w:val="0"/>
          <w:bCs w:val="0"/>
          <w:sz w:val="21"/>
          <w:szCs w:val="21"/>
          <w:highlight w:val="yellow"/>
          <w:lang w:eastAsia="zh-CN"/>
        </w:rPr>
        <w:t>半年期商业汇票（包括银行承兑汇票和商业承兑汇票）；</w:t>
      </w:r>
    </w:p>
    <w:p w14:paraId="691542A2">
      <w:pPr>
        <w:pStyle w:val="72"/>
        <w:keepNext w:val="0"/>
        <w:keepLines w:val="0"/>
        <w:pageBreakBefore w:val="0"/>
        <w:widowControl w:val="0"/>
        <w:numPr>
          <w:ilvl w:val="0"/>
          <w:numId w:val="23"/>
        </w:numPr>
        <w:kinsoku/>
        <w:wordWrap/>
        <w:overflowPunct/>
        <w:topLinePunct w:val="0"/>
        <w:autoSpaceDE/>
        <w:autoSpaceDN/>
        <w:bidi w:val="0"/>
        <w:adjustRightInd/>
        <w:spacing w:line="360" w:lineRule="auto"/>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付款节点：</w:t>
      </w:r>
    </w:p>
    <w:p w14:paraId="7655CA1B">
      <w:pPr>
        <w:pStyle w:val="62"/>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firstLine="420" w:firstLineChars="200"/>
        <w:jc w:val="left"/>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sz w:val="21"/>
          <w:szCs w:val="21"/>
          <w:highlight w:val="none"/>
        </w:rPr>
        <w:t>按月度结算，中标人完成当月委托的危废处置，次月招标人组织验收，验收合格后通知中标人开具增值税专用发票到招标人财务挂账，挂账后次月支付。</w:t>
      </w:r>
    </w:p>
    <w:p w14:paraId="32AC39AF">
      <w:pPr>
        <w:pStyle w:val="62"/>
        <w:keepNext w:val="0"/>
        <w:keepLines w:val="0"/>
        <w:pageBreakBefore w:val="0"/>
        <w:widowControl w:val="0"/>
        <w:numPr>
          <w:numId w:val="0"/>
        </w:numPr>
        <w:kinsoku/>
        <w:wordWrap/>
        <w:overflowPunct/>
        <w:topLinePunct w:val="0"/>
        <w:autoSpaceDE/>
        <w:autoSpaceDN/>
        <w:bidi w:val="0"/>
        <w:adjustRightInd/>
        <w:snapToGrid w:val="0"/>
        <w:spacing w:line="360" w:lineRule="auto"/>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其他付款节点：</w:t>
      </w:r>
    </w:p>
    <w:p w14:paraId="142DB7A2">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yellow"/>
        </w:rPr>
        <w:t>100%：</w:t>
      </w:r>
      <w:r>
        <w:rPr>
          <w:rFonts w:hint="eastAsia" w:ascii="宋体" w:hAnsi="宋体" w:eastAsia="宋体" w:cs="宋体"/>
          <w:sz w:val="21"/>
          <w:szCs w:val="21"/>
          <w:highlight w:val="none"/>
        </w:rPr>
        <w:t>乙方完成甲方的需求，乙方开具合同价款100%的收据并增值税专用发票，经甲方核对无误后支付。</w:t>
      </w:r>
    </w:p>
    <w:p w14:paraId="6E0D7439">
      <w:pPr>
        <w:pStyle w:val="72"/>
        <w:rPr>
          <w:rFonts w:hint="eastAsia"/>
          <w:lang w:val="en-US" w:eastAsia="zh-CN"/>
        </w:rPr>
      </w:pPr>
      <w:r>
        <w:rPr>
          <w:rFonts w:hint="eastAsia"/>
          <w:lang w:val="en-US" w:eastAsia="zh-CN"/>
        </w:rPr>
        <w:t>本次招标最终解释权归中国重汽集团</w:t>
      </w:r>
      <w:r>
        <w:rPr>
          <w:rFonts w:hint="eastAsia"/>
          <w:u w:val="single"/>
          <w:lang w:val="en-US" w:eastAsia="zh-CN"/>
        </w:rPr>
        <w:t>济南动力</w:t>
      </w:r>
      <w:r>
        <w:rPr>
          <w:rFonts w:hint="eastAsia"/>
          <w:lang w:val="en-US" w:eastAsia="zh-CN"/>
        </w:rPr>
        <w:t>有限公司。</w:t>
      </w:r>
    </w:p>
    <w:p w14:paraId="66BCACD8">
      <w:pPr>
        <w:pStyle w:val="76"/>
      </w:pPr>
    </w:p>
    <w:p w14:paraId="243FF35F">
      <w:pPr>
        <w:rPr>
          <w:rFonts w:hint="eastAsia"/>
        </w:rPr>
      </w:pPr>
      <w:bookmarkStart w:id="21" w:name="_Toc47976607"/>
      <w:r>
        <w:rPr>
          <w:rFonts w:hint="eastAsia"/>
        </w:rPr>
        <w:br w:type="page"/>
      </w:r>
    </w:p>
    <w:p w14:paraId="1FB6CA61">
      <w:pPr>
        <w:pStyle w:val="71"/>
        <w:jc w:val="center"/>
        <w:rPr>
          <w:rFonts w:hint="default" w:eastAsia="黑体"/>
          <w:lang w:val="en-US" w:eastAsia="zh-CN"/>
        </w:rPr>
      </w:pPr>
      <w:bookmarkStart w:id="22" w:name="_Toc1910"/>
      <w:r>
        <w:rPr>
          <w:rFonts w:hint="eastAsia"/>
        </w:rPr>
        <w:t>第二部分　</w:t>
      </w:r>
      <w:bookmarkEnd w:id="21"/>
      <w:r>
        <w:rPr>
          <w:rFonts w:hint="eastAsia"/>
          <w:lang w:val="en-US" w:eastAsia="zh-CN"/>
        </w:rPr>
        <w:t>技术</w:t>
      </w:r>
      <w:bookmarkEnd w:id="22"/>
      <w:r>
        <w:rPr>
          <w:rFonts w:hint="eastAsia"/>
          <w:lang w:val="en-US" w:eastAsia="zh-CN"/>
        </w:rPr>
        <w:t>要求</w:t>
      </w:r>
    </w:p>
    <w:p w14:paraId="765E5460">
      <w:pPr>
        <w:spacing w:line="580" w:lineRule="exact"/>
        <w:jc w:val="center"/>
        <w:rPr>
          <w:rFonts w:hint="eastAsia" w:ascii="方正小标宋简体" w:hAnsi="Calibri" w:eastAsia="方正小标宋简体"/>
          <w:sz w:val="44"/>
          <w:szCs w:val="44"/>
          <w:highlight w:val="none"/>
          <w:lang w:val="en-US" w:eastAsia="zh-CN"/>
        </w:rPr>
      </w:pPr>
      <w:r>
        <w:rPr>
          <w:rFonts w:hint="eastAsia" w:ascii="方正小标宋简体" w:hAnsi="Calibri" w:eastAsia="方正小标宋简体"/>
          <w:sz w:val="44"/>
          <w:szCs w:val="44"/>
          <w:highlight w:val="none"/>
        </w:rPr>
        <w:t>2025年危险废物处置项目技术</w:t>
      </w:r>
      <w:r>
        <w:rPr>
          <w:rFonts w:hint="eastAsia" w:ascii="方正小标宋简体" w:hAnsi="Calibri" w:eastAsia="方正小标宋简体"/>
          <w:sz w:val="44"/>
          <w:szCs w:val="44"/>
          <w:highlight w:val="none"/>
          <w:lang w:val="en-US" w:eastAsia="zh-CN"/>
        </w:rPr>
        <w:t>标要求</w:t>
      </w:r>
    </w:p>
    <w:p w14:paraId="451A0650">
      <w:pPr>
        <w:spacing w:line="580" w:lineRule="exact"/>
        <w:jc w:val="center"/>
        <w:rPr>
          <w:rFonts w:hint="eastAsia" w:ascii="方正小标宋简体" w:hAnsi="Calibri" w:eastAsia="方正小标宋简体"/>
          <w:sz w:val="44"/>
          <w:szCs w:val="44"/>
          <w:highlight w:val="none"/>
          <w:lang w:val="en-US" w:eastAsia="zh-CN"/>
        </w:rPr>
      </w:pPr>
    </w:p>
    <w:p w14:paraId="6237A4EA">
      <w:pPr>
        <w:pStyle w:val="14"/>
        <w:spacing w:line="360" w:lineRule="auto"/>
        <w:rPr>
          <w:rFonts w:hint="eastAsia" w:ascii="黑体" w:hAnsi="黑体" w:eastAsia="黑体" w:cs="Times New Roman"/>
          <w:kern w:val="2"/>
          <w:sz w:val="32"/>
          <w:szCs w:val="32"/>
          <w:highlight w:val="none"/>
          <w:lang w:val="en-US" w:eastAsia="zh-CN" w:bidi="ar-SA"/>
        </w:rPr>
      </w:pPr>
      <w:r>
        <w:rPr>
          <w:rFonts w:hint="eastAsia" w:ascii="黑体" w:hAnsi="黑体" w:eastAsia="黑体" w:cs="Times New Roman"/>
          <w:kern w:val="2"/>
          <w:sz w:val="32"/>
          <w:szCs w:val="32"/>
          <w:highlight w:val="none"/>
          <w:lang w:val="en-US" w:eastAsia="zh-CN" w:bidi="ar-SA"/>
        </w:rPr>
        <w:t>一、目标</w:t>
      </w:r>
    </w:p>
    <w:p w14:paraId="6091A525">
      <w:pPr>
        <w:pStyle w:val="14"/>
        <w:spacing w:line="360" w:lineRule="auto"/>
        <w:ind w:firstLine="640" w:firstLineChars="200"/>
        <w:jc w:val="left"/>
        <w:rPr>
          <w:rFonts w:hint="eastAsia" w:ascii="仿宋_GB2312" w:hAnsi="仿宋" w:eastAsia="仿宋_GB2312" w:cs="Times New Roman"/>
          <w:kern w:val="2"/>
          <w:sz w:val="32"/>
          <w:szCs w:val="32"/>
          <w:highlight w:val="none"/>
          <w:lang w:val="en-US" w:eastAsia="zh-CN" w:bidi="ar-SA"/>
        </w:rPr>
      </w:pPr>
      <w:r>
        <w:rPr>
          <w:rFonts w:hint="eastAsia" w:ascii="仿宋_GB2312" w:hAnsi="仿宋" w:eastAsia="仿宋_GB2312" w:cs="Times New Roman"/>
          <w:kern w:val="2"/>
          <w:sz w:val="32"/>
          <w:szCs w:val="32"/>
          <w:highlight w:val="none"/>
          <w:lang w:val="en-US" w:eastAsia="zh-CN" w:bidi="ar-SA"/>
        </w:rPr>
        <w:t>为了公司危险废物能得到合规安全处置和资源化利用，进一步改善环境质量，保障环境安全、人民健康，根据《中华人民共和国环境保护法》《中华人民共和国固体废物污染环境防治法》等法律法规，编制本技术标要求。</w:t>
      </w:r>
    </w:p>
    <w:p w14:paraId="0CDB09F5">
      <w:pPr>
        <w:pStyle w:val="14"/>
        <w:numPr>
          <w:ilvl w:val="0"/>
          <w:numId w:val="29"/>
        </w:numPr>
        <w:spacing w:line="360" w:lineRule="auto"/>
        <w:jc w:val="left"/>
        <w:rPr>
          <w:rFonts w:hint="eastAsia" w:ascii="黑体" w:hAnsi="黑体" w:eastAsia="黑体" w:cs="Times New Roman"/>
          <w:kern w:val="2"/>
          <w:sz w:val="32"/>
          <w:szCs w:val="32"/>
          <w:highlight w:val="none"/>
          <w:lang w:val="en-US" w:eastAsia="zh-CN" w:bidi="ar-SA"/>
        </w:rPr>
      </w:pPr>
      <w:r>
        <w:rPr>
          <w:rFonts w:hint="eastAsia" w:ascii="黑体" w:hAnsi="黑体" w:eastAsia="黑体" w:cs="Times New Roman"/>
          <w:kern w:val="2"/>
          <w:sz w:val="32"/>
          <w:szCs w:val="32"/>
          <w:highlight w:val="none"/>
          <w:lang w:val="en-US" w:eastAsia="zh-CN" w:bidi="ar-SA"/>
        </w:rPr>
        <w:t>项目简介</w:t>
      </w:r>
    </w:p>
    <w:p w14:paraId="34C9E2C6">
      <w:pPr>
        <w:pStyle w:val="14"/>
        <w:numPr>
          <w:ilvl w:val="0"/>
          <w:numId w:val="0"/>
        </w:numPr>
        <w:spacing w:line="360" w:lineRule="auto"/>
        <w:ind w:firstLine="640" w:firstLineChars="200"/>
        <w:jc w:val="left"/>
        <w:rPr>
          <w:rFonts w:hint="eastAsia" w:ascii="仿宋_GB2312" w:hAnsi="仿宋" w:eastAsia="仿宋_GB2312" w:cs="Times New Roman"/>
          <w:kern w:val="2"/>
          <w:sz w:val="32"/>
          <w:szCs w:val="32"/>
          <w:highlight w:val="none"/>
          <w:lang w:val="en-US" w:eastAsia="zh-CN" w:bidi="ar-SA"/>
        </w:rPr>
      </w:pPr>
      <w:r>
        <w:rPr>
          <w:rFonts w:hint="eastAsia" w:ascii="仿宋_GB2312" w:hAnsi="仿宋" w:eastAsia="仿宋_GB2312" w:cs="Times New Roman"/>
          <w:kern w:val="2"/>
          <w:sz w:val="32"/>
          <w:szCs w:val="32"/>
          <w:highlight w:val="none"/>
          <w:lang w:val="en-US" w:eastAsia="zh-CN" w:bidi="ar-SA"/>
        </w:rPr>
        <w:t>公司属于汽车整车制造业，为重庆市及国家危险废物重点管理单位，在企业日常生产过程中将持续产生危险废物，产生的危险废物种类有废溶剂、漆渣、废水处理污泥等，本项目危险废物种类等具体情况见表1。</w:t>
      </w:r>
    </w:p>
    <w:p w14:paraId="69402A4F">
      <w:pPr>
        <w:pStyle w:val="14"/>
        <w:numPr>
          <w:ilvl w:val="0"/>
          <w:numId w:val="0"/>
        </w:numPr>
        <w:spacing w:line="360" w:lineRule="auto"/>
        <w:ind w:firstLine="480" w:firstLineChars="200"/>
        <w:jc w:val="left"/>
        <w:rPr>
          <w:rFonts w:hint="default" w:hAnsi="宋体"/>
          <w:sz w:val="24"/>
          <w:szCs w:val="24"/>
          <w:highlight w:val="none"/>
          <w:lang w:val="en-US" w:eastAsia="zh-CN"/>
        </w:rPr>
      </w:pPr>
      <w:r>
        <w:rPr>
          <w:rFonts w:hint="eastAsia" w:hAnsi="宋体"/>
          <w:sz w:val="24"/>
          <w:szCs w:val="24"/>
          <w:highlight w:val="none"/>
          <w:lang w:val="en-US" w:eastAsia="zh-CN"/>
        </w:rPr>
        <w:t>表1        2025年危险废物处置项目危险废物产生情况一览表</w:t>
      </w:r>
    </w:p>
    <w:tbl>
      <w:tblPr>
        <w:tblStyle w:val="30"/>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2"/>
        <w:gridCol w:w="2248"/>
        <w:gridCol w:w="2376"/>
        <w:gridCol w:w="1414"/>
        <w:gridCol w:w="1306"/>
        <w:gridCol w:w="1306"/>
      </w:tblGrid>
      <w:tr w14:paraId="656C51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341" w:type="pct"/>
            <w:noWrap w:val="0"/>
            <w:vAlign w:val="center"/>
          </w:tcPr>
          <w:p w14:paraId="171FBE6E">
            <w:pPr>
              <w:widowControl/>
              <w:adjustRightInd w:val="0"/>
              <w:snapToGrid w:val="0"/>
              <w:jc w:val="left"/>
              <w:textAlignment w:val="center"/>
              <w:rPr>
                <w:rFonts w:hint="eastAsia" w:ascii="宋体" w:hAnsi="宋体" w:cs="宋体"/>
                <w:b/>
                <w:bCs/>
                <w:color w:val="000000"/>
                <w:szCs w:val="21"/>
                <w:highlight w:val="none"/>
              </w:rPr>
            </w:pPr>
            <w:r>
              <w:rPr>
                <w:rFonts w:hint="eastAsia" w:ascii="宋体" w:hAnsi="宋体" w:cs="宋体"/>
                <w:b/>
                <w:bCs/>
                <w:color w:val="000000"/>
                <w:kern w:val="0"/>
                <w:szCs w:val="21"/>
                <w:highlight w:val="none"/>
                <w:lang w:bidi="ar"/>
              </w:rPr>
              <w:t>序号</w:t>
            </w:r>
          </w:p>
        </w:tc>
        <w:tc>
          <w:tcPr>
            <w:tcW w:w="1210" w:type="pct"/>
            <w:noWrap w:val="0"/>
            <w:vAlign w:val="center"/>
          </w:tcPr>
          <w:p w14:paraId="741EE5F9">
            <w:pPr>
              <w:widowControl/>
              <w:adjustRightInd w:val="0"/>
              <w:snapToGrid w:val="0"/>
              <w:jc w:val="left"/>
              <w:textAlignment w:val="center"/>
              <w:rPr>
                <w:rFonts w:hint="eastAsia" w:ascii="宋体" w:hAnsi="宋体" w:cs="宋体"/>
                <w:b/>
                <w:bCs/>
                <w:color w:val="000000"/>
                <w:szCs w:val="21"/>
                <w:highlight w:val="none"/>
              </w:rPr>
            </w:pPr>
            <w:r>
              <w:rPr>
                <w:rFonts w:hint="eastAsia" w:ascii="宋体" w:hAnsi="宋体" w:cs="宋体"/>
                <w:b/>
                <w:bCs/>
                <w:color w:val="000000"/>
                <w:kern w:val="0"/>
                <w:szCs w:val="21"/>
                <w:highlight w:val="none"/>
                <w:lang w:bidi="ar"/>
              </w:rPr>
              <w:t>危险废物名称</w:t>
            </w:r>
          </w:p>
        </w:tc>
        <w:tc>
          <w:tcPr>
            <w:tcW w:w="1279" w:type="pct"/>
            <w:noWrap w:val="0"/>
            <w:vAlign w:val="center"/>
          </w:tcPr>
          <w:p w14:paraId="7864389A">
            <w:pPr>
              <w:widowControl/>
              <w:adjustRightInd w:val="0"/>
              <w:snapToGrid w:val="0"/>
              <w:jc w:val="left"/>
              <w:textAlignment w:val="center"/>
              <w:rPr>
                <w:rFonts w:hint="eastAsia" w:ascii="宋体" w:hAnsi="宋体" w:cs="宋体"/>
                <w:b/>
                <w:bCs/>
                <w:color w:val="000000"/>
                <w:szCs w:val="21"/>
                <w:highlight w:val="none"/>
              </w:rPr>
            </w:pPr>
            <w:r>
              <w:rPr>
                <w:rFonts w:hint="eastAsia" w:ascii="宋体" w:hAnsi="宋体" w:cs="宋体"/>
                <w:b/>
                <w:bCs/>
                <w:color w:val="000000"/>
                <w:kern w:val="0"/>
                <w:szCs w:val="21"/>
                <w:highlight w:val="none"/>
                <w:lang w:bidi="ar"/>
              </w:rPr>
              <w:t>危险废物类别</w:t>
            </w:r>
          </w:p>
        </w:tc>
        <w:tc>
          <w:tcPr>
            <w:tcW w:w="761" w:type="pct"/>
            <w:noWrap w:val="0"/>
            <w:vAlign w:val="center"/>
          </w:tcPr>
          <w:p w14:paraId="5CA41AC6">
            <w:pPr>
              <w:widowControl/>
              <w:adjustRightInd w:val="0"/>
              <w:snapToGrid w:val="0"/>
              <w:jc w:val="left"/>
              <w:textAlignment w:val="center"/>
              <w:rPr>
                <w:rFonts w:hint="eastAsia" w:ascii="宋体" w:hAnsi="宋体" w:cs="宋体"/>
                <w:b/>
                <w:bCs/>
                <w:color w:val="000000"/>
                <w:szCs w:val="21"/>
                <w:highlight w:val="none"/>
              </w:rPr>
            </w:pPr>
            <w:r>
              <w:rPr>
                <w:rFonts w:hint="eastAsia" w:ascii="宋体" w:hAnsi="宋体" w:cs="宋体"/>
                <w:b/>
                <w:bCs/>
                <w:color w:val="000000"/>
                <w:kern w:val="0"/>
                <w:szCs w:val="21"/>
                <w:highlight w:val="none"/>
                <w:lang w:bidi="ar"/>
              </w:rPr>
              <w:t>危险废物代码</w:t>
            </w:r>
          </w:p>
        </w:tc>
        <w:tc>
          <w:tcPr>
            <w:tcW w:w="703" w:type="pct"/>
            <w:noWrap w:val="0"/>
            <w:vAlign w:val="center"/>
          </w:tcPr>
          <w:p w14:paraId="4CB00132">
            <w:pPr>
              <w:widowControl/>
              <w:adjustRightInd w:val="0"/>
              <w:snapToGrid w:val="0"/>
              <w:jc w:val="left"/>
              <w:textAlignment w:val="center"/>
              <w:rPr>
                <w:rFonts w:hint="default" w:ascii="宋体" w:hAnsi="宋体" w:cs="宋体"/>
                <w:b/>
                <w:bCs/>
                <w:color w:val="000000"/>
                <w:kern w:val="0"/>
                <w:szCs w:val="21"/>
                <w:highlight w:val="none"/>
                <w:lang w:val="en-US" w:eastAsia="zh-CN" w:bidi="ar"/>
              </w:rPr>
            </w:pPr>
            <w:r>
              <w:rPr>
                <w:rFonts w:hint="eastAsia" w:ascii="宋体" w:hAnsi="宋体" w:cs="宋体"/>
                <w:b/>
                <w:bCs/>
                <w:color w:val="000000"/>
                <w:kern w:val="0"/>
                <w:szCs w:val="21"/>
                <w:highlight w:val="none"/>
                <w:lang w:val="en-US" w:eastAsia="zh-CN" w:bidi="ar"/>
              </w:rPr>
              <w:t>危险废物特性</w:t>
            </w:r>
          </w:p>
        </w:tc>
        <w:tc>
          <w:tcPr>
            <w:tcW w:w="703" w:type="pct"/>
            <w:noWrap w:val="0"/>
            <w:vAlign w:val="center"/>
          </w:tcPr>
          <w:p w14:paraId="15B8E21A">
            <w:pPr>
              <w:widowControl/>
              <w:adjustRightInd w:val="0"/>
              <w:snapToGrid w:val="0"/>
              <w:jc w:val="left"/>
              <w:textAlignment w:val="center"/>
              <w:rPr>
                <w:rFonts w:hint="default" w:ascii="宋体" w:hAnsi="宋体" w:eastAsia="宋体" w:cs="宋体"/>
                <w:b/>
                <w:bCs/>
                <w:color w:val="000000"/>
                <w:kern w:val="0"/>
                <w:szCs w:val="21"/>
                <w:highlight w:val="none"/>
                <w:lang w:val="en-US" w:eastAsia="zh-CN" w:bidi="ar"/>
              </w:rPr>
            </w:pPr>
            <w:r>
              <w:rPr>
                <w:rFonts w:hint="eastAsia" w:ascii="宋体" w:hAnsi="宋体" w:cs="宋体"/>
                <w:b/>
                <w:bCs/>
                <w:color w:val="000000"/>
                <w:kern w:val="0"/>
                <w:szCs w:val="21"/>
                <w:highlight w:val="none"/>
                <w:lang w:val="en-US" w:eastAsia="zh-CN" w:bidi="ar"/>
              </w:rPr>
              <w:t>2025年预估产量，t</w:t>
            </w:r>
          </w:p>
        </w:tc>
      </w:tr>
      <w:tr w14:paraId="64E903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341" w:type="pct"/>
            <w:noWrap w:val="0"/>
            <w:vAlign w:val="center"/>
          </w:tcPr>
          <w:p w14:paraId="63DB252B">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1</w:t>
            </w:r>
          </w:p>
        </w:tc>
        <w:tc>
          <w:tcPr>
            <w:tcW w:w="1210" w:type="pct"/>
            <w:noWrap w:val="0"/>
            <w:vAlign w:val="center"/>
          </w:tcPr>
          <w:p w14:paraId="57EB88BF">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废溶剂</w:t>
            </w:r>
          </w:p>
        </w:tc>
        <w:tc>
          <w:tcPr>
            <w:tcW w:w="1279" w:type="pct"/>
            <w:noWrap w:val="0"/>
            <w:vAlign w:val="center"/>
          </w:tcPr>
          <w:p w14:paraId="686687DD">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HW06废有机溶剂</w:t>
            </w:r>
          </w:p>
        </w:tc>
        <w:tc>
          <w:tcPr>
            <w:tcW w:w="761" w:type="pct"/>
            <w:noWrap w:val="0"/>
            <w:vAlign w:val="center"/>
          </w:tcPr>
          <w:p w14:paraId="28F7B62A">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900-402-06</w:t>
            </w:r>
          </w:p>
        </w:tc>
        <w:tc>
          <w:tcPr>
            <w:tcW w:w="703" w:type="pct"/>
            <w:noWrap w:val="0"/>
            <w:vAlign w:val="center"/>
          </w:tcPr>
          <w:p w14:paraId="74DD3508">
            <w:pPr>
              <w:widowControl/>
              <w:adjustRightInd w:val="0"/>
              <w:snapToGrid w:val="0"/>
              <w:jc w:val="left"/>
              <w:textAlignment w:val="center"/>
              <w:rPr>
                <w:rFonts w:hint="eastAsia" w:ascii="宋体" w:hAnsi="宋体" w:cs="宋体"/>
                <w:color w:val="000000"/>
                <w:kern w:val="0"/>
                <w:szCs w:val="21"/>
                <w:highlight w:val="none"/>
                <w:lang w:val="en-US" w:eastAsia="zh-CN" w:bidi="ar"/>
              </w:rPr>
            </w:pPr>
            <w:r>
              <w:rPr>
                <w:rFonts w:hint="eastAsia" w:ascii="宋体" w:hAnsi="宋体" w:cs="宋体"/>
                <w:color w:val="000000"/>
                <w:kern w:val="0"/>
                <w:szCs w:val="21"/>
                <w:highlight w:val="none"/>
                <w:lang w:val="en-US" w:eastAsia="zh-CN" w:bidi="ar"/>
              </w:rPr>
              <w:t>T，I，R</w:t>
            </w:r>
          </w:p>
        </w:tc>
        <w:tc>
          <w:tcPr>
            <w:tcW w:w="703" w:type="pct"/>
            <w:noWrap w:val="0"/>
            <w:vAlign w:val="center"/>
          </w:tcPr>
          <w:p w14:paraId="75A49BC6">
            <w:pPr>
              <w:widowControl/>
              <w:adjustRightInd w:val="0"/>
              <w:snapToGrid w:val="0"/>
              <w:jc w:val="left"/>
              <w:textAlignment w:val="center"/>
              <w:rPr>
                <w:rFonts w:hint="default" w:ascii="宋体" w:hAnsi="宋体" w:eastAsia="宋体" w:cs="宋体"/>
                <w:color w:val="000000"/>
                <w:kern w:val="0"/>
                <w:szCs w:val="21"/>
                <w:highlight w:val="none"/>
                <w:lang w:val="en-US" w:eastAsia="zh-CN" w:bidi="ar"/>
              </w:rPr>
            </w:pPr>
            <w:r>
              <w:rPr>
                <w:rFonts w:hint="eastAsia" w:ascii="宋体" w:hAnsi="宋体" w:cs="宋体"/>
                <w:color w:val="000000"/>
                <w:kern w:val="0"/>
                <w:szCs w:val="21"/>
                <w:highlight w:val="none"/>
                <w:lang w:val="en-US" w:eastAsia="zh-CN" w:bidi="ar"/>
              </w:rPr>
              <w:t>92</w:t>
            </w:r>
          </w:p>
        </w:tc>
      </w:tr>
      <w:tr w14:paraId="2DA5F0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341" w:type="pct"/>
            <w:noWrap w:val="0"/>
            <w:vAlign w:val="center"/>
          </w:tcPr>
          <w:p w14:paraId="2C6D9388">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2</w:t>
            </w:r>
          </w:p>
        </w:tc>
        <w:tc>
          <w:tcPr>
            <w:tcW w:w="1210" w:type="pct"/>
            <w:noWrap w:val="0"/>
            <w:vAlign w:val="center"/>
          </w:tcPr>
          <w:p w14:paraId="711E91A6">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油水混合物</w:t>
            </w:r>
          </w:p>
        </w:tc>
        <w:tc>
          <w:tcPr>
            <w:tcW w:w="1279" w:type="pct"/>
            <w:noWrap w:val="0"/>
            <w:vAlign w:val="center"/>
          </w:tcPr>
          <w:p w14:paraId="660D1B0C">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HW09油/水、烃/水混合物或乳化液</w:t>
            </w:r>
          </w:p>
        </w:tc>
        <w:tc>
          <w:tcPr>
            <w:tcW w:w="761" w:type="pct"/>
            <w:noWrap w:val="0"/>
            <w:vAlign w:val="center"/>
          </w:tcPr>
          <w:p w14:paraId="2472C743">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900-007-09</w:t>
            </w:r>
          </w:p>
        </w:tc>
        <w:tc>
          <w:tcPr>
            <w:tcW w:w="703" w:type="pct"/>
            <w:noWrap w:val="0"/>
            <w:vAlign w:val="center"/>
          </w:tcPr>
          <w:p w14:paraId="18674CD8">
            <w:pPr>
              <w:widowControl/>
              <w:adjustRightInd w:val="0"/>
              <w:snapToGrid w:val="0"/>
              <w:jc w:val="left"/>
              <w:textAlignment w:val="center"/>
              <w:rPr>
                <w:rFonts w:hint="eastAsia" w:ascii="宋体" w:hAnsi="宋体" w:cs="宋体"/>
                <w:color w:val="000000"/>
                <w:kern w:val="0"/>
                <w:szCs w:val="21"/>
                <w:highlight w:val="none"/>
                <w:lang w:val="en-US" w:eastAsia="zh-CN" w:bidi="ar"/>
              </w:rPr>
            </w:pPr>
            <w:r>
              <w:rPr>
                <w:rFonts w:hint="eastAsia" w:ascii="宋体" w:hAnsi="宋体" w:cs="宋体"/>
                <w:color w:val="000000"/>
                <w:kern w:val="0"/>
                <w:szCs w:val="21"/>
                <w:highlight w:val="none"/>
                <w:lang w:val="en-US" w:eastAsia="zh-CN" w:bidi="ar"/>
              </w:rPr>
              <w:t>T</w:t>
            </w:r>
          </w:p>
        </w:tc>
        <w:tc>
          <w:tcPr>
            <w:tcW w:w="703" w:type="pct"/>
            <w:noWrap w:val="0"/>
            <w:vAlign w:val="center"/>
          </w:tcPr>
          <w:p w14:paraId="669ABB6B">
            <w:pPr>
              <w:widowControl/>
              <w:adjustRightInd w:val="0"/>
              <w:snapToGrid w:val="0"/>
              <w:jc w:val="left"/>
              <w:textAlignment w:val="center"/>
              <w:rPr>
                <w:rFonts w:hint="eastAsia" w:ascii="宋体" w:hAnsi="宋体" w:eastAsia="宋体" w:cs="宋体"/>
                <w:color w:val="000000"/>
                <w:kern w:val="0"/>
                <w:szCs w:val="21"/>
                <w:highlight w:val="none"/>
                <w:lang w:val="en-US" w:eastAsia="zh-CN" w:bidi="ar"/>
              </w:rPr>
            </w:pPr>
            <w:r>
              <w:rPr>
                <w:rFonts w:hint="eastAsia" w:ascii="宋体" w:hAnsi="宋体" w:cs="宋体"/>
                <w:color w:val="000000"/>
                <w:kern w:val="0"/>
                <w:szCs w:val="21"/>
                <w:highlight w:val="none"/>
                <w:lang w:val="en-US" w:eastAsia="zh-CN" w:bidi="ar"/>
              </w:rPr>
              <w:t>8</w:t>
            </w:r>
          </w:p>
        </w:tc>
      </w:tr>
      <w:tr w14:paraId="522C2A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341" w:type="pct"/>
            <w:noWrap w:val="0"/>
            <w:vAlign w:val="center"/>
          </w:tcPr>
          <w:p w14:paraId="7A0628CA">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3</w:t>
            </w:r>
          </w:p>
        </w:tc>
        <w:tc>
          <w:tcPr>
            <w:tcW w:w="1210" w:type="pct"/>
            <w:noWrap w:val="0"/>
            <w:vAlign w:val="center"/>
          </w:tcPr>
          <w:p w14:paraId="30B1B25D">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漆渣</w:t>
            </w:r>
          </w:p>
        </w:tc>
        <w:tc>
          <w:tcPr>
            <w:tcW w:w="1279" w:type="pct"/>
            <w:vMerge w:val="restart"/>
            <w:noWrap w:val="0"/>
            <w:vAlign w:val="center"/>
          </w:tcPr>
          <w:p w14:paraId="71738B0F">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HW12染料、涂料废物</w:t>
            </w:r>
          </w:p>
        </w:tc>
        <w:tc>
          <w:tcPr>
            <w:tcW w:w="761" w:type="pct"/>
            <w:noWrap w:val="0"/>
            <w:vAlign w:val="center"/>
          </w:tcPr>
          <w:p w14:paraId="4A5A2616">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900-252-12</w:t>
            </w:r>
          </w:p>
        </w:tc>
        <w:tc>
          <w:tcPr>
            <w:tcW w:w="703" w:type="pct"/>
            <w:noWrap w:val="0"/>
            <w:vAlign w:val="center"/>
          </w:tcPr>
          <w:p w14:paraId="54EEB55A">
            <w:pPr>
              <w:widowControl/>
              <w:adjustRightInd w:val="0"/>
              <w:snapToGrid w:val="0"/>
              <w:jc w:val="left"/>
              <w:textAlignment w:val="center"/>
              <w:rPr>
                <w:rFonts w:hint="eastAsia" w:ascii="宋体" w:hAnsi="宋体" w:cs="宋体"/>
                <w:color w:val="000000"/>
                <w:kern w:val="0"/>
                <w:szCs w:val="21"/>
                <w:highlight w:val="none"/>
                <w:lang w:val="en-US" w:eastAsia="zh-CN" w:bidi="ar"/>
              </w:rPr>
            </w:pPr>
            <w:r>
              <w:rPr>
                <w:rFonts w:hint="eastAsia" w:ascii="宋体" w:hAnsi="宋体" w:cs="宋体"/>
                <w:color w:val="000000"/>
                <w:kern w:val="0"/>
                <w:szCs w:val="21"/>
                <w:highlight w:val="none"/>
                <w:lang w:val="en-US" w:eastAsia="zh-CN" w:bidi="ar"/>
              </w:rPr>
              <w:t>T，I</w:t>
            </w:r>
          </w:p>
        </w:tc>
        <w:tc>
          <w:tcPr>
            <w:tcW w:w="703" w:type="pct"/>
            <w:noWrap w:val="0"/>
            <w:vAlign w:val="center"/>
          </w:tcPr>
          <w:p w14:paraId="341E4B88">
            <w:pPr>
              <w:widowControl/>
              <w:adjustRightInd w:val="0"/>
              <w:snapToGrid w:val="0"/>
              <w:jc w:val="left"/>
              <w:textAlignment w:val="center"/>
              <w:rPr>
                <w:rFonts w:hint="default" w:ascii="宋体" w:hAnsi="宋体" w:eastAsia="宋体" w:cs="宋体"/>
                <w:color w:val="000000"/>
                <w:kern w:val="0"/>
                <w:szCs w:val="21"/>
                <w:highlight w:val="none"/>
                <w:lang w:val="en-US" w:eastAsia="zh-CN" w:bidi="ar"/>
              </w:rPr>
            </w:pPr>
            <w:r>
              <w:rPr>
                <w:rFonts w:hint="eastAsia" w:ascii="宋体" w:hAnsi="宋体" w:cs="宋体"/>
                <w:color w:val="000000"/>
                <w:kern w:val="0"/>
                <w:szCs w:val="21"/>
                <w:highlight w:val="none"/>
                <w:lang w:val="en-US" w:eastAsia="zh-CN" w:bidi="ar"/>
              </w:rPr>
              <w:t>97</w:t>
            </w:r>
          </w:p>
        </w:tc>
      </w:tr>
      <w:tr w14:paraId="14F533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341" w:type="pct"/>
            <w:noWrap w:val="0"/>
            <w:vAlign w:val="center"/>
          </w:tcPr>
          <w:p w14:paraId="6A9E5C39">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4</w:t>
            </w:r>
          </w:p>
        </w:tc>
        <w:tc>
          <w:tcPr>
            <w:tcW w:w="1210" w:type="pct"/>
            <w:noWrap w:val="0"/>
            <w:vAlign w:val="center"/>
          </w:tcPr>
          <w:p w14:paraId="17C3CF8B">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废油漆</w:t>
            </w:r>
          </w:p>
        </w:tc>
        <w:tc>
          <w:tcPr>
            <w:tcW w:w="1279" w:type="pct"/>
            <w:vMerge w:val="continue"/>
            <w:noWrap w:val="0"/>
            <w:vAlign w:val="center"/>
          </w:tcPr>
          <w:p w14:paraId="49B7654E">
            <w:pPr>
              <w:adjustRightInd w:val="0"/>
              <w:snapToGrid w:val="0"/>
              <w:jc w:val="left"/>
              <w:rPr>
                <w:rFonts w:hint="eastAsia" w:ascii="宋体" w:hAnsi="宋体" w:cs="宋体"/>
                <w:color w:val="000000"/>
                <w:szCs w:val="21"/>
                <w:highlight w:val="none"/>
              </w:rPr>
            </w:pPr>
          </w:p>
        </w:tc>
        <w:tc>
          <w:tcPr>
            <w:tcW w:w="761" w:type="pct"/>
            <w:noWrap w:val="0"/>
            <w:vAlign w:val="center"/>
          </w:tcPr>
          <w:p w14:paraId="41EC7D0D">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900-299-12</w:t>
            </w:r>
          </w:p>
        </w:tc>
        <w:tc>
          <w:tcPr>
            <w:tcW w:w="703" w:type="pct"/>
            <w:noWrap w:val="0"/>
            <w:vAlign w:val="center"/>
          </w:tcPr>
          <w:p w14:paraId="0CA5CE90">
            <w:pPr>
              <w:widowControl/>
              <w:adjustRightInd w:val="0"/>
              <w:snapToGrid w:val="0"/>
              <w:jc w:val="left"/>
              <w:textAlignment w:val="center"/>
              <w:rPr>
                <w:rFonts w:hint="eastAsia" w:ascii="宋体" w:hAnsi="宋体" w:cs="宋体"/>
                <w:color w:val="000000"/>
                <w:kern w:val="0"/>
                <w:szCs w:val="21"/>
                <w:highlight w:val="none"/>
                <w:lang w:val="en-US" w:eastAsia="zh-CN" w:bidi="ar"/>
              </w:rPr>
            </w:pPr>
            <w:r>
              <w:rPr>
                <w:rFonts w:hint="eastAsia" w:ascii="宋体" w:hAnsi="宋体" w:cs="宋体"/>
                <w:color w:val="000000"/>
                <w:kern w:val="0"/>
                <w:szCs w:val="21"/>
                <w:highlight w:val="none"/>
                <w:lang w:val="en-US" w:eastAsia="zh-CN" w:bidi="ar"/>
              </w:rPr>
              <w:t>T</w:t>
            </w:r>
          </w:p>
        </w:tc>
        <w:tc>
          <w:tcPr>
            <w:tcW w:w="703" w:type="pct"/>
            <w:noWrap w:val="0"/>
            <w:vAlign w:val="center"/>
          </w:tcPr>
          <w:p w14:paraId="7EF28C55">
            <w:pPr>
              <w:widowControl/>
              <w:adjustRightInd w:val="0"/>
              <w:snapToGrid w:val="0"/>
              <w:jc w:val="left"/>
              <w:textAlignment w:val="center"/>
              <w:rPr>
                <w:rFonts w:hint="eastAsia" w:ascii="宋体" w:hAnsi="宋体" w:eastAsia="宋体" w:cs="宋体"/>
                <w:color w:val="000000"/>
                <w:kern w:val="0"/>
                <w:szCs w:val="21"/>
                <w:highlight w:val="none"/>
                <w:lang w:val="en-US" w:eastAsia="zh-CN" w:bidi="ar"/>
              </w:rPr>
            </w:pPr>
            <w:r>
              <w:rPr>
                <w:rFonts w:hint="eastAsia" w:ascii="宋体" w:hAnsi="宋体" w:cs="宋体"/>
                <w:color w:val="000000"/>
                <w:kern w:val="0"/>
                <w:szCs w:val="21"/>
                <w:highlight w:val="none"/>
                <w:lang w:val="en-US" w:eastAsia="zh-CN" w:bidi="ar"/>
              </w:rPr>
              <w:t>5</w:t>
            </w:r>
          </w:p>
        </w:tc>
      </w:tr>
      <w:tr w14:paraId="29CBCC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341" w:type="pct"/>
            <w:noWrap/>
            <w:vAlign w:val="center"/>
          </w:tcPr>
          <w:p w14:paraId="0A37011B">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5</w:t>
            </w:r>
          </w:p>
        </w:tc>
        <w:tc>
          <w:tcPr>
            <w:tcW w:w="1210" w:type="pct"/>
            <w:noWrap w:val="0"/>
            <w:vAlign w:val="center"/>
          </w:tcPr>
          <w:p w14:paraId="16B0A66C">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废胶</w:t>
            </w:r>
          </w:p>
        </w:tc>
        <w:tc>
          <w:tcPr>
            <w:tcW w:w="1279" w:type="pct"/>
            <w:noWrap w:val="0"/>
            <w:vAlign w:val="center"/>
          </w:tcPr>
          <w:p w14:paraId="1D3670A6">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HW13有机树脂类废物</w:t>
            </w:r>
          </w:p>
        </w:tc>
        <w:tc>
          <w:tcPr>
            <w:tcW w:w="761" w:type="pct"/>
            <w:noWrap w:val="0"/>
            <w:vAlign w:val="center"/>
          </w:tcPr>
          <w:p w14:paraId="0FE05F36">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900-014-13</w:t>
            </w:r>
          </w:p>
        </w:tc>
        <w:tc>
          <w:tcPr>
            <w:tcW w:w="703" w:type="pct"/>
            <w:noWrap w:val="0"/>
            <w:vAlign w:val="center"/>
          </w:tcPr>
          <w:p w14:paraId="126B613A">
            <w:pPr>
              <w:widowControl/>
              <w:adjustRightInd w:val="0"/>
              <w:snapToGrid w:val="0"/>
              <w:jc w:val="left"/>
              <w:textAlignment w:val="center"/>
              <w:rPr>
                <w:rFonts w:hint="eastAsia" w:ascii="宋体" w:hAnsi="宋体" w:cs="宋体"/>
                <w:color w:val="000000"/>
                <w:kern w:val="0"/>
                <w:szCs w:val="21"/>
                <w:highlight w:val="none"/>
                <w:lang w:val="en-US" w:eastAsia="zh-CN" w:bidi="ar"/>
              </w:rPr>
            </w:pPr>
            <w:r>
              <w:rPr>
                <w:rFonts w:hint="eastAsia" w:ascii="宋体" w:hAnsi="宋体" w:cs="宋体"/>
                <w:color w:val="000000"/>
                <w:kern w:val="0"/>
                <w:szCs w:val="21"/>
                <w:highlight w:val="none"/>
                <w:lang w:val="en-US" w:eastAsia="zh-CN" w:bidi="ar"/>
              </w:rPr>
              <w:t>T</w:t>
            </w:r>
          </w:p>
        </w:tc>
        <w:tc>
          <w:tcPr>
            <w:tcW w:w="703" w:type="pct"/>
            <w:noWrap w:val="0"/>
            <w:vAlign w:val="center"/>
          </w:tcPr>
          <w:p w14:paraId="214EFD60">
            <w:pPr>
              <w:widowControl/>
              <w:adjustRightInd w:val="0"/>
              <w:snapToGrid w:val="0"/>
              <w:jc w:val="left"/>
              <w:textAlignment w:val="center"/>
              <w:rPr>
                <w:rFonts w:hint="default" w:ascii="宋体" w:hAnsi="宋体" w:eastAsia="宋体" w:cs="宋体"/>
                <w:color w:val="000000"/>
                <w:kern w:val="0"/>
                <w:szCs w:val="21"/>
                <w:highlight w:val="none"/>
                <w:lang w:val="en-US" w:eastAsia="zh-CN" w:bidi="ar"/>
              </w:rPr>
            </w:pPr>
            <w:r>
              <w:rPr>
                <w:rFonts w:hint="eastAsia" w:ascii="宋体" w:hAnsi="宋体" w:cs="宋体"/>
                <w:color w:val="000000"/>
                <w:kern w:val="0"/>
                <w:szCs w:val="21"/>
                <w:highlight w:val="none"/>
                <w:lang w:val="en-US" w:eastAsia="zh-CN" w:bidi="ar"/>
              </w:rPr>
              <w:t>10</w:t>
            </w:r>
          </w:p>
        </w:tc>
      </w:tr>
      <w:tr w14:paraId="5000CD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341" w:type="pct"/>
            <w:noWrap/>
            <w:vAlign w:val="center"/>
          </w:tcPr>
          <w:p w14:paraId="4B0AC084">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6</w:t>
            </w:r>
          </w:p>
        </w:tc>
        <w:tc>
          <w:tcPr>
            <w:tcW w:w="1210" w:type="pct"/>
            <w:noWrap w:val="0"/>
            <w:vAlign w:val="center"/>
          </w:tcPr>
          <w:p w14:paraId="0EB3CCF1">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磷化渣（含镍）、废槽渣、废槽液</w:t>
            </w:r>
          </w:p>
        </w:tc>
        <w:tc>
          <w:tcPr>
            <w:tcW w:w="1279" w:type="pct"/>
            <w:vMerge w:val="restart"/>
            <w:noWrap w:val="0"/>
            <w:vAlign w:val="center"/>
          </w:tcPr>
          <w:p w14:paraId="006D45A2">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HW17表面处理废物</w:t>
            </w:r>
          </w:p>
        </w:tc>
        <w:tc>
          <w:tcPr>
            <w:tcW w:w="761" w:type="pct"/>
            <w:noWrap w:val="0"/>
            <w:vAlign w:val="center"/>
          </w:tcPr>
          <w:p w14:paraId="7167E8F1">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336-064-17</w:t>
            </w:r>
          </w:p>
        </w:tc>
        <w:tc>
          <w:tcPr>
            <w:tcW w:w="703" w:type="pct"/>
            <w:noWrap w:val="0"/>
            <w:vAlign w:val="center"/>
          </w:tcPr>
          <w:p w14:paraId="480CE531">
            <w:pPr>
              <w:widowControl/>
              <w:adjustRightInd w:val="0"/>
              <w:snapToGrid w:val="0"/>
              <w:jc w:val="left"/>
              <w:textAlignment w:val="center"/>
              <w:rPr>
                <w:rFonts w:hint="eastAsia" w:ascii="宋体" w:hAnsi="宋体" w:cs="宋体"/>
                <w:color w:val="000000"/>
                <w:kern w:val="0"/>
                <w:szCs w:val="21"/>
                <w:highlight w:val="none"/>
                <w:lang w:val="en-US" w:eastAsia="zh-CN" w:bidi="ar"/>
              </w:rPr>
            </w:pPr>
            <w:r>
              <w:rPr>
                <w:rFonts w:hint="eastAsia" w:ascii="宋体" w:hAnsi="宋体" w:cs="宋体"/>
                <w:color w:val="000000"/>
                <w:kern w:val="0"/>
                <w:szCs w:val="21"/>
                <w:highlight w:val="none"/>
                <w:lang w:val="en-US" w:eastAsia="zh-CN" w:bidi="ar"/>
              </w:rPr>
              <w:t>T/C</w:t>
            </w:r>
          </w:p>
        </w:tc>
        <w:tc>
          <w:tcPr>
            <w:tcW w:w="703" w:type="pct"/>
            <w:noWrap w:val="0"/>
            <w:vAlign w:val="center"/>
          </w:tcPr>
          <w:p w14:paraId="7BAEDEF6">
            <w:pPr>
              <w:widowControl/>
              <w:adjustRightInd w:val="0"/>
              <w:snapToGrid w:val="0"/>
              <w:jc w:val="left"/>
              <w:textAlignment w:val="center"/>
              <w:rPr>
                <w:rFonts w:hint="default" w:ascii="宋体" w:hAnsi="宋体" w:eastAsia="宋体" w:cs="宋体"/>
                <w:color w:val="000000"/>
                <w:kern w:val="0"/>
                <w:szCs w:val="21"/>
                <w:highlight w:val="none"/>
                <w:lang w:val="en-US" w:eastAsia="zh-CN" w:bidi="ar"/>
              </w:rPr>
            </w:pPr>
            <w:r>
              <w:rPr>
                <w:rFonts w:hint="eastAsia" w:ascii="宋体" w:hAnsi="宋体" w:cs="宋体"/>
                <w:color w:val="000000"/>
                <w:kern w:val="0"/>
                <w:szCs w:val="21"/>
                <w:highlight w:val="none"/>
                <w:lang w:val="en-US" w:eastAsia="zh-CN" w:bidi="ar"/>
              </w:rPr>
              <w:t>40</w:t>
            </w:r>
          </w:p>
        </w:tc>
      </w:tr>
      <w:tr w14:paraId="78E29C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341" w:type="pct"/>
            <w:noWrap/>
            <w:vAlign w:val="center"/>
          </w:tcPr>
          <w:p w14:paraId="533E5CD6">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7</w:t>
            </w:r>
          </w:p>
        </w:tc>
        <w:tc>
          <w:tcPr>
            <w:tcW w:w="1210" w:type="pct"/>
            <w:noWrap w:val="0"/>
            <w:vAlign w:val="center"/>
          </w:tcPr>
          <w:p w14:paraId="0F760F87">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废水处理污泥</w:t>
            </w:r>
          </w:p>
        </w:tc>
        <w:tc>
          <w:tcPr>
            <w:tcW w:w="1279" w:type="pct"/>
            <w:vMerge w:val="continue"/>
            <w:noWrap w:val="0"/>
            <w:vAlign w:val="center"/>
          </w:tcPr>
          <w:p w14:paraId="5838B430">
            <w:pPr>
              <w:adjustRightInd w:val="0"/>
              <w:snapToGrid w:val="0"/>
              <w:jc w:val="left"/>
              <w:rPr>
                <w:rFonts w:hint="eastAsia" w:ascii="宋体" w:hAnsi="宋体" w:cs="宋体"/>
                <w:color w:val="000000"/>
                <w:szCs w:val="21"/>
                <w:highlight w:val="none"/>
              </w:rPr>
            </w:pPr>
          </w:p>
        </w:tc>
        <w:tc>
          <w:tcPr>
            <w:tcW w:w="761" w:type="pct"/>
            <w:noWrap w:val="0"/>
            <w:vAlign w:val="center"/>
          </w:tcPr>
          <w:p w14:paraId="4B4A5F4A">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336-064-17</w:t>
            </w:r>
          </w:p>
        </w:tc>
        <w:tc>
          <w:tcPr>
            <w:tcW w:w="703" w:type="pct"/>
            <w:noWrap w:val="0"/>
            <w:vAlign w:val="center"/>
          </w:tcPr>
          <w:p w14:paraId="45A182BB">
            <w:pPr>
              <w:widowControl/>
              <w:adjustRightInd w:val="0"/>
              <w:snapToGrid w:val="0"/>
              <w:jc w:val="left"/>
              <w:textAlignment w:val="center"/>
              <w:rPr>
                <w:rFonts w:hint="eastAsia" w:ascii="宋体" w:hAnsi="宋体" w:cs="宋体"/>
                <w:color w:val="000000"/>
                <w:kern w:val="0"/>
                <w:szCs w:val="21"/>
                <w:highlight w:val="none"/>
                <w:lang w:val="en-US" w:eastAsia="zh-CN" w:bidi="ar"/>
              </w:rPr>
            </w:pPr>
            <w:r>
              <w:rPr>
                <w:rFonts w:hint="eastAsia" w:ascii="宋体" w:hAnsi="宋体" w:cs="宋体"/>
                <w:color w:val="000000"/>
                <w:kern w:val="0"/>
                <w:szCs w:val="21"/>
                <w:highlight w:val="none"/>
                <w:lang w:val="en-US" w:eastAsia="zh-CN" w:bidi="ar"/>
              </w:rPr>
              <w:t>T/C</w:t>
            </w:r>
          </w:p>
        </w:tc>
        <w:tc>
          <w:tcPr>
            <w:tcW w:w="703" w:type="pct"/>
            <w:noWrap w:val="0"/>
            <w:vAlign w:val="center"/>
          </w:tcPr>
          <w:p w14:paraId="7B4A8A07">
            <w:pPr>
              <w:widowControl/>
              <w:adjustRightInd w:val="0"/>
              <w:snapToGrid w:val="0"/>
              <w:jc w:val="left"/>
              <w:textAlignment w:val="center"/>
              <w:rPr>
                <w:rFonts w:hint="default" w:ascii="宋体" w:hAnsi="宋体" w:eastAsia="宋体" w:cs="宋体"/>
                <w:color w:val="000000"/>
                <w:kern w:val="0"/>
                <w:szCs w:val="21"/>
                <w:highlight w:val="none"/>
                <w:lang w:val="en-US" w:eastAsia="zh-CN" w:bidi="ar"/>
              </w:rPr>
            </w:pPr>
            <w:r>
              <w:rPr>
                <w:rFonts w:hint="eastAsia" w:ascii="宋体" w:hAnsi="宋体" w:cs="宋体"/>
                <w:color w:val="000000"/>
                <w:kern w:val="0"/>
                <w:szCs w:val="21"/>
                <w:highlight w:val="none"/>
                <w:lang w:val="en-US" w:eastAsia="zh-CN" w:bidi="ar"/>
              </w:rPr>
              <w:t>17</w:t>
            </w:r>
          </w:p>
        </w:tc>
      </w:tr>
      <w:tr w14:paraId="137F8A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341" w:type="pct"/>
            <w:noWrap/>
            <w:vAlign w:val="center"/>
          </w:tcPr>
          <w:p w14:paraId="2C74D3D4">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8</w:t>
            </w:r>
          </w:p>
        </w:tc>
        <w:tc>
          <w:tcPr>
            <w:tcW w:w="1210" w:type="pct"/>
            <w:noWrap w:val="0"/>
            <w:vAlign w:val="center"/>
          </w:tcPr>
          <w:p w14:paraId="4EF6F4AA">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实验室废液</w:t>
            </w:r>
          </w:p>
        </w:tc>
        <w:tc>
          <w:tcPr>
            <w:tcW w:w="1279" w:type="pct"/>
            <w:vMerge w:val="restart"/>
            <w:noWrap w:val="0"/>
            <w:vAlign w:val="center"/>
          </w:tcPr>
          <w:p w14:paraId="7D150CF6">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HW49其他废物</w:t>
            </w:r>
          </w:p>
        </w:tc>
        <w:tc>
          <w:tcPr>
            <w:tcW w:w="761" w:type="pct"/>
            <w:noWrap w:val="0"/>
            <w:vAlign w:val="center"/>
          </w:tcPr>
          <w:p w14:paraId="4D6489D0">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900-047-49</w:t>
            </w:r>
          </w:p>
        </w:tc>
        <w:tc>
          <w:tcPr>
            <w:tcW w:w="703" w:type="pct"/>
            <w:noWrap w:val="0"/>
            <w:vAlign w:val="center"/>
          </w:tcPr>
          <w:p w14:paraId="40DEDBB5">
            <w:pPr>
              <w:widowControl/>
              <w:adjustRightInd w:val="0"/>
              <w:snapToGrid w:val="0"/>
              <w:jc w:val="left"/>
              <w:textAlignment w:val="center"/>
              <w:rPr>
                <w:rFonts w:hint="eastAsia" w:ascii="宋体" w:hAnsi="宋体" w:cs="宋体"/>
                <w:color w:val="000000"/>
                <w:kern w:val="0"/>
                <w:szCs w:val="21"/>
                <w:highlight w:val="none"/>
                <w:lang w:val="en-US" w:eastAsia="zh-CN" w:bidi="ar"/>
              </w:rPr>
            </w:pPr>
            <w:r>
              <w:rPr>
                <w:rFonts w:hint="eastAsia" w:ascii="宋体" w:hAnsi="宋体" w:cs="宋体"/>
                <w:color w:val="000000"/>
                <w:kern w:val="0"/>
                <w:szCs w:val="21"/>
                <w:highlight w:val="none"/>
                <w:lang w:val="en-US" w:eastAsia="zh-CN" w:bidi="ar"/>
              </w:rPr>
              <w:t>T/C/I/R</w:t>
            </w:r>
          </w:p>
        </w:tc>
        <w:tc>
          <w:tcPr>
            <w:tcW w:w="703" w:type="pct"/>
            <w:noWrap w:val="0"/>
            <w:vAlign w:val="center"/>
          </w:tcPr>
          <w:p w14:paraId="01BC4054">
            <w:pPr>
              <w:widowControl/>
              <w:adjustRightInd w:val="0"/>
              <w:snapToGrid w:val="0"/>
              <w:jc w:val="left"/>
              <w:textAlignment w:val="center"/>
              <w:rPr>
                <w:rFonts w:hint="eastAsia" w:ascii="宋体" w:hAnsi="宋体" w:eastAsia="宋体" w:cs="宋体"/>
                <w:color w:val="000000"/>
                <w:kern w:val="0"/>
                <w:szCs w:val="21"/>
                <w:highlight w:val="none"/>
                <w:lang w:val="en-US" w:eastAsia="zh-CN" w:bidi="ar"/>
              </w:rPr>
            </w:pPr>
            <w:r>
              <w:rPr>
                <w:rFonts w:hint="eastAsia" w:ascii="宋体" w:hAnsi="宋体" w:cs="宋体"/>
                <w:color w:val="000000"/>
                <w:kern w:val="0"/>
                <w:szCs w:val="21"/>
                <w:highlight w:val="none"/>
                <w:lang w:val="en-US" w:eastAsia="zh-CN" w:bidi="ar"/>
              </w:rPr>
              <w:t>3</w:t>
            </w:r>
          </w:p>
        </w:tc>
      </w:tr>
      <w:tr w14:paraId="56E9BB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341" w:type="pct"/>
            <w:noWrap/>
            <w:vAlign w:val="center"/>
          </w:tcPr>
          <w:p w14:paraId="27C5CB83">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9</w:t>
            </w:r>
          </w:p>
        </w:tc>
        <w:tc>
          <w:tcPr>
            <w:tcW w:w="1210" w:type="pct"/>
            <w:noWrap w:val="0"/>
            <w:vAlign w:val="center"/>
          </w:tcPr>
          <w:p w14:paraId="6BCC1413">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废活性炭</w:t>
            </w:r>
          </w:p>
        </w:tc>
        <w:tc>
          <w:tcPr>
            <w:tcW w:w="1279" w:type="pct"/>
            <w:vMerge w:val="continue"/>
            <w:noWrap w:val="0"/>
            <w:vAlign w:val="center"/>
          </w:tcPr>
          <w:p w14:paraId="21552182">
            <w:pPr>
              <w:adjustRightInd w:val="0"/>
              <w:snapToGrid w:val="0"/>
              <w:jc w:val="left"/>
              <w:rPr>
                <w:rFonts w:hint="eastAsia" w:ascii="宋体" w:hAnsi="宋体" w:cs="宋体"/>
                <w:color w:val="000000"/>
                <w:szCs w:val="21"/>
                <w:highlight w:val="none"/>
              </w:rPr>
            </w:pPr>
          </w:p>
        </w:tc>
        <w:tc>
          <w:tcPr>
            <w:tcW w:w="761" w:type="pct"/>
            <w:noWrap w:val="0"/>
            <w:vAlign w:val="center"/>
          </w:tcPr>
          <w:p w14:paraId="3E473C92">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900-039-49</w:t>
            </w:r>
          </w:p>
        </w:tc>
        <w:tc>
          <w:tcPr>
            <w:tcW w:w="703" w:type="pct"/>
            <w:noWrap w:val="0"/>
            <w:vAlign w:val="center"/>
          </w:tcPr>
          <w:p w14:paraId="46129FD7">
            <w:pPr>
              <w:widowControl/>
              <w:adjustRightInd w:val="0"/>
              <w:snapToGrid w:val="0"/>
              <w:jc w:val="left"/>
              <w:textAlignment w:val="center"/>
              <w:rPr>
                <w:rFonts w:hint="eastAsia" w:ascii="宋体" w:hAnsi="宋体" w:cs="宋体"/>
                <w:color w:val="000000"/>
                <w:kern w:val="0"/>
                <w:szCs w:val="21"/>
                <w:highlight w:val="none"/>
                <w:lang w:val="en-US" w:eastAsia="zh-CN" w:bidi="ar"/>
              </w:rPr>
            </w:pPr>
            <w:r>
              <w:rPr>
                <w:rFonts w:hint="eastAsia" w:ascii="宋体" w:hAnsi="宋体" w:cs="宋体"/>
                <w:color w:val="000000"/>
                <w:kern w:val="0"/>
                <w:szCs w:val="21"/>
                <w:highlight w:val="none"/>
                <w:lang w:val="en-US" w:eastAsia="zh-CN" w:bidi="ar"/>
              </w:rPr>
              <w:t>T</w:t>
            </w:r>
          </w:p>
        </w:tc>
        <w:tc>
          <w:tcPr>
            <w:tcW w:w="703" w:type="pct"/>
            <w:noWrap w:val="0"/>
            <w:vAlign w:val="center"/>
          </w:tcPr>
          <w:p w14:paraId="54AE972F">
            <w:pPr>
              <w:widowControl/>
              <w:adjustRightInd w:val="0"/>
              <w:snapToGrid w:val="0"/>
              <w:jc w:val="left"/>
              <w:textAlignment w:val="center"/>
              <w:rPr>
                <w:rFonts w:hint="eastAsia" w:ascii="宋体" w:hAnsi="宋体" w:eastAsia="宋体" w:cs="宋体"/>
                <w:color w:val="000000"/>
                <w:kern w:val="0"/>
                <w:szCs w:val="21"/>
                <w:highlight w:val="none"/>
                <w:lang w:val="en-US" w:eastAsia="zh-CN" w:bidi="ar"/>
              </w:rPr>
            </w:pPr>
            <w:r>
              <w:rPr>
                <w:rFonts w:hint="eastAsia" w:ascii="宋体" w:hAnsi="宋体" w:cs="宋体"/>
                <w:color w:val="000000"/>
                <w:kern w:val="0"/>
                <w:szCs w:val="21"/>
                <w:highlight w:val="none"/>
                <w:lang w:val="en-US" w:eastAsia="zh-CN" w:bidi="ar"/>
              </w:rPr>
              <w:t>4</w:t>
            </w:r>
          </w:p>
        </w:tc>
      </w:tr>
      <w:tr w14:paraId="38D681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7" w:hRule="atLeast"/>
        </w:trPr>
        <w:tc>
          <w:tcPr>
            <w:tcW w:w="341" w:type="pct"/>
            <w:noWrap/>
            <w:vAlign w:val="center"/>
          </w:tcPr>
          <w:p w14:paraId="538620AA">
            <w:pPr>
              <w:adjustRightInd w:val="0"/>
              <w:snapToGrid w:val="0"/>
              <w:jc w:val="left"/>
              <w:rPr>
                <w:rFonts w:ascii="宋体" w:hAnsi="宋体" w:cs="宋体"/>
                <w:color w:val="000000"/>
                <w:szCs w:val="21"/>
                <w:highlight w:val="none"/>
              </w:rPr>
            </w:pPr>
            <w:r>
              <w:rPr>
                <w:rFonts w:hint="eastAsia" w:ascii="宋体" w:hAnsi="宋体" w:cs="宋体"/>
                <w:color w:val="000000"/>
                <w:szCs w:val="21"/>
                <w:highlight w:val="none"/>
              </w:rPr>
              <w:t>10</w:t>
            </w:r>
          </w:p>
        </w:tc>
        <w:tc>
          <w:tcPr>
            <w:tcW w:w="1210" w:type="pct"/>
            <w:noWrap w:val="0"/>
            <w:vAlign w:val="center"/>
          </w:tcPr>
          <w:p w14:paraId="218E7E34">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沾染物（废抹布和废劳保用品、沾染危险化学品等的废包装物、废遮蔽物</w:t>
            </w:r>
            <w:r>
              <w:rPr>
                <w:rFonts w:hint="eastAsia" w:ascii="宋体" w:hAnsi="宋体" w:cs="宋体"/>
                <w:color w:val="000000"/>
                <w:kern w:val="0"/>
                <w:szCs w:val="21"/>
                <w:highlight w:val="none"/>
                <w:lang w:eastAsia="zh-CN" w:bidi="ar"/>
              </w:rPr>
              <w:t>、</w:t>
            </w:r>
            <w:r>
              <w:rPr>
                <w:rFonts w:hint="eastAsia" w:ascii="宋体" w:hAnsi="宋体" w:cs="宋体"/>
                <w:color w:val="000000"/>
                <w:kern w:val="0"/>
                <w:szCs w:val="21"/>
                <w:highlight w:val="none"/>
                <w:lang w:bidi="ar"/>
              </w:rPr>
              <w:t>废过滤棉等）</w:t>
            </w:r>
          </w:p>
        </w:tc>
        <w:tc>
          <w:tcPr>
            <w:tcW w:w="1279" w:type="pct"/>
            <w:vMerge w:val="continue"/>
            <w:noWrap w:val="0"/>
            <w:vAlign w:val="center"/>
          </w:tcPr>
          <w:p w14:paraId="2266666C">
            <w:pPr>
              <w:adjustRightInd w:val="0"/>
              <w:snapToGrid w:val="0"/>
              <w:jc w:val="left"/>
              <w:rPr>
                <w:rFonts w:hint="eastAsia" w:ascii="宋体" w:hAnsi="宋体" w:cs="宋体"/>
                <w:color w:val="000000"/>
                <w:szCs w:val="21"/>
                <w:highlight w:val="none"/>
              </w:rPr>
            </w:pPr>
          </w:p>
        </w:tc>
        <w:tc>
          <w:tcPr>
            <w:tcW w:w="761" w:type="pct"/>
            <w:noWrap w:val="0"/>
            <w:vAlign w:val="center"/>
          </w:tcPr>
          <w:p w14:paraId="2E08F5FB">
            <w:pPr>
              <w:widowControl/>
              <w:adjustRightInd w:val="0"/>
              <w:snapToGrid w:val="0"/>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900-041-49</w:t>
            </w:r>
          </w:p>
        </w:tc>
        <w:tc>
          <w:tcPr>
            <w:tcW w:w="703" w:type="pct"/>
            <w:noWrap w:val="0"/>
            <w:vAlign w:val="center"/>
          </w:tcPr>
          <w:p w14:paraId="20912453">
            <w:pPr>
              <w:widowControl/>
              <w:adjustRightInd w:val="0"/>
              <w:snapToGrid w:val="0"/>
              <w:jc w:val="left"/>
              <w:textAlignment w:val="center"/>
              <w:rPr>
                <w:rFonts w:hint="eastAsia" w:ascii="宋体" w:hAnsi="宋体" w:cs="宋体"/>
                <w:color w:val="000000"/>
                <w:szCs w:val="21"/>
                <w:highlight w:val="none"/>
                <w:lang w:val="en-US" w:eastAsia="zh-CN"/>
              </w:rPr>
            </w:pPr>
            <w:r>
              <w:rPr>
                <w:rFonts w:hint="eastAsia" w:ascii="宋体" w:hAnsi="宋体" w:cs="宋体"/>
                <w:color w:val="000000"/>
                <w:szCs w:val="21"/>
                <w:highlight w:val="none"/>
                <w:lang w:val="en-US" w:eastAsia="zh-CN"/>
              </w:rPr>
              <w:t>T</w:t>
            </w:r>
          </w:p>
        </w:tc>
        <w:tc>
          <w:tcPr>
            <w:tcW w:w="703" w:type="pct"/>
            <w:noWrap w:val="0"/>
            <w:vAlign w:val="center"/>
          </w:tcPr>
          <w:p w14:paraId="1CFE6475">
            <w:pPr>
              <w:widowControl/>
              <w:adjustRightInd w:val="0"/>
              <w:snapToGrid w:val="0"/>
              <w:jc w:val="left"/>
              <w:textAlignment w:val="center"/>
              <w:rPr>
                <w:rFonts w:hint="default" w:ascii="宋体" w:hAnsi="宋体" w:eastAsia="宋体" w:cs="宋体"/>
                <w:color w:val="000000"/>
                <w:szCs w:val="21"/>
                <w:highlight w:val="none"/>
                <w:lang w:val="en-US" w:eastAsia="zh-CN"/>
              </w:rPr>
            </w:pPr>
            <w:r>
              <w:rPr>
                <w:rFonts w:hint="eastAsia" w:ascii="宋体" w:hAnsi="宋体" w:cs="宋体"/>
                <w:color w:val="000000"/>
                <w:szCs w:val="21"/>
                <w:highlight w:val="none"/>
                <w:lang w:val="en-US" w:eastAsia="zh-CN"/>
              </w:rPr>
              <w:t>20</w:t>
            </w:r>
          </w:p>
        </w:tc>
      </w:tr>
    </w:tbl>
    <w:p w14:paraId="1B165512">
      <w:pPr>
        <w:pStyle w:val="14"/>
        <w:numPr>
          <w:ilvl w:val="0"/>
          <w:numId w:val="0"/>
        </w:numPr>
        <w:spacing w:line="360" w:lineRule="auto"/>
        <w:jc w:val="left"/>
        <w:rPr>
          <w:rFonts w:hint="default" w:hAnsi="宋体"/>
          <w:szCs w:val="21"/>
          <w:highlight w:val="none"/>
          <w:lang w:val="en-US" w:eastAsia="zh-CN"/>
        </w:rPr>
      </w:pPr>
      <w:r>
        <w:rPr>
          <w:rFonts w:hint="eastAsia" w:hAnsi="宋体"/>
          <w:szCs w:val="21"/>
          <w:highlight w:val="none"/>
          <w:lang w:val="en-US" w:eastAsia="zh-CN"/>
        </w:rPr>
        <w:t>备注：1、本表中危险废物类别均为需要委外付费处置危险废物，不包括废矿物油、废铅蓄电池等可售卖以及废包装桶、废含汞荧光灯管等需要单一委托具备相应资质的第三方处置的危险废物。</w:t>
      </w:r>
    </w:p>
    <w:p w14:paraId="7B776B1B">
      <w:pPr>
        <w:pStyle w:val="14"/>
        <w:numPr>
          <w:ilvl w:val="0"/>
          <w:numId w:val="0"/>
        </w:numPr>
        <w:spacing w:line="360" w:lineRule="auto"/>
        <w:jc w:val="left"/>
        <w:rPr>
          <w:rFonts w:hint="default" w:hAnsi="宋体"/>
          <w:szCs w:val="21"/>
          <w:highlight w:val="none"/>
          <w:lang w:val="en-US" w:eastAsia="zh-CN"/>
        </w:rPr>
      </w:pPr>
      <w:r>
        <w:rPr>
          <w:rFonts w:hint="eastAsia" w:hAnsi="宋体"/>
          <w:szCs w:val="21"/>
          <w:highlight w:val="none"/>
          <w:lang w:val="en-US" w:eastAsia="zh-CN"/>
        </w:rPr>
        <w:t>2、2025年预估产量按照2025年计划生产产量和2024年单车危险废物产生量进行预估。</w:t>
      </w:r>
    </w:p>
    <w:p w14:paraId="6E9CC84F">
      <w:pPr>
        <w:pStyle w:val="14"/>
        <w:numPr>
          <w:ilvl w:val="0"/>
          <w:numId w:val="0"/>
        </w:numPr>
        <w:spacing w:line="360" w:lineRule="auto"/>
        <w:jc w:val="left"/>
        <w:rPr>
          <w:rFonts w:hint="eastAsia" w:hAnsi="宋体"/>
          <w:szCs w:val="21"/>
          <w:highlight w:val="none"/>
          <w:lang w:val="en-US" w:eastAsia="zh-CN"/>
        </w:rPr>
      </w:pPr>
    </w:p>
    <w:p w14:paraId="10461C14">
      <w:pPr>
        <w:pStyle w:val="14"/>
        <w:numPr>
          <w:ilvl w:val="0"/>
          <w:numId w:val="29"/>
        </w:numPr>
        <w:spacing w:line="360" w:lineRule="auto"/>
        <w:jc w:val="left"/>
        <w:rPr>
          <w:rFonts w:hint="default" w:ascii="黑体" w:hAnsi="黑体" w:eastAsia="黑体" w:cs="Times New Roman"/>
          <w:kern w:val="2"/>
          <w:sz w:val="32"/>
          <w:szCs w:val="32"/>
          <w:highlight w:val="none"/>
          <w:lang w:val="en-US" w:eastAsia="zh-CN" w:bidi="ar-SA"/>
        </w:rPr>
      </w:pPr>
      <w:r>
        <w:rPr>
          <w:rFonts w:hint="eastAsia" w:ascii="黑体" w:hAnsi="黑体" w:eastAsia="黑体" w:cs="Times New Roman"/>
          <w:kern w:val="2"/>
          <w:sz w:val="32"/>
          <w:szCs w:val="32"/>
          <w:highlight w:val="none"/>
          <w:lang w:val="en-US" w:eastAsia="zh-CN" w:bidi="ar-SA"/>
        </w:rPr>
        <w:t>技术要求</w:t>
      </w:r>
    </w:p>
    <w:p w14:paraId="06D86AE4">
      <w:pPr>
        <w:pStyle w:val="14"/>
        <w:spacing w:line="360" w:lineRule="auto"/>
        <w:ind w:left="364" w:leftChars="-228" w:hanging="843" w:hangingChars="400"/>
        <w:rPr>
          <w:rFonts w:hint="eastAsia" w:hAnsi="宋体"/>
          <w:b/>
          <w:highlight w:val="none"/>
        </w:rPr>
      </w:pPr>
      <w:r>
        <w:rPr>
          <w:rFonts w:hAnsi="宋体"/>
          <w:b/>
          <w:highlight w:val="none"/>
        </w:rPr>
        <w:t xml:space="preserve">       </w:t>
      </w:r>
      <w:r>
        <w:rPr>
          <w:rFonts w:hint="eastAsia" w:hAnsi="宋体"/>
          <w:b/>
          <w:highlight w:val="none"/>
          <w:lang w:val="en-US" w:eastAsia="zh-CN"/>
        </w:rPr>
        <w:t xml:space="preserve">  </w:t>
      </w:r>
      <w:r>
        <w:rPr>
          <w:rFonts w:hint="eastAsia" w:ascii="楷体_GB2312" w:hAnsi="楷体" w:eastAsia="楷体_GB2312" w:cs="Times New Roman"/>
          <w:kern w:val="2"/>
          <w:sz w:val="32"/>
          <w:szCs w:val="32"/>
          <w:highlight w:val="none"/>
          <w:lang w:val="en-US" w:eastAsia="zh-CN" w:bidi="ar-SA"/>
        </w:rPr>
        <w:t>（一）资质要求：</w:t>
      </w:r>
    </w:p>
    <w:p w14:paraId="4D5CC458">
      <w:pPr>
        <w:pStyle w:val="14"/>
        <w:spacing w:line="360" w:lineRule="auto"/>
        <w:ind w:firstLine="640" w:firstLineChars="200"/>
        <w:jc w:val="left"/>
        <w:rPr>
          <w:rFonts w:hint="eastAsia" w:ascii="仿宋_GB2312" w:hAnsi="仿宋" w:eastAsia="仿宋_GB2312" w:cs="Times New Roman"/>
          <w:kern w:val="2"/>
          <w:sz w:val="32"/>
          <w:szCs w:val="32"/>
          <w:highlight w:val="none"/>
          <w:lang w:val="en-US" w:eastAsia="zh-CN" w:bidi="ar-SA"/>
        </w:rPr>
      </w:pPr>
      <w:r>
        <w:rPr>
          <w:rFonts w:hint="eastAsia" w:ascii="仿宋_GB2312" w:hAnsi="仿宋" w:eastAsia="仿宋_GB2312" w:cs="Times New Roman"/>
          <w:kern w:val="2"/>
          <w:sz w:val="32"/>
          <w:szCs w:val="32"/>
          <w:highlight w:val="none"/>
          <w:lang w:val="en-US" w:eastAsia="zh-CN" w:bidi="ar-SA"/>
        </w:rPr>
        <w:t>供应商持有当地生态环境局(厅)核发的正式危险废物经营许可证（增项变更换证除外），并严格按照危险废物经营许可证所批准的经营危险废物类别及规模范围进行危险废物转移运输及处置，且经营资质范围必须满足公司委托处置的危险废物类别范围。</w:t>
      </w:r>
    </w:p>
    <w:p w14:paraId="6755B589">
      <w:pPr>
        <w:pStyle w:val="14"/>
        <w:spacing w:line="360" w:lineRule="auto"/>
        <w:ind w:firstLine="640" w:firstLineChars="200"/>
        <w:rPr>
          <w:rFonts w:hint="eastAsia" w:ascii="楷体_GB2312" w:hAnsi="楷体" w:eastAsia="楷体_GB2312" w:cs="Times New Roman"/>
          <w:kern w:val="2"/>
          <w:sz w:val="32"/>
          <w:szCs w:val="32"/>
          <w:highlight w:val="none"/>
          <w:lang w:val="en-US" w:eastAsia="zh-CN" w:bidi="ar-SA"/>
        </w:rPr>
      </w:pPr>
      <w:r>
        <w:rPr>
          <w:rFonts w:hint="eastAsia" w:ascii="楷体_GB2312" w:hAnsi="楷体" w:eastAsia="楷体_GB2312" w:cs="Times New Roman"/>
          <w:kern w:val="2"/>
          <w:sz w:val="32"/>
          <w:szCs w:val="32"/>
          <w:highlight w:val="none"/>
          <w:lang w:val="en-US" w:eastAsia="zh-CN" w:bidi="ar-SA"/>
        </w:rPr>
        <w:t>（二）装卸</w:t>
      </w:r>
    </w:p>
    <w:p w14:paraId="7E9D60C6">
      <w:pPr>
        <w:pStyle w:val="14"/>
        <w:spacing w:line="360" w:lineRule="auto"/>
        <w:ind w:firstLine="640" w:firstLineChars="200"/>
        <w:jc w:val="left"/>
        <w:rPr>
          <w:rFonts w:hint="eastAsia" w:ascii="仿宋_GB2312" w:hAnsi="仿宋" w:eastAsia="仿宋_GB2312" w:cs="Times New Roman"/>
          <w:kern w:val="2"/>
          <w:sz w:val="32"/>
          <w:szCs w:val="32"/>
          <w:highlight w:val="none"/>
          <w:lang w:val="en-US" w:eastAsia="zh-CN" w:bidi="ar-SA"/>
        </w:rPr>
      </w:pPr>
      <w:r>
        <w:rPr>
          <w:rFonts w:hint="eastAsia" w:ascii="仿宋_GB2312" w:hAnsi="仿宋" w:eastAsia="仿宋_GB2312" w:cs="Times New Roman"/>
          <w:kern w:val="2"/>
          <w:sz w:val="32"/>
          <w:szCs w:val="32"/>
          <w:highlight w:val="none"/>
          <w:lang w:val="en-US" w:eastAsia="zh-CN" w:bidi="ar-SA"/>
        </w:rPr>
        <w:t>（1）供应商负责危险废物转移运输期间的装卸车活动（公司负责提供叉车等机械设备并配备叉车司机）。危险废物在我方指定地点装车后的风险由供应商承担，如因我方原因造成泄漏、污染事故责任由我方承担。</w:t>
      </w:r>
    </w:p>
    <w:p w14:paraId="035638A4">
      <w:pPr>
        <w:pStyle w:val="14"/>
        <w:spacing w:line="360" w:lineRule="auto"/>
        <w:ind w:firstLine="640" w:firstLineChars="200"/>
        <w:jc w:val="left"/>
        <w:rPr>
          <w:rFonts w:hint="default" w:ascii="仿宋_GB2312" w:hAnsi="仿宋" w:eastAsia="仿宋_GB2312" w:cs="Times New Roman"/>
          <w:kern w:val="2"/>
          <w:sz w:val="32"/>
          <w:szCs w:val="32"/>
          <w:highlight w:val="none"/>
          <w:lang w:val="en-US" w:eastAsia="zh-CN" w:bidi="ar-SA"/>
        </w:rPr>
      </w:pPr>
      <w:r>
        <w:rPr>
          <w:rFonts w:hint="eastAsia" w:ascii="仿宋_GB2312" w:hAnsi="仿宋" w:eastAsia="仿宋_GB2312" w:cs="Times New Roman"/>
          <w:kern w:val="2"/>
          <w:sz w:val="32"/>
          <w:szCs w:val="32"/>
          <w:highlight w:val="none"/>
          <w:lang w:val="en-US" w:eastAsia="zh-CN" w:bidi="ar-SA"/>
        </w:rPr>
        <w:t>（2）</w:t>
      </w:r>
      <w:r>
        <w:rPr>
          <w:rFonts w:hint="default" w:ascii="仿宋_GB2312" w:hAnsi="仿宋" w:eastAsia="仿宋_GB2312" w:cs="Times New Roman"/>
          <w:kern w:val="2"/>
          <w:sz w:val="32"/>
          <w:szCs w:val="32"/>
          <w:highlight w:val="none"/>
          <w:lang w:val="en-US" w:eastAsia="zh-CN" w:bidi="ar-SA"/>
        </w:rPr>
        <w:t>在</w:t>
      </w:r>
      <w:r>
        <w:rPr>
          <w:rFonts w:hint="eastAsia" w:ascii="仿宋_GB2312" w:hAnsi="仿宋" w:eastAsia="仿宋_GB2312" w:cs="Times New Roman"/>
          <w:kern w:val="2"/>
          <w:sz w:val="32"/>
          <w:szCs w:val="32"/>
          <w:highlight w:val="none"/>
          <w:lang w:val="en-US" w:eastAsia="zh-CN" w:bidi="ar-SA"/>
        </w:rPr>
        <w:t>我方</w:t>
      </w:r>
      <w:r>
        <w:rPr>
          <w:rFonts w:hint="default" w:ascii="仿宋_GB2312" w:hAnsi="仿宋" w:eastAsia="仿宋_GB2312" w:cs="Times New Roman"/>
          <w:kern w:val="2"/>
          <w:sz w:val="32"/>
          <w:szCs w:val="32"/>
          <w:highlight w:val="none"/>
          <w:lang w:val="en-US" w:eastAsia="zh-CN" w:bidi="ar-SA"/>
        </w:rPr>
        <w:t>转移危险废物的人员和设施设备须符合厂区内相关管理要求，并按</w:t>
      </w:r>
      <w:r>
        <w:rPr>
          <w:rFonts w:hint="eastAsia" w:ascii="仿宋_GB2312" w:hAnsi="仿宋" w:eastAsia="仿宋_GB2312" w:cs="Times New Roman"/>
          <w:kern w:val="2"/>
          <w:sz w:val="32"/>
          <w:szCs w:val="32"/>
          <w:highlight w:val="none"/>
          <w:lang w:val="en-US" w:eastAsia="zh-CN" w:bidi="ar-SA"/>
        </w:rPr>
        <w:t>我方</w:t>
      </w:r>
      <w:r>
        <w:rPr>
          <w:rFonts w:hint="default" w:ascii="仿宋_GB2312" w:hAnsi="仿宋" w:eastAsia="仿宋_GB2312" w:cs="Times New Roman"/>
          <w:kern w:val="2"/>
          <w:sz w:val="32"/>
          <w:szCs w:val="32"/>
          <w:highlight w:val="none"/>
          <w:lang w:val="en-US" w:eastAsia="zh-CN" w:bidi="ar-SA"/>
        </w:rPr>
        <w:t>要求签订相关方职业健康、安全、环境保护协议，承担相应的责任。</w:t>
      </w:r>
    </w:p>
    <w:p w14:paraId="487F2E35">
      <w:pPr>
        <w:pStyle w:val="14"/>
        <w:spacing w:line="360" w:lineRule="auto"/>
        <w:ind w:firstLine="640" w:firstLineChars="200"/>
        <w:jc w:val="left"/>
        <w:rPr>
          <w:rFonts w:hint="eastAsia" w:ascii="仿宋_GB2312" w:hAnsi="仿宋" w:eastAsia="仿宋_GB2312" w:cs="Times New Roman"/>
          <w:kern w:val="2"/>
          <w:sz w:val="32"/>
          <w:szCs w:val="32"/>
          <w:highlight w:val="none"/>
          <w:lang w:val="en-US" w:eastAsia="zh-CN" w:bidi="ar-SA"/>
        </w:rPr>
      </w:pPr>
      <w:r>
        <w:rPr>
          <w:rFonts w:hint="eastAsia" w:ascii="仿宋_GB2312" w:hAnsi="仿宋" w:eastAsia="仿宋_GB2312" w:cs="Times New Roman"/>
          <w:kern w:val="2"/>
          <w:sz w:val="32"/>
          <w:szCs w:val="32"/>
          <w:highlight w:val="none"/>
          <w:lang w:val="en-US" w:eastAsia="zh-CN" w:bidi="ar-SA"/>
        </w:rPr>
        <w:t>（3）在我方指定地点装车，装车过程中供应商应杜绝危险废物抛洒现象，装车后供应商负责场地的清理工作。</w:t>
      </w:r>
    </w:p>
    <w:p w14:paraId="4D3A5969">
      <w:pPr>
        <w:pStyle w:val="14"/>
        <w:spacing w:line="360" w:lineRule="auto"/>
        <w:ind w:firstLine="640" w:firstLineChars="200"/>
        <w:jc w:val="left"/>
        <w:rPr>
          <w:rFonts w:hint="eastAsia" w:ascii="仿宋_GB2312" w:hAnsi="仿宋" w:eastAsia="仿宋_GB2312" w:cs="Times New Roman"/>
          <w:kern w:val="2"/>
          <w:sz w:val="32"/>
          <w:szCs w:val="32"/>
          <w:highlight w:val="none"/>
          <w:lang w:val="en-US" w:eastAsia="zh-CN" w:bidi="ar-SA"/>
        </w:rPr>
      </w:pPr>
      <w:r>
        <w:rPr>
          <w:rFonts w:hint="eastAsia" w:ascii="仿宋_GB2312" w:hAnsi="仿宋" w:eastAsia="仿宋_GB2312" w:cs="Times New Roman"/>
          <w:kern w:val="2"/>
          <w:sz w:val="32"/>
          <w:szCs w:val="32"/>
          <w:highlight w:val="none"/>
          <w:lang w:val="en-US" w:eastAsia="zh-CN" w:bidi="ar-SA"/>
        </w:rPr>
        <w:t>（4）在清运危险废物过程中不得影响我方的正常生产运营工作，如若对生产运营造成影响并由此产生的一切后果均由供应商承担。</w:t>
      </w:r>
    </w:p>
    <w:p w14:paraId="3E70A00E">
      <w:pPr>
        <w:tabs>
          <w:tab w:val="left" w:pos="622"/>
        </w:tabs>
        <w:autoSpaceDE w:val="0"/>
        <w:autoSpaceDN w:val="0"/>
        <w:adjustRightInd w:val="0"/>
        <w:spacing w:line="360" w:lineRule="auto"/>
        <w:ind w:firstLine="640" w:firstLineChars="200"/>
        <w:jc w:val="left"/>
        <w:rPr>
          <w:rFonts w:hint="eastAsia" w:ascii="楷体_GB2312" w:hAnsi="楷体" w:eastAsia="楷体_GB2312" w:cs="Times New Roman"/>
          <w:kern w:val="2"/>
          <w:sz w:val="32"/>
          <w:szCs w:val="32"/>
          <w:highlight w:val="none"/>
          <w:lang w:val="en-US" w:eastAsia="zh-CN" w:bidi="ar-SA"/>
        </w:rPr>
      </w:pPr>
      <w:r>
        <w:rPr>
          <w:rFonts w:hint="eastAsia" w:ascii="楷体_GB2312" w:hAnsi="楷体" w:eastAsia="楷体_GB2312" w:cs="Times New Roman"/>
          <w:kern w:val="2"/>
          <w:sz w:val="32"/>
          <w:szCs w:val="32"/>
          <w:highlight w:val="none"/>
          <w:lang w:val="en-US" w:eastAsia="zh-CN" w:bidi="ar-SA"/>
        </w:rPr>
        <w:t>（三）运输</w:t>
      </w:r>
    </w:p>
    <w:p w14:paraId="060AA5EB">
      <w:pPr>
        <w:ind w:firstLine="640" w:firstLineChars="200"/>
        <w:rPr>
          <w:rFonts w:hint="eastAsia" w:ascii="仿宋_GB2312" w:hAnsi="仿宋" w:eastAsia="仿宋_GB2312"/>
          <w:sz w:val="32"/>
          <w:szCs w:val="32"/>
          <w:highlight w:val="none"/>
        </w:rPr>
      </w:pPr>
      <w:r>
        <w:rPr>
          <w:rFonts w:hint="eastAsia" w:ascii="仿宋_GB2312" w:hAnsi="仿宋" w:eastAsia="仿宋_GB2312"/>
          <w:sz w:val="32"/>
          <w:szCs w:val="32"/>
          <w:highlight w:val="none"/>
          <w:lang w:eastAsia="zh-CN"/>
        </w:rPr>
        <w:t>（</w:t>
      </w:r>
      <w:r>
        <w:rPr>
          <w:rFonts w:hint="eastAsia" w:ascii="仿宋_GB2312" w:hAnsi="仿宋" w:eastAsia="仿宋_GB2312"/>
          <w:sz w:val="32"/>
          <w:szCs w:val="32"/>
          <w:highlight w:val="none"/>
          <w:lang w:val="en-US" w:eastAsia="zh-CN"/>
        </w:rPr>
        <w:t>1</w:t>
      </w:r>
      <w:r>
        <w:rPr>
          <w:rFonts w:hint="eastAsia" w:ascii="仿宋_GB2312" w:hAnsi="仿宋" w:eastAsia="仿宋_GB2312"/>
          <w:sz w:val="32"/>
          <w:szCs w:val="32"/>
          <w:highlight w:val="none"/>
          <w:lang w:eastAsia="zh-CN"/>
        </w:rPr>
        <w:t>）供应商</w:t>
      </w:r>
      <w:r>
        <w:rPr>
          <w:rFonts w:hint="eastAsia" w:ascii="仿宋_GB2312" w:hAnsi="仿宋" w:eastAsia="仿宋_GB2312"/>
          <w:sz w:val="32"/>
          <w:szCs w:val="32"/>
          <w:highlight w:val="none"/>
        </w:rPr>
        <w:t>可自行运输或委托有危险废物道路运输资质的公司负责运输危险废物，运输车辆驶出</w:t>
      </w:r>
      <w:r>
        <w:rPr>
          <w:rFonts w:hint="eastAsia" w:ascii="仿宋_GB2312" w:hAnsi="仿宋" w:eastAsia="仿宋_GB2312" w:cs="Times New Roman"/>
          <w:kern w:val="2"/>
          <w:sz w:val="32"/>
          <w:szCs w:val="32"/>
          <w:highlight w:val="none"/>
          <w:lang w:val="en-US" w:eastAsia="zh-CN" w:bidi="ar-SA"/>
        </w:rPr>
        <w:t>我方</w:t>
      </w:r>
      <w:r>
        <w:rPr>
          <w:rFonts w:hint="eastAsia" w:ascii="仿宋_GB2312" w:hAnsi="仿宋" w:eastAsia="仿宋_GB2312"/>
          <w:sz w:val="32"/>
          <w:szCs w:val="32"/>
          <w:highlight w:val="none"/>
        </w:rPr>
        <w:t>厂区的所发生的任何运输风险由</w:t>
      </w:r>
      <w:r>
        <w:rPr>
          <w:rFonts w:hint="eastAsia" w:ascii="仿宋_GB2312" w:hAnsi="仿宋" w:eastAsia="仿宋_GB2312"/>
          <w:sz w:val="32"/>
          <w:szCs w:val="32"/>
          <w:highlight w:val="none"/>
          <w:lang w:eastAsia="zh-CN"/>
        </w:rPr>
        <w:t>供应商</w:t>
      </w:r>
      <w:r>
        <w:rPr>
          <w:rFonts w:hint="eastAsia" w:ascii="仿宋_GB2312" w:hAnsi="仿宋" w:eastAsia="仿宋_GB2312"/>
          <w:sz w:val="32"/>
          <w:szCs w:val="32"/>
          <w:highlight w:val="none"/>
        </w:rPr>
        <w:t>承担；</w:t>
      </w:r>
    </w:p>
    <w:p w14:paraId="01CB10D0">
      <w:pPr>
        <w:ind w:firstLine="640" w:firstLineChars="200"/>
        <w:rPr>
          <w:rFonts w:hint="eastAsia" w:ascii="仿宋_GB2312" w:hAnsi="仿宋" w:eastAsia="仿宋_GB2312"/>
          <w:sz w:val="32"/>
          <w:szCs w:val="32"/>
          <w:highlight w:val="none"/>
        </w:rPr>
      </w:pPr>
      <w:r>
        <w:rPr>
          <w:rFonts w:hint="eastAsia" w:ascii="仿宋_GB2312" w:hAnsi="仿宋" w:eastAsia="仿宋_GB2312"/>
          <w:sz w:val="32"/>
          <w:szCs w:val="32"/>
          <w:highlight w:val="none"/>
          <w:lang w:eastAsia="zh-CN"/>
        </w:rPr>
        <w:t>（</w:t>
      </w:r>
      <w:r>
        <w:rPr>
          <w:rFonts w:hint="eastAsia" w:ascii="仿宋_GB2312" w:hAnsi="仿宋" w:eastAsia="仿宋_GB2312"/>
          <w:sz w:val="32"/>
          <w:szCs w:val="32"/>
          <w:highlight w:val="none"/>
          <w:lang w:val="en-US" w:eastAsia="zh-CN"/>
        </w:rPr>
        <w:t>2</w:t>
      </w:r>
      <w:r>
        <w:rPr>
          <w:rFonts w:hint="eastAsia" w:ascii="仿宋_GB2312" w:hAnsi="仿宋" w:eastAsia="仿宋_GB2312"/>
          <w:sz w:val="32"/>
          <w:szCs w:val="32"/>
          <w:highlight w:val="none"/>
          <w:lang w:eastAsia="zh-CN"/>
        </w:rPr>
        <w:t>）</w:t>
      </w:r>
      <w:r>
        <w:rPr>
          <w:rFonts w:hint="eastAsia" w:ascii="仿宋_GB2312" w:hAnsi="仿宋" w:eastAsia="仿宋_GB2312"/>
          <w:sz w:val="32"/>
          <w:szCs w:val="32"/>
          <w:highlight w:val="none"/>
        </w:rPr>
        <w:t>危险废物运输过程中保证密封包装，捆扎结实，确保装车、运输过程中无泄露；</w:t>
      </w:r>
    </w:p>
    <w:p w14:paraId="407730EF">
      <w:pPr>
        <w:ind w:firstLine="640" w:firstLineChars="200"/>
        <w:rPr>
          <w:rFonts w:hint="eastAsia" w:ascii="仿宋_GB2312" w:hAnsi="仿宋" w:eastAsia="仿宋_GB2312"/>
          <w:sz w:val="32"/>
          <w:szCs w:val="32"/>
          <w:highlight w:val="none"/>
        </w:rPr>
      </w:pPr>
      <w:r>
        <w:rPr>
          <w:rFonts w:hint="eastAsia" w:ascii="仿宋_GB2312" w:hAnsi="仿宋" w:eastAsia="仿宋_GB2312"/>
          <w:sz w:val="32"/>
          <w:szCs w:val="32"/>
          <w:highlight w:val="none"/>
          <w:lang w:eastAsia="zh-CN"/>
        </w:rPr>
        <w:t>（</w:t>
      </w:r>
      <w:r>
        <w:rPr>
          <w:rFonts w:hint="eastAsia" w:ascii="仿宋_GB2312" w:hAnsi="仿宋" w:eastAsia="仿宋_GB2312"/>
          <w:sz w:val="32"/>
          <w:szCs w:val="32"/>
          <w:highlight w:val="none"/>
          <w:lang w:val="en-US" w:eastAsia="zh-CN"/>
        </w:rPr>
        <w:t>3</w:t>
      </w:r>
      <w:r>
        <w:rPr>
          <w:rFonts w:hint="eastAsia" w:ascii="仿宋_GB2312" w:hAnsi="仿宋" w:eastAsia="仿宋_GB2312"/>
          <w:sz w:val="32"/>
          <w:szCs w:val="32"/>
          <w:highlight w:val="none"/>
          <w:lang w:eastAsia="zh-CN"/>
        </w:rPr>
        <w:t>）</w:t>
      </w:r>
      <w:r>
        <w:rPr>
          <w:rFonts w:hint="eastAsia" w:ascii="仿宋_GB2312" w:hAnsi="仿宋" w:eastAsia="仿宋_GB2312"/>
          <w:sz w:val="32"/>
          <w:szCs w:val="32"/>
          <w:highlight w:val="none"/>
        </w:rPr>
        <w:t>必须由持有危险货物运输车辆驾驶及押运资格证的人员负责运输</w:t>
      </w:r>
      <w:r>
        <w:rPr>
          <w:rFonts w:hint="eastAsia" w:ascii="仿宋_GB2312" w:hAnsi="仿宋" w:eastAsia="仿宋_GB2312"/>
          <w:sz w:val="32"/>
          <w:szCs w:val="32"/>
          <w:highlight w:val="none"/>
          <w:lang w:eastAsia="zh-CN"/>
        </w:rPr>
        <w:t>，</w:t>
      </w:r>
      <w:r>
        <w:rPr>
          <w:rFonts w:hint="eastAsia" w:ascii="仿宋_GB2312" w:hAnsi="仿宋" w:eastAsia="仿宋_GB2312"/>
          <w:sz w:val="32"/>
          <w:szCs w:val="32"/>
          <w:highlight w:val="none"/>
        </w:rPr>
        <w:t>运输车辆和运送人员必须满足国家有关安全、环保及其他相关规定。</w:t>
      </w:r>
    </w:p>
    <w:p w14:paraId="267E837F">
      <w:pPr>
        <w:autoSpaceDE w:val="0"/>
        <w:autoSpaceDN w:val="0"/>
        <w:adjustRightInd w:val="0"/>
        <w:spacing w:line="360" w:lineRule="auto"/>
        <w:ind w:firstLine="640" w:firstLineChars="200"/>
        <w:jc w:val="left"/>
        <w:rPr>
          <w:rFonts w:hint="eastAsia" w:ascii="楷体_GB2312" w:hAnsi="楷体" w:eastAsia="楷体_GB2312" w:cs="Times New Roman"/>
          <w:kern w:val="2"/>
          <w:sz w:val="32"/>
          <w:szCs w:val="32"/>
          <w:highlight w:val="none"/>
          <w:lang w:val="en-US" w:eastAsia="zh-CN" w:bidi="ar-SA"/>
        </w:rPr>
      </w:pPr>
      <w:r>
        <w:rPr>
          <w:rFonts w:hint="eastAsia" w:ascii="楷体_GB2312" w:hAnsi="楷体" w:eastAsia="楷体_GB2312" w:cs="Times New Roman"/>
          <w:kern w:val="2"/>
          <w:sz w:val="32"/>
          <w:szCs w:val="32"/>
          <w:highlight w:val="none"/>
          <w:lang w:val="en-US" w:eastAsia="zh-CN" w:bidi="ar-SA"/>
        </w:rPr>
        <w:t>（四）转移期限</w:t>
      </w:r>
    </w:p>
    <w:p w14:paraId="455B28F3">
      <w:pPr>
        <w:ind w:firstLine="640" w:firstLineChars="200"/>
        <w:rPr>
          <w:rFonts w:hint="eastAsia" w:ascii="仿宋_GB2312" w:hAnsi="仿宋" w:eastAsia="仿宋_GB2312"/>
          <w:sz w:val="32"/>
          <w:szCs w:val="32"/>
          <w:highlight w:val="none"/>
        </w:rPr>
      </w:pPr>
      <w:r>
        <w:rPr>
          <w:rFonts w:hint="eastAsia" w:ascii="仿宋_GB2312" w:hAnsi="仿宋" w:eastAsia="仿宋_GB2312"/>
          <w:sz w:val="32"/>
          <w:szCs w:val="32"/>
          <w:highlight w:val="none"/>
          <w:lang w:eastAsia="zh-CN"/>
        </w:rPr>
        <w:t>（</w:t>
      </w:r>
      <w:r>
        <w:rPr>
          <w:rFonts w:hint="eastAsia" w:ascii="仿宋_GB2312" w:hAnsi="仿宋" w:eastAsia="仿宋_GB2312"/>
          <w:sz w:val="32"/>
          <w:szCs w:val="32"/>
          <w:highlight w:val="none"/>
          <w:lang w:val="en-US" w:eastAsia="zh-CN"/>
        </w:rPr>
        <w:t>1</w:t>
      </w:r>
      <w:r>
        <w:rPr>
          <w:rFonts w:hint="eastAsia" w:ascii="仿宋_GB2312" w:hAnsi="仿宋" w:eastAsia="仿宋_GB2312"/>
          <w:sz w:val="32"/>
          <w:szCs w:val="32"/>
          <w:highlight w:val="none"/>
          <w:lang w:eastAsia="zh-CN"/>
        </w:rPr>
        <w:t>）</w:t>
      </w:r>
      <w:r>
        <w:rPr>
          <w:rFonts w:hint="eastAsia" w:ascii="仿宋_GB2312" w:hAnsi="仿宋" w:eastAsia="仿宋_GB2312"/>
          <w:sz w:val="32"/>
          <w:szCs w:val="32"/>
          <w:highlight w:val="none"/>
        </w:rPr>
        <w:t>按照合同规定时间内到达产生单位进行转移运输。</w:t>
      </w:r>
    </w:p>
    <w:p w14:paraId="7AFDC2A0">
      <w:pPr>
        <w:ind w:firstLine="640" w:firstLineChars="200"/>
        <w:rPr>
          <w:rFonts w:hint="eastAsia" w:ascii="仿宋_GB2312" w:hAnsi="仿宋" w:eastAsia="仿宋_GB2312"/>
          <w:sz w:val="32"/>
          <w:szCs w:val="32"/>
          <w:highlight w:val="none"/>
        </w:rPr>
      </w:pPr>
      <w:r>
        <w:rPr>
          <w:rFonts w:hint="eastAsia" w:ascii="仿宋_GB2312" w:hAnsi="仿宋" w:eastAsia="仿宋_GB2312"/>
          <w:sz w:val="32"/>
          <w:szCs w:val="32"/>
          <w:highlight w:val="none"/>
          <w:lang w:val="en-US" w:eastAsia="zh-CN"/>
        </w:rPr>
        <w:t>我方</w:t>
      </w:r>
      <w:r>
        <w:rPr>
          <w:rFonts w:hint="eastAsia" w:ascii="仿宋_GB2312" w:hAnsi="仿宋" w:eastAsia="仿宋_GB2312"/>
          <w:sz w:val="32"/>
          <w:szCs w:val="32"/>
          <w:highlight w:val="none"/>
        </w:rPr>
        <w:t>有权指定具体运输处理时间，并提前三天</w:t>
      </w:r>
      <w:r>
        <w:rPr>
          <w:rFonts w:hint="eastAsia" w:ascii="仿宋_GB2312" w:hAnsi="仿宋" w:eastAsia="仿宋_GB2312"/>
          <w:sz w:val="32"/>
          <w:szCs w:val="32"/>
          <w:highlight w:val="none"/>
          <w:lang w:val="en-US" w:eastAsia="zh-CN"/>
        </w:rPr>
        <w:t>及</w:t>
      </w:r>
      <w:r>
        <w:rPr>
          <w:rFonts w:hint="eastAsia" w:ascii="仿宋_GB2312" w:hAnsi="仿宋" w:eastAsia="仿宋_GB2312"/>
          <w:sz w:val="32"/>
          <w:szCs w:val="32"/>
          <w:highlight w:val="none"/>
        </w:rPr>
        <w:t>以上通知乙方。乙方在接到</w:t>
      </w:r>
      <w:r>
        <w:rPr>
          <w:rFonts w:hint="eastAsia" w:ascii="仿宋_GB2312" w:hAnsi="仿宋" w:eastAsia="仿宋_GB2312"/>
          <w:sz w:val="32"/>
          <w:szCs w:val="32"/>
          <w:highlight w:val="none"/>
          <w:lang w:val="en-US" w:eastAsia="zh-CN"/>
        </w:rPr>
        <w:t>我</w:t>
      </w:r>
      <w:r>
        <w:rPr>
          <w:rFonts w:hint="eastAsia" w:ascii="仿宋_GB2312" w:hAnsi="仿宋" w:eastAsia="仿宋_GB2312"/>
          <w:sz w:val="32"/>
          <w:szCs w:val="32"/>
          <w:highlight w:val="none"/>
        </w:rPr>
        <w:t>方通知后3日内必须按</w:t>
      </w:r>
      <w:r>
        <w:rPr>
          <w:rFonts w:hint="eastAsia" w:ascii="仿宋_GB2312" w:hAnsi="仿宋" w:eastAsia="仿宋_GB2312"/>
          <w:sz w:val="32"/>
          <w:szCs w:val="32"/>
          <w:highlight w:val="none"/>
          <w:lang w:val="en-US" w:eastAsia="zh-CN"/>
        </w:rPr>
        <w:t>我</w:t>
      </w:r>
      <w:r>
        <w:rPr>
          <w:rFonts w:hint="eastAsia" w:ascii="仿宋_GB2312" w:hAnsi="仿宋" w:eastAsia="仿宋_GB2312"/>
          <w:sz w:val="32"/>
          <w:szCs w:val="32"/>
          <w:highlight w:val="none"/>
        </w:rPr>
        <w:t>方指定的处理时间派遣运输车辆至</w:t>
      </w:r>
      <w:r>
        <w:rPr>
          <w:rFonts w:hint="eastAsia" w:ascii="仿宋_GB2312" w:hAnsi="仿宋" w:eastAsia="仿宋_GB2312"/>
          <w:sz w:val="32"/>
          <w:szCs w:val="32"/>
          <w:highlight w:val="none"/>
          <w:lang w:val="en-US" w:eastAsia="zh-CN"/>
        </w:rPr>
        <w:t>我</w:t>
      </w:r>
      <w:r>
        <w:rPr>
          <w:rFonts w:hint="eastAsia" w:ascii="仿宋_GB2312" w:hAnsi="仿宋" w:eastAsia="仿宋_GB2312"/>
          <w:sz w:val="32"/>
          <w:szCs w:val="32"/>
          <w:highlight w:val="none"/>
        </w:rPr>
        <w:t>方所在地转移危险废物。</w:t>
      </w:r>
    </w:p>
    <w:p w14:paraId="12D52336">
      <w:pPr>
        <w:ind w:firstLine="640" w:firstLineChars="200"/>
        <w:rPr>
          <w:rFonts w:hint="eastAsia" w:ascii="仿宋_GB2312" w:hAnsi="仿宋" w:eastAsia="仿宋_GB2312"/>
          <w:sz w:val="32"/>
          <w:szCs w:val="32"/>
          <w:highlight w:val="none"/>
        </w:rPr>
      </w:pPr>
      <w:r>
        <w:rPr>
          <w:rFonts w:hint="eastAsia" w:ascii="仿宋_GB2312" w:hAnsi="仿宋" w:eastAsia="仿宋_GB2312"/>
          <w:sz w:val="32"/>
          <w:szCs w:val="32"/>
          <w:highlight w:val="none"/>
          <w:lang w:eastAsia="zh-CN"/>
        </w:rPr>
        <w:t>（</w:t>
      </w:r>
      <w:r>
        <w:rPr>
          <w:rFonts w:hint="eastAsia" w:ascii="仿宋_GB2312" w:hAnsi="仿宋" w:eastAsia="仿宋_GB2312"/>
          <w:sz w:val="32"/>
          <w:szCs w:val="32"/>
          <w:highlight w:val="none"/>
          <w:lang w:val="en-US" w:eastAsia="zh-CN"/>
        </w:rPr>
        <w:t>2</w:t>
      </w:r>
      <w:r>
        <w:rPr>
          <w:rFonts w:hint="eastAsia" w:ascii="仿宋_GB2312" w:hAnsi="仿宋" w:eastAsia="仿宋_GB2312"/>
          <w:sz w:val="32"/>
          <w:szCs w:val="32"/>
          <w:highlight w:val="none"/>
          <w:lang w:eastAsia="zh-CN"/>
        </w:rPr>
        <w:t>）</w:t>
      </w:r>
      <w:r>
        <w:rPr>
          <w:rFonts w:hint="eastAsia" w:ascii="仿宋_GB2312" w:hAnsi="仿宋" w:eastAsia="仿宋_GB2312"/>
          <w:sz w:val="32"/>
          <w:szCs w:val="32"/>
          <w:highlight w:val="none"/>
        </w:rPr>
        <w:t>不得以任何理由拒绝、拖延转移处置合同约定范围内的各类危险废物。</w:t>
      </w:r>
    </w:p>
    <w:p w14:paraId="7C6522AB">
      <w:pPr>
        <w:pStyle w:val="14"/>
        <w:spacing w:line="360" w:lineRule="auto"/>
        <w:ind w:left="801" w:leftChars="229" w:hanging="320" w:hangingChars="100"/>
        <w:rPr>
          <w:rFonts w:hint="eastAsia" w:ascii="楷体_GB2312" w:hAnsi="楷体" w:eastAsia="楷体_GB2312" w:cs="Times New Roman"/>
          <w:kern w:val="2"/>
          <w:sz w:val="32"/>
          <w:szCs w:val="32"/>
          <w:highlight w:val="none"/>
          <w:lang w:val="en-US" w:eastAsia="zh-CN" w:bidi="ar-SA"/>
        </w:rPr>
      </w:pPr>
      <w:r>
        <w:rPr>
          <w:rFonts w:hint="eastAsia" w:ascii="楷体_GB2312" w:hAnsi="楷体" w:eastAsia="楷体_GB2312" w:cs="Times New Roman"/>
          <w:kern w:val="2"/>
          <w:sz w:val="32"/>
          <w:szCs w:val="32"/>
          <w:highlight w:val="none"/>
          <w:lang w:val="en-US" w:eastAsia="zh-CN" w:bidi="ar-SA"/>
        </w:rPr>
        <w:t>（五）处理处置要求</w:t>
      </w:r>
    </w:p>
    <w:p w14:paraId="31D87A1B">
      <w:pPr>
        <w:pStyle w:val="14"/>
        <w:spacing w:line="360" w:lineRule="auto"/>
        <w:ind w:firstLine="640" w:firstLineChars="200"/>
        <w:jc w:val="left"/>
        <w:rPr>
          <w:rFonts w:hint="default" w:ascii="仿宋_GB2312" w:hAnsi="仿宋" w:eastAsia="仿宋_GB2312" w:cs="Times New Roman"/>
          <w:kern w:val="2"/>
          <w:sz w:val="32"/>
          <w:szCs w:val="32"/>
          <w:highlight w:val="none"/>
          <w:lang w:val="en-US" w:eastAsia="zh-CN" w:bidi="ar-SA"/>
        </w:rPr>
      </w:pPr>
      <w:r>
        <w:rPr>
          <w:rFonts w:hint="eastAsia" w:ascii="仿宋_GB2312" w:hAnsi="仿宋" w:eastAsia="仿宋_GB2312" w:cs="Times New Roman"/>
          <w:kern w:val="2"/>
          <w:sz w:val="32"/>
          <w:szCs w:val="32"/>
          <w:highlight w:val="none"/>
          <w:lang w:val="en-US" w:eastAsia="zh-CN" w:bidi="ar-SA"/>
        </w:rPr>
        <w:t>供应商</w:t>
      </w:r>
      <w:r>
        <w:rPr>
          <w:rFonts w:hint="default" w:ascii="仿宋_GB2312" w:hAnsi="仿宋" w:eastAsia="仿宋_GB2312" w:cs="Times New Roman"/>
          <w:kern w:val="2"/>
          <w:sz w:val="32"/>
          <w:szCs w:val="32"/>
          <w:highlight w:val="none"/>
          <w:lang w:val="en-US" w:eastAsia="zh-CN" w:bidi="ar-SA"/>
        </w:rPr>
        <w:t>必须按国家相关规定要求处理/处置</w:t>
      </w:r>
      <w:r>
        <w:rPr>
          <w:rFonts w:hint="eastAsia" w:ascii="仿宋_GB2312" w:hAnsi="仿宋" w:eastAsia="仿宋_GB2312" w:cs="Times New Roman"/>
          <w:kern w:val="2"/>
          <w:sz w:val="32"/>
          <w:szCs w:val="32"/>
          <w:highlight w:val="none"/>
          <w:lang w:val="en-US" w:eastAsia="zh-CN" w:bidi="ar-SA"/>
        </w:rPr>
        <w:t>公司</w:t>
      </w:r>
      <w:r>
        <w:rPr>
          <w:rFonts w:hint="default" w:ascii="仿宋_GB2312" w:hAnsi="仿宋" w:eastAsia="仿宋_GB2312" w:cs="Times New Roman"/>
          <w:kern w:val="2"/>
          <w:sz w:val="32"/>
          <w:szCs w:val="32"/>
          <w:highlight w:val="none"/>
          <w:lang w:val="en-US" w:eastAsia="zh-CN" w:bidi="ar-SA"/>
        </w:rPr>
        <w:t>委托的危险废物，</w:t>
      </w:r>
      <w:r>
        <w:rPr>
          <w:rFonts w:hint="eastAsia" w:ascii="仿宋_GB2312" w:hAnsi="仿宋" w:eastAsia="仿宋_GB2312" w:cs="Times New Roman"/>
          <w:kern w:val="2"/>
          <w:sz w:val="32"/>
          <w:szCs w:val="32"/>
          <w:highlight w:val="none"/>
          <w:lang w:val="en-US" w:eastAsia="zh-CN" w:bidi="ar-SA"/>
        </w:rPr>
        <w:t>处置过程尽可能资源化利用危险废物。</w:t>
      </w:r>
    </w:p>
    <w:p w14:paraId="53FD8A44">
      <w:pPr>
        <w:pStyle w:val="14"/>
        <w:spacing w:line="360" w:lineRule="auto"/>
        <w:ind w:firstLine="640" w:firstLineChars="200"/>
        <w:jc w:val="left"/>
        <w:rPr>
          <w:rFonts w:hint="default" w:ascii="仿宋_GB2312" w:hAnsi="仿宋" w:eastAsia="仿宋_GB2312" w:cs="Times New Roman"/>
          <w:kern w:val="2"/>
          <w:sz w:val="32"/>
          <w:szCs w:val="32"/>
          <w:highlight w:val="none"/>
          <w:lang w:val="en-US" w:eastAsia="zh-CN" w:bidi="ar-SA"/>
        </w:rPr>
      </w:pPr>
      <w:r>
        <w:rPr>
          <w:rFonts w:hint="eastAsia" w:ascii="仿宋_GB2312" w:hAnsi="仿宋" w:eastAsia="仿宋_GB2312" w:cs="Times New Roman"/>
          <w:kern w:val="2"/>
          <w:sz w:val="32"/>
          <w:szCs w:val="32"/>
          <w:highlight w:val="none"/>
          <w:lang w:val="en-US" w:eastAsia="zh-CN" w:bidi="ar-SA"/>
        </w:rPr>
        <w:t>危险废物处置工艺优先考虑资源化利用、协同处置等方式，不得采用填埋处置方式。</w:t>
      </w:r>
    </w:p>
    <w:p w14:paraId="3A219054">
      <w:pPr>
        <w:pStyle w:val="14"/>
        <w:spacing w:line="360" w:lineRule="auto"/>
        <w:ind w:left="801" w:leftChars="229" w:hanging="320" w:hangingChars="100"/>
        <w:rPr>
          <w:rFonts w:hint="eastAsia" w:ascii="楷体_GB2312" w:hAnsi="楷体" w:eastAsia="楷体_GB2312" w:cs="Times New Roman"/>
          <w:kern w:val="2"/>
          <w:sz w:val="32"/>
          <w:szCs w:val="32"/>
          <w:highlight w:val="none"/>
          <w:lang w:val="en-US" w:eastAsia="zh-CN" w:bidi="ar-SA"/>
        </w:rPr>
      </w:pPr>
      <w:r>
        <w:rPr>
          <w:rFonts w:hint="eastAsia" w:ascii="楷体_GB2312" w:hAnsi="楷体" w:eastAsia="楷体_GB2312" w:cs="Times New Roman"/>
          <w:kern w:val="2"/>
          <w:sz w:val="32"/>
          <w:szCs w:val="32"/>
          <w:highlight w:val="none"/>
          <w:lang w:val="en-US" w:eastAsia="zh-CN" w:bidi="ar-SA"/>
        </w:rPr>
        <w:t>（六）综合服务</w:t>
      </w:r>
    </w:p>
    <w:p w14:paraId="663357D9">
      <w:pPr>
        <w:pStyle w:val="14"/>
        <w:spacing w:line="360" w:lineRule="auto"/>
        <w:ind w:firstLine="640" w:firstLineChars="200"/>
        <w:rPr>
          <w:rFonts w:hint="eastAsia" w:ascii="仿宋_GB2312" w:hAnsi="仿宋" w:eastAsia="仿宋_GB2312" w:cs="Times New Roman"/>
          <w:kern w:val="2"/>
          <w:sz w:val="32"/>
          <w:szCs w:val="32"/>
          <w:highlight w:val="none"/>
          <w:lang w:val="en-US" w:eastAsia="zh-CN" w:bidi="ar-SA"/>
        </w:rPr>
      </w:pPr>
      <w:r>
        <w:rPr>
          <w:rFonts w:hint="eastAsia" w:ascii="仿宋_GB2312" w:hAnsi="仿宋" w:eastAsia="仿宋_GB2312" w:cs="Times New Roman"/>
          <w:kern w:val="2"/>
          <w:sz w:val="32"/>
          <w:szCs w:val="32"/>
          <w:highlight w:val="none"/>
          <w:lang w:val="en-US" w:eastAsia="zh-CN" w:bidi="ar-SA"/>
        </w:rPr>
        <w:t>（1）供应商应协助招标人办理危险废物处置相关环保手续。</w:t>
      </w:r>
    </w:p>
    <w:p w14:paraId="74A0EAE9">
      <w:pPr>
        <w:pStyle w:val="14"/>
        <w:spacing w:line="360" w:lineRule="auto"/>
        <w:ind w:firstLine="640" w:firstLineChars="200"/>
        <w:rPr>
          <w:rFonts w:hint="eastAsia" w:ascii="仿宋_GB2312" w:hAnsi="仿宋" w:eastAsia="仿宋_GB2312" w:cs="Times New Roman"/>
          <w:kern w:val="2"/>
          <w:sz w:val="32"/>
          <w:szCs w:val="32"/>
          <w:highlight w:val="none"/>
          <w:lang w:val="en-US" w:eastAsia="zh-CN" w:bidi="ar-SA"/>
        </w:rPr>
      </w:pPr>
      <w:r>
        <w:rPr>
          <w:rFonts w:hint="eastAsia" w:ascii="仿宋_GB2312" w:hAnsi="仿宋" w:eastAsia="仿宋_GB2312" w:cs="Times New Roman"/>
          <w:kern w:val="2"/>
          <w:sz w:val="32"/>
          <w:szCs w:val="32"/>
          <w:highlight w:val="none"/>
          <w:lang w:val="en-US" w:eastAsia="zh-CN" w:bidi="ar-SA"/>
        </w:rPr>
        <w:t>（2）供应商不得以产生量小、起运重量不够等任何理由拒绝、拖延转移招标人产生的危险废物。</w:t>
      </w:r>
    </w:p>
    <w:p w14:paraId="71858037">
      <w:pPr>
        <w:pStyle w:val="14"/>
        <w:spacing w:line="360" w:lineRule="auto"/>
        <w:ind w:firstLine="640" w:firstLineChars="200"/>
        <w:rPr>
          <w:rFonts w:hint="eastAsia" w:ascii="仿宋_GB2312" w:hAnsi="仿宋" w:eastAsia="仿宋_GB2312" w:cs="Times New Roman"/>
          <w:kern w:val="2"/>
          <w:sz w:val="32"/>
          <w:szCs w:val="32"/>
          <w:highlight w:val="none"/>
          <w:lang w:val="en-US" w:eastAsia="zh-CN" w:bidi="ar-SA"/>
        </w:rPr>
      </w:pPr>
      <w:r>
        <w:rPr>
          <w:rFonts w:hint="eastAsia" w:ascii="仿宋_GB2312" w:hAnsi="仿宋" w:eastAsia="仿宋_GB2312" w:cs="Times New Roman"/>
          <w:kern w:val="2"/>
          <w:sz w:val="32"/>
          <w:szCs w:val="32"/>
          <w:highlight w:val="none"/>
          <w:lang w:val="en-US" w:eastAsia="zh-CN" w:bidi="ar-SA"/>
        </w:rPr>
        <w:t>（3）本项目供应商合同履约保证金5000元（人民币伍仟元），根据合同或协议针对拉运处置投诉问题进行经济考核。</w:t>
      </w:r>
    </w:p>
    <w:p w14:paraId="3247FCDB">
      <w:pPr>
        <w:pStyle w:val="14"/>
        <w:spacing w:line="360" w:lineRule="auto"/>
        <w:rPr>
          <w:rFonts w:hint="eastAsia" w:ascii="黑体" w:hAnsi="黑体" w:eastAsia="黑体" w:cs="Times New Roman"/>
          <w:kern w:val="2"/>
          <w:sz w:val="32"/>
          <w:szCs w:val="32"/>
          <w:highlight w:val="none"/>
          <w:lang w:val="en-US" w:eastAsia="zh-CN" w:bidi="ar-SA"/>
        </w:rPr>
      </w:pPr>
      <w:r>
        <w:rPr>
          <w:rFonts w:hint="eastAsia" w:ascii="黑体" w:hAnsi="黑体" w:eastAsia="黑体" w:cs="Times New Roman"/>
          <w:kern w:val="2"/>
          <w:sz w:val="32"/>
          <w:szCs w:val="32"/>
          <w:highlight w:val="none"/>
          <w:lang w:val="en-US" w:eastAsia="zh-CN" w:bidi="ar-SA"/>
        </w:rPr>
        <w:t>四、其他</w:t>
      </w:r>
    </w:p>
    <w:p w14:paraId="6C4BB5BB">
      <w:pPr>
        <w:pStyle w:val="14"/>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hAnsi="仿宋" w:eastAsia="仿宋_GB2312" w:cs="Times New Roman"/>
          <w:kern w:val="2"/>
          <w:sz w:val="32"/>
          <w:szCs w:val="32"/>
          <w:highlight w:val="none"/>
          <w:lang w:val="en-US" w:eastAsia="zh-CN" w:bidi="ar-SA"/>
        </w:rPr>
      </w:pPr>
      <w:r>
        <w:rPr>
          <w:rFonts w:hint="eastAsia" w:ascii="仿宋_GB2312" w:hAnsi="仿宋" w:eastAsia="仿宋_GB2312" w:cs="Times New Roman"/>
          <w:kern w:val="2"/>
          <w:sz w:val="32"/>
          <w:szCs w:val="32"/>
          <w:highlight w:val="none"/>
          <w:lang w:val="en-US" w:eastAsia="zh-CN" w:bidi="ar-SA"/>
        </w:rPr>
        <w:t>1、危险废物包装、运输、装卸、检验、暂存、处置及相关服务等，最终以合同约定为准。</w:t>
      </w:r>
    </w:p>
    <w:p w14:paraId="769D4444">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jc w:val="left"/>
        <w:textAlignment w:val="auto"/>
        <w:rPr>
          <w:rFonts w:hint="eastAsia" w:ascii="仿宋_GB2312" w:hAnsi="仿宋" w:eastAsia="仿宋_GB2312" w:cs="Times New Roman"/>
          <w:kern w:val="2"/>
          <w:sz w:val="32"/>
          <w:szCs w:val="32"/>
          <w:highlight w:val="none"/>
          <w:lang w:val="en-US" w:eastAsia="zh-CN" w:bidi="ar-SA"/>
        </w:rPr>
      </w:pPr>
      <w:r>
        <w:rPr>
          <w:rFonts w:hint="eastAsia" w:ascii="仿宋_GB2312" w:hAnsi="仿宋" w:eastAsia="仿宋_GB2312" w:cs="Times New Roman"/>
          <w:kern w:val="2"/>
          <w:sz w:val="32"/>
          <w:szCs w:val="32"/>
          <w:highlight w:val="none"/>
          <w:lang w:val="en-US" w:eastAsia="zh-CN" w:bidi="ar-SA"/>
        </w:rPr>
        <w:t>2、按重量计价，以招标人磅称称重重量为准。</w:t>
      </w:r>
    </w:p>
    <w:p w14:paraId="0E6D24F6">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jc w:val="left"/>
        <w:textAlignment w:val="auto"/>
        <w:rPr>
          <w:rFonts w:hint="eastAsia" w:ascii="仿宋_GB2312" w:hAnsi="仿宋" w:eastAsia="仿宋_GB2312" w:cs="Times New Roman"/>
          <w:kern w:val="2"/>
          <w:sz w:val="32"/>
          <w:szCs w:val="32"/>
          <w:highlight w:val="none"/>
          <w:lang w:val="en-US" w:eastAsia="zh-CN" w:bidi="ar-SA"/>
        </w:rPr>
      </w:pPr>
      <w:r>
        <w:rPr>
          <w:rFonts w:hint="eastAsia" w:ascii="仿宋_GB2312" w:hAnsi="仿宋" w:eastAsia="仿宋_GB2312" w:cs="Times New Roman"/>
          <w:kern w:val="2"/>
          <w:sz w:val="32"/>
          <w:szCs w:val="32"/>
          <w:highlight w:val="none"/>
          <w:lang w:val="en-US" w:eastAsia="zh-CN" w:bidi="ar-SA"/>
        </w:rPr>
        <w:t>3、因供应商原因未能及时完成项目的，或因乙方其他原因造成损失的，应赔偿由此给我司造成的损失。</w:t>
      </w:r>
    </w:p>
    <w:p w14:paraId="55E54AC2">
      <w:r>
        <w:rPr>
          <w:b/>
          <w:bCs/>
        </w:rPr>
        <w:br w:type="page"/>
      </w:r>
    </w:p>
    <w:p w14:paraId="5871DF53">
      <w:pPr>
        <w:pStyle w:val="71"/>
      </w:pPr>
      <w:bookmarkStart w:id="23" w:name="_Toc20595"/>
      <w:bookmarkStart w:id="24" w:name="_Toc47976609"/>
      <w:r>
        <w:rPr>
          <w:rFonts w:hint="eastAsia"/>
        </w:rPr>
        <w:t>第三部分　合同主要条款</w:t>
      </w:r>
      <w:bookmarkEnd w:id="23"/>
      <w:bookmarkEnd w:id="24"/>
    </w:p>
    <w:p w14:paraId="23914DBE">
      <w:pPr>
        <w:pStyle w:val="72"/>
        <w:numPr>
          <w:ilvl w:val="0"/>
          <w:numId w:val="30"/>
        </w:numPr>
        <w:ind w:left="420"/>
      </w:pPr>
      <w:bookmarkStart w:id="25" w:name="_Toc47976610"/>
      <w:r>
        <w:rPr>
          <w:rFonts w:hint="eastAsia"/>
          <w:lang w:val="en-US" w:eastAsia="zh-CN"/>
        </w:rPr>
        <w:t>标的、数量、</w:t>
      </w:r>
      <w:r>
        <w:rPr>
          <w:rFonts w:hint="eastAsia"/>
        </w:rPr>
        <w:t>交货期</w:t>
      </w:r>
      <w:bookmarkEnd w:id="25"/>
    </w:p>
    <w:p w14:paraId="18603CA8">
      <w:pPr>
        <w:pStyle w:val="72"/>
      </w:pPr>
      <w:bookmarkStart w:id="26" w:name="_Toc47976611"/>
      <w:r>
        <w:rPr>
          <w:rFonts w:hint="eastAsia"/>
        </w:rPr>
        <w:t>交货地点</w:t>
      </w:r>
      <w:bookmarkEnd w:id="26"/>
    </w:p>
    <w:p w14:paraId="3F03A936">
      <w:pPr>
        <w:pStyle w:val="72"/>
      </w:pPr>
      <w:bookmarkStart w:id="27" w:name="_Toc47976612"/>
      <w:r>
        <w:rPr>
          <w:rFonts w:hint="eastAsia"/>
          <w:lang w:val="en-US" w:eastAsia="zh-CN"/>
        </w:rPr>
        <w:t>价款及</w:t>
      </w:r>
      <w:r>
        <w:rPr>
          <w:rFonts w:hint="eastAsia"/>
        </w:rPr>
        <w:t>付款方式</w:t>
      </w:r>
      <w:bookmarkEnd w:id="27"/>
    </w:p>
    <w:p w14:paraId="0A7F4E98">
      <w:pPr>
        <w:pStyle w:val="72"/>
      </w:pPr>
      <w:bookmarkStart w:id="28" w:name="_Toc47976613"/>
      <w:r>
        <w:rPr>
          <w:rFonts w:hint="eastAsia"/>
          <w:lang w:val="en-US" w:eastAsia="zh-CN"/>
        </w:rPr>
        <w:t>质量要求、</w:t>
      </w:r>
      <w:r>
        <w:rPr>
          <w:rFonts w:hint="eastAsia"/>
        </w:rPr>
        <w:t>保修期及售后服务</w:t>
      </w:r>
      <w:bookmarkEnd w:id="28"/>
    </w:p>
    <w:p w14:paraId="50F6C5C1">
      <w:pPr>
        <w:pStyle w:val="72"/>
      </w:pPr>
      <w:bookmarkStart w:id="29" w:name="_Toc47976614"/>
      <w:r>
        <w:rPr>
          <w:rFonts w:hint="eastAsia"/>
        </w:rPr>
        <w:t>安装、调试及验收要求</w:t>
      </w:r>
      <w:bookmarkEnd w:id="29"/>
    </w:p>
    <w:p w14:paraId="7FDA440C">
      <w:pPr>
        <w:pStyle w:val="72"/>
      </w:pPr>
      <w:r>
        <w:rPr>
          <w:rFonts w:hint="eastAsia"/>
          <w:lang w:val="en-US" w:eastAsia="zh-CN"/>
        </w:rPr>
        <w:t>违约责任</w:t>
      </w:r>
    </w:p>
    <w:p w14:paraId="7B4D50AD">
      <w:pPr>
        <w:pStyle w:val="72"/>
      </w:pPr>
      <w:r>
        <w:rPr>
          <w:rFonts w:hint="eastAsia"/>
          <w:lang w:val="en-US" w:eastAsia="zh-CN"/>
        </w:rPr>
        <w:t>争议解决方式</w:t>
      </w:r>
    </w:p>
    <w:p w14:paraId="260D6138">
      <w:pPr>
        <w:pStyle w:val="76"/>
      </w:pPr>
    </w:p>
    <w:p w14:paraId="6A576E98">
      <w:pPr>
        <w:pStyle w:val="76"/>
      </w:pPr>
    </w:p>
    <w:p w14:paraId="373AA179">
      <w:pPr>
        <w:pStyle w:val="76"/>
      </w:pPr>
    </w:p>
    <w:p w14:paraId="150257F3">
      <w:pPr>
        <w:pStyle w:val="76"/>
      </w:pPr>
    </w:p>
    <w:p w14:paraId="40953605">
      <w:pPr>
        <w:pStyle w:val="76"/>
      </w:pPr>
    </w:p>
    <w:p w14:paraId="7DF7CDCE">
      <w:pPr>
        <w:pStyle w:val="76"/>
      </w:pPr>
    </w:p>
    <w:p w14:paraId="2CD5A204">
      <w:pPr>
        <w:pStyle w:val="76"/>
      </w:pPr>
    </w:p>
    <w:p w14:paraId="3AECA4B5">
      <w:pPr>
        <w:pStyle w:val="76"/>
      </w:pPr>
    </w:p>
    <w:p w14:paraId="4AD354C0">
      <w:pPr>
        <w:pStyle w:val="76"/>
      </w:pPr>
    </w:p>
    <w:p w14:paraId="27E760CE">
      <w:pPr>
        <w:pStyle w:val="76"/>
      </w:pPr>
    </w:p>
    <w:p w14:paraId="09615663">
      <w:pPr>
        <w:pStyle w:val="76"/>
      </w:pPr>
    </w:p>
    <w:p w14:paraId="050FA5A8">
      <w:pPr>
        <w:pStyle w:val="76"/>
      </w:pPr>
    </w:p>
    <w:p w14:paraId="0370F036">
      <w:pPr>
        <w:pStyle w:val="76"/>
      </w:pPr>
    </w:p>
    <w:p w14:paraId="32A383C9">
      <w:pPr>
        <w:pStyle w:val="76"/>
      </w:pPr>
    </w:p>
    <w:p w14:paraId="1ED05CA3">
      <w:pPr>
        <w:pStyle w:val="76"/>
      </w:pPr>
    </w:p>
    <w:p w14:paraId="610F994C">
      <w:pPr>
        <w:pStyle w:val="76"/>
      </w:pPr>
    </w:p>
    <w:p w14:paraId="33192396">
      <w:pPr>
        <w:pStyle w:val="76"/>
      </w:pPr>
    </w:p>
    <w:p w14:paraId="4DC7C6C4">
      <w:pPr>
        <w:pStyle w:val="76"/>
      </w:pPr>
    </w:p>
    <w:p w14:paraId="79A7EC9B">
      <w:pPr>
        <w:pStyle w:val="76"/>
      </w:pPr>
    </w:p>
    <w:p w14:paraId="0EB8BBEB">
      <w:pPr>
        <w:pStyle w:val="71"/>
        <w:rPr>
          <w:rFonts w:hint="default" w:eastAsia="黑体"/>
          <w:lang w:val="en-US" w:eastAsia="zh-CN"/>
        </w:rPr>
      </w:pPr>
      <w:bookmarkStart w:id="30" w:name="_Toc47976615"/>
      <w:bookmarkStart w:id="31" w:name="_Toc5925"/>
      <w:r>
        <w:rPr>
          <w:rFonts w:hint="eastAsia"/>
        </w:rPr>
        <w:t>第四部分　</w:t>
      </w:r>
      <w:bookmarkEnd w:id="30"/>
      <w:r>
        <w:rPr>
          <w:rFonts w:hint="eastAsia"/>
          <w:lang w:val="en-US" w:eastAsia="zh-CN"/>
        </w:rPr>
        <w:t>投标文件附件</w:t>
      </w:r>
      <w:bookmarkEnd w:id="31"/>
    </w:p>
    <w:p w14:paraId="600DE1DD">
      <w:pPr>
        <w:pStyle w:val="71"/>
        <w:jc w:val="left"/>
        <w:rPr>
          <w:rFonts w:hint="eastAsia" w:ascii="宋体" w:hAnsi="宋体" w:eastAsia="宋体" w:cs="宋体"/>
          <w:sz w:val="32"/>
          <w:szCs w:val="32"/>
          <w:highlight w:val="yellow"/>
          <w:lang w:eastAsia="zh-CN"/>
        </w:rPr>
      </w:pPr>
      <w:bookmarkStart w:id="32" w:name="_Toc4225"/>
      <w:bookmarkStart w:id="33" w:name="_Toc47976616"/>
      <w:r>
        <w:rPr>
          <w:rFonts w:hint="eastAsia" w:ascii="宋体" w:hAnsi="宋体" w:eastAsia="宋体" w:cs="宋体"/>
          <w:sz w:val="32"/>
          <w:szCs w:val="32"/>
          <w:highlight w:val="yellow"/>
        </w:rPr>
        <w:t>附件</w:t>
      </w:r>
      <w:bookmarkEnd w:id="32"/>
      <w:bookmarkEnd w:id="33"/>
      <w:r>
        <w:rPr>
          <w:rFonts w:hint="eastAsia" w:ascii="宋体" w:hAnsi="宋体" w:eastAsia="宋体" w:cs="宋体"/>
          <w:sz w:val="32"/>
          <w:szCs w:val="32"/>
          <w:highlight w:val="yellow"/>
          <w:lang w:val="en-US" w:eastAsia="zh-CN"/>
        </w:rPr>
        <w:t>1</w:t>
      </w:r>
    </w:p>
    <w:p w14:paraId="3D26BC99">
      <w:pPr>
        <w:keepNext/>
        <w:keepLines/>
        <w:jc w:val="center"/>
        <w:outlineLvl w:val="2"/>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投标函</w:t>
      </w:r>
    </w:p>
    <w:p w14:paraId="0B39DB8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有限公司：</w:t>
      </w:r>
    </w:p>
    <w:p w14:paraId="7F916B1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份、副本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份；电子版投标文件一份。</w:t>
      </w:r>
    </w:p>
    <w:p w14:paraId="26D6294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71FBB53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535DAED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7A6FA39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w:t>
      </w:r>
      <w:r>
        <w:rPr>
          <w:rFonts w:hint="eastAsia" w:ascii="宋体" w:hAnsi="宋体" w:cs="Times New Roman"/>
          <w:bCs/>
          <w:color w:val="000000"/>
          <w:sz w:val="24"/>
          <w:szCs w:val="24"/>
          <w:u w:val="single"/>
          <w:lang w:val="en-US" w:eastAsia="zh-CN"/>
        </w:rPr>
        <w:t xml:space="preserve"> </w:t>
      </w:r>
      <w:r>
        <w:rPr>
          <w:rFonts w:hint="eastAsia" w:ascii="宋体" w:hAnsi="宋体" w:eastAsia="宋体" w:cs="Times New Roman"/>
          <w:color w:val="000000"/>
          <w:sz w:val="24"/>
          <w:szCs w:val="24"/>
        </w:rPr>
        <w:t>个日历日。</w:t>
      </w:r>
    </w:p>
    <w:p w14:paraId="459E3F15">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77545813">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4F02BADB">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3404A7C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24E63A1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40F28EC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1D482AF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43152E4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2F8C4A4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0446231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7045671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284F62A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50D9D845">
      <w:pPr>
        <w:rPr>
          <w:rFonts w:ascii="黑体" w:hAnsi="Calibri" w:eastAsia="黑体" w:cs="Times New Roman"/>
          <w:color w:val="000000"/>
          <w:sz w:val="24"/>
          <w:szCs w:val="24"/>
        </w:rPr>
      </w:pPr>
    </w:p>
    <w:p w14:paraId="32681108">
      <w:pPr>
        <w:jc w:val="both"/>
        <w:rPr>
          <w:rFonts w:ascii="宋体"/>
          <w:b/>
          <w:color w:val="000000"/>
          <w:szCs w:val="24"/>
        </w:rPr>
      </w:pPr>
    </w:p>
    <w:p w14:paraId="57006D89">
      <w:pPr>
        <w:pStyle w:val="72"/>
        <w:numPr>
          <w:ilvl w:val="0"/>
          <w:numId w:val="0"/>
        </w:numPr>
        <w:ind w:leftChars="0"/>
        <w:rPr>
          <w:rFonts w:hint="eastAsia" w:ascii="宋体" w:hAnsi="宋体" w:eastAsia="宋体" w:cs="宋体"/>
          <w:sz w:val="32"/>
          <w:szCs w:val="32"/>
          <w:highlight w:val="yellow"/>
          <w:lang w:val="en-US" w:eastAsia="zh-CN"/>
        </w:rPr>
      </w:pPr>
      <w:bookmarkStart w:id="34" w:name="_Toc47976618"/>
      <w:bookmarkStart w:id="35" w:name="_Toc29366869"/>
      <w:bookmarkStart w:id="36" w:name="_Toc29366865"/>
      <w:r>
        <w:rPr>
          <w:rFonts w:hint="eastAsia" w:ascii="宋体" w:hAnsi="宋体" w:eastAsia="宋体" w:cs="宋体"/>
          <w:sz w:val="32"/>
          <w:szCs w:val="32"/>
          <w:highlight w:val="yellow"/>
          <w:lang w:val="en-US" w:eastAsia="zh-CN"/>
        </w:rPr>
        <w:t>附件2</w:t>
      </w:r>
    </w:p>
    <w:bookmarkEnd w:id="34"/>
    <w:p w14:paraId="0179E87D">
      <w:pPr>
        <w:spacing w:line="360" w:lineRule="auto"/>
        <w:jc w:val="center"/>
        <w:rPr>
          <w:rFonts w:hint="eastAsia" w:ascii="宋体" w:hAnsi="宋体" w:eastAsia="宋体" w:cs="宋体"/>
          <w:color w:val="000000"/>
          <w:sz w:val="32"/>
          <w:szCs w:val="32"/>
        </w:rPr>
      </w:pPr>
      <w:r>
        <w:rPr>
          <w:rFonts w:hint="eastAsia" w:ascii="宋体" w:hAnsi="宋体" w:eastAsia="宋体" w:cs="宋体"/>
          <w:b/>
          <w:bCs/>
          <w:color w:val="000000"/>
          <w:sz w:val="32"/>
          <w:szCs w:val="32"/>
        </w:rPr>
        <w:t>法定代表人授权委托书</w:t>
      </w:r>
    </w:p>
    <w:p w14:paraId="19A97C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A0449F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37BFA8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B6DD3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F64A2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00F211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B47F7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B9DBB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52336F1">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B3FEAEC">
      <w:pPr>
        <w:spacing w:line="360" w:lineRule="auto"/>
        <w:ind w:firstLine="4800" w:firstLineChars="2000"/>
        <w:rPr>
          <w:rFonts w:ascii="宋体" w:hAnsi="宋体" w:cs="宋体"/>
          <w:sz w:val="24"/>
          <w:szCs w:val="21"/>
        </w:rPr>
      </w:pPr>
    </w:p>
    <w:p w14:paraId="42BBE3A2">
      <w:pPr>
        <w:spacing w:line="360" w:lineRule="auto"/>
        <w:ind w:firstLine="4800" w:firstLineChars="2000"/>
        <w:rPr>
          <w:rFonts w:ascii="宋体" w:hAnsi="宋体" w:cs="宋体"/>
          <w:sz w:val="24"/>
          <w:szCs w:val="21"/>
        </w:rPr>
      </w:pPr>
    </w:p>
    <w:p w14:paraId="3D18A567">
      <w:pPr>
        <w:spacing w:line="360" w:lineRule="auto"/>
        <w:ind w:firstLine="4800" w:firstLineChars="2000"/>
        <w:rPr>
          <w:rFonts w:ascii="宋体" w:hAnsi="宋体" w:cs="宋体"/>
          <w:sz w:val="24"/>
          <w:szCs w:val="21"/>
        </w:rPr>
      </w:pPr>
    </w:p>
    <w:p w14:paraId="758E3B4E">
      <w:pPr>
        <w:spacing w:line="360" w:lineRule="auto"/>
        <w:ind w:firstLine="4800" w:firstLineChars="2000"/>
        <w:rPr>
          <w:rFonts w:ascii="宋体" w:hAnsi="宋体" w:cs="宋体"/>
          <w:sz w:val="24"/>
          <w:szCs w:val="21"/>
        </w:rPr>
      </w:pPr>
    </w:p>
    <w:p w14:paraId="69663AF6">
      <w:pPr>
        <w:pStyle w:val="14"/>
      </w:pPr>
    </w:p>
    <w:p w14:paraId="3A5DEF51">
      <w:pPr>
        <w:spacing w:line="360" w:lineRule="auto"/>
        <w:rPr>
          <w:rFonts w:ascii="宋体" w:hAnsi="宋体" w:cs="宋体"/>
          <w:sz w:val="24"/>
          <w:szCs w:val="21"/>
        </w:rPr>
      </w:pPr>
    </w:p>
    <w:bookmarkEnd w:id="35"/>
    <w:bookmarkEnd w:id="36"/>
    <w:p w14:paraId="53E6B306">
      <w:pPr>
        <w:pStyle w:val="72"/>
        <w:numPr>
          <w:ilvl w:val="0"/>
          <w:numId w:val="0"/>
        </w:numPr>
        <w:ind w:leftChars="0"/>
        <w:rPr>
          <w:rFonts w:hint="eastAsia" w:ascii="宋体" w:hAnsi="宋体" w:eastAsia="宋体" w:cs="宋体"/>
          <w:sz w:val="32"/>
          <w:szCs w:val="32"/>
          <w:highlight w:val="yellow"/>
          <w:lang w:val="en-US" w:eastAsia="zh-CN"/>
        </w:rPr>
      </w:pPr>
      <w:r>
        <w:rPr>
          <w:rFonts w:hint="eastAsia" w:ascii="宋体" w:hAnsi="宋体" w:eastAsia="宋体" w:cs="宋体"/>
          <w:sz w:val="32"/>
          <w:szCs w:val="32"/>
          <w:highlight w:val="yellow"/>
          <w:lang w:val="en-US" w:eastAsia="zh-CN"/>
        </w:rPr>
        <w:t>附件3</w:t>
      </w:r>
    </w:p>
    <w:p w14:paraId="769BF465">
      <w:pPr>
        <w:pStyle w:val="72"/>
        <w:numPr>
          <w:ilvl w:val="0"/>
          <w:numId w:val="0"/>
        </w:numPr>
        <w:ind w:leftChars="0"/>
        <w:jc w:val="center"/>
        <w:rPr>
          <w:rFonts w:hint="eastAsia"/>
          <w:lang w:val="en-US" w:eastAsia="zh-CN"/>
        </w:rPr>
      </w:pPr>
      <w:r>
        <w:rPr>
          <w:rFonts w:hint="eastAsia"/>
          <w:lang w:val="en-US" w:eastAsia="zh-CN"/>
        </w:rPr>
        <w:t>开标一览表</w:t>
      </w:r>
    </w:p>
    <w:p w14:paraId="71C63D3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cs="Times New Roman"/>
          <w:color w:val="000000"/>
          <w:sz w:val="24"/>
          <w:szCs w:val="24"/>
          <w:u w:val="single"/>
          <w:lang w:val="en-US" w:eastAsia="zh-CN"/>
        </w:rPr>
        <w:t xml:space="preserve">                          </w:t>
      </w:r>
      <w:r>
        <w:rPr>
          <w:rFonts w:ascii="宋体" w:hAnsi="宋体" w:eastAsia="宋体" w:cs="Times New Roman"/>
          <w:color w:val="000000"/>
          <w:sz w:val="24"/>
          <w:szCs w:val="24"/>
        </w:rPr>
        <w:t xml:space="preserve">                                                        </w:t>
      </w:r>
    </w:p>
    <w:tbl>
      <w:tblPr>
        <w:tblStyle w:val="30"/>
        <w:tblW w:w="60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699"/>
      </w:tblGrid>
      <w:tr w14:paraId="07BA82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1B2BAAFF">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14:paraId="0CB9085E">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14:paraId="7FD1C6AE">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14:paraId="7E8CB28F">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699" w:type="dxa"/>
            <w:vAlign w:val="center"/>
          </w:tcPr>
          <w:p w14:paraId="0DA60CF4">
            <w:pPr>
              <w:jc w:val="center"/>
              <w:rPr>
                <w:rFonts w:hint="default" w:ascii="等线" w:hAnsi="等线" w:eastAsia="等线" w:cs="Times New Roman"/>
                <w:b/>
                <w:szCs w:val="20"/>
                <w:lang w:val="en-US"/>
              </w:rPr>
            </w:pPr>
            <w:r>
              <w:rPr>
                <w:rFonts w:hint="eastAsia" w:cs="Times New Roman"/>
                <w:b/>
                <w:szCs w:val="20"/>
                <w:lang w:val="en-US" w:eastAsia="zh-CN"/>
              </w:rPr>
              <w:t>商务条款是否偏离</w:t>
            </w:r>
          </w:p>
        </w:tc>
      </w:tr>
      <w:tr w14:paraId="035C9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6D0E9BE6">
            <w:pPr>
              <w:jc w:val="center"/>
              <w:rPr>
                <w:rFonts w:ascii="Times New Roman" w:hAnsi="Times New Roman" w:eastAsia="宋体" w:cs="Times New Roman"/>
                <w:b/>
                <w:szCs w:val="20"/>
              </w:rPr>
            </w:pPr>
          </w:p>
        </w:tc>
        <w:tc>
          <w:tcPr>
            <w:tcW w:w="1518" w:type="dxa"/>
            <w:vAlign w:val="center"/>
          </w:tcPr>
          <w:p w14:paraId="01DDB5C4">
            <w:pPr>
              <w:jc w:val="center"/>
              <w:rPr>
                <w:rFonts w:hint="eastAsia" w:ascii="Times New Roman" w:hAnsi="Times New Roman" w:eastAsia="宋体" w:cs="Times New Roman"/>
                <w:b/>
                <w:szCs w:val="20"/>
                <w:lang w:eastAsia="zh-CN"/>
              </w:rPr>
            </w:pPr>
          </w:p>
        </w:tc>
        <w:tc>
          <w:tcPr>
            <w:tcW w:w="848" w:type="dxa"/>
            <w:vAlign w:val="center"/>
          </w:tcPr>
          <w:p w14:paraId="5754ED5A">
            <w:pPr>
              <w:jc w:val="center"/>
              <w:rPr>
                <w:rFonts w:hint="eastAsia" w:ascii="Times New Roman" w:hAnsi="Times New Roman" w:eastAsia="宋体" w:cs="Times New Roman"/>
                <w:b/>
                <w:szCs w:val="20"/>
                <w:lang w:val="en-US" w:eastAsia="zh-CN"/>
              </w:rPr>
            </w:pPr>
          </w:p>
        </w:tc>
        <w:tc>
          <w:tcPr>
            <w:tcW w:w="2270" w:type="dxa"/>
            <w:vAlign w:val="center"/>
          </w:tcPr>
          <w:p w14:paraId="63A1C48D">
            <w:pPr>
              <w:jc w:val="left"/>
              <w:rPr>
                <w:rFonts w:hint="eastAsia" w:ascii="等线" w:hAnsi="等线" w:eastAsia="等线" w:cs="Times New Roman"/>
                <w:b/>
                <w:szCs w:val="20"/>
                <w:lang w:val="en-US" w:eastAsia="zh-CN"/>
              </w:rPr>
            </w:pPr>
            <w:r>
              <w:rPr>
                <w:rFonts w:hint="eastAsia" w:ascii="等线" w:hAnsi="等线" w:eastAsia="等线" w:cs="Times New Roman"/>
                <w:b/>
                <w:szCs w:val="20"/>
              </w:rPr>
              <w:t>不含税价</w:t>
            </w:r>
            <w:r>
              <w:rPr>
                <w:rFonts w:hint="eastAsia" w:ascii="等线" w:hAnsi="等线" w:eastAsia="等线" w:cs="Times New Roman"/>
                <w:b/>
                <w:szCs w:val="20"/>
                <w:lang w:eastAsia="zh-CN"/>
              </w:rPr>
              <w:t>：</w:t>
            </w:r>
          </w:p>
          <w:p w14:paraId="6C6D0F49">
            <w:pPr>
              <w:jc w:val="left"/>
              <w:rPr>
                <w:rFonts w:hint="default" w:ascii="等线" w:hAnsi="等线" w:eastAsia="等线" w:cs="Times New Roman"/>
                <w:b/>
                <w:szCs w:val="20"/>
                <w:lang w:val="en-US" w:eastAsia="zh-CN"/>
              </w:rPr>
            </w:pPr>
            <w:r>
              <w:rPr>
                <w:rFonts w:hint="eastAsia" w:ascii="等线" w:hAnsi="等线" w:eastAsia="等线" w:cs="Times New Roman"/>
                <w:b/>
                <w:szCs w:val="20"/>
              </w:rPr>
              <w:t>含税价格：</w:t>
            </w:r>
            <w:r>
              <w:rPr>
                <w:rFonts w:hint="eastAsia" w:ascii="等线" w:hAnsi="等线" w:eastAsia="等线" w:cs="Times New Roman"/>
                <w:b/>
                <w:szCs w:val="20"/>
                <w:u w:val="single"/>
                <w:lang w:val="en-US" w:eastAsia="zh-CN"/>
              </w:rPr>
              <w:t xml:space="preserve">    （大写：    ）</w:t>
            </w:r>
          </w:p>
          <w:p w14:paraId="34B462C2">
            <w:pPr>
              <w:jc w:val="left"/>
              <w:rPr>
                <w:rFonts w:ascii="Times New Roman" w:hAnsi="Times New Roman" w:eastAsia="宋体" w:cs="Times New Roman"/>
                <w:b/>
                <w:szCs w:val="20"/>
              </w:rPr>
            </w:pPr>
            <w:r>
              <w:rPr>
                <w:rFonts w:hint="eastAsia" w:ascii="等线" w:hAnsi="等线" w:eastAsia="等线" w:cs="Times New Roman"/>
                <w:b/>
                <w:szCs w:val="20"/>
              </w:rPr>
              <w:t>税率：</w:t>
            </w:r>
          </w:p>
        </w:tc>
        <w:tc>
          <w:tcPr>
            <w:tcW w:w="699" w:type="dxa"/>
            <w:vAlign w:val="center"/>
          </w:tcPr>
          <w:p w14:paraId="14D620AB">
            <w:pPr>
              <w:jc w:val="center"/>
              <w:rPr>
                <w:rFonts w:ascii="Times New Roman" w:hAnsi="Times New Roman" w:eastAsia="宋体" w:cs="Times New Roman"/>
                <w:b/>
                <w:szCs w:val="20"/>
              </w:rPr>
            </w:pPr>
          </w:p>
        </w:tc>
      </w:tr>
    </w:tbl>
    <w:p w14:paraId="2AC98F24">
      <w:pPr>
        <w:rPr>
          <w:rFonts w:ascii="宋体" w:hAnsi="Arial" w:eastAsia="宋体" w:cs="Times New Roman"/>
          <w:sz w:val="24"/>
          <w:szCs w:val="24"/>
        </w:rPr>
      </w:pPr>
    </w:p>
    <w:p w14:paraId="0B093042">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440943D3">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4A5EE63D">
      <w:pPr>
        <w:spacing w:line="300" w:lineRule="auto"/>
        <w:rPr>
          <w:rFonts w:ascii="宋体" w:hAnsi="宋体" w:eastAsia="宋体" w:cs="宋体"/>
          <w:b/>
          <w:szCs w:val="20"/>
        </w:rPr>
      </w:pPr>
      <w:r>
        <w:rPr>
          <w:rFonts w:hint="eastAsia" w:ascii="宋体" w:hAnsi="宋体" w:cs="宋体"/>
          <w:b/>
          <w:szCs w:val="20"/>
          <w:lang w:val="en-US" w:eastAsia="zh-CN"/>
        </w:rPr>
        <w:t>2</w:t>
      </w:r>
      <w:r>
        <w:rPr>
          <w:rFonts w:hint="eastAsia" w:ascii="宋体" w:hAnsi="宋体" w:eastAsia="宋体" w:cs="宋体"/>
          <w:b/>
          <w:szCs w:val="20"/>
        </w:rPr>
        <w:t>.需写明含税价、不含税价格、税率。</w:t>
      </w:r>
    </w:p>
    <w:p w14:paraId="7CA9A866">
      <w:pPr>
        <w:pStyle w:val="14"/>
        <w:rPr>
          <w:rFonts w:hint="eastAsia" w:hAnsi="宋体" w:eastAsia="宋体" w:cs="Times New Roman"/>
          <w:b/>
          <w:bCs/>
          <w:szCs w:val="21"/>
          <w:highlight w:val="yellow"/>
        </w:rPr>
      </w:pPr>
      <w:r>
        <w:rPr>
          <w:rFonts w:hint="eastAsia" w:hAnsi="宋体" w:cs="宋体"/>
          <w:b/>
          <w:szCs w:val="20"/>
          <w:highlight w:val="none"/>
          <w:lang w:val="en-US" w:eastAsia="zh-CN"/>
        </w:rPr>
        <w:t>3</w:t>
      </w:r>
      <w:r>
        <w:rPr>
          <w:rFonts w:hint="eastAsia" w:hAnsi="宋体" w:eastAsia="宋体" w:cs="宋体"/>
          <w:b/>
          <w:szCs w:val="20"/>
          <w:highlight w:val="none"/>
        </w:rPr>
        <w:t>.</w:t>
      </w:r>
      <w:r>
        <w:rPr>
          <w:rFonts w:hint="eastAsia" w:hAnsi="宋体" w:eastAsia="宋体" w:cs="Times New Roman"/>
          <w:b/>
          <w:bCs/>
          <w:szCs w:val="21"/>
          <w:highlight w:val="none"/>
        </w:rPr>
        <w:t>投标总价包括</w:t>
      </w:r>
      <w:r>
        <w:rPr>
          <w:rFonts w:hint="eastAsia" w:hAnsi="宋体" w:cs="Times New Roman"/>
          <w:b/>
          <w:bCs/>
          <w:szCs w:val="21"/>
          <w:highlight w:val="none"/>
          <w:u w:val="single"/>
          <w:lang w:val="en-US" w:eastAsia="zh-CN"/>
        </w:rPr>
        <w:t xml:space="preserve">                                             </w:t>
      </w:r>
      <w:r>
        <w:rPr>
          <w:rFonts w:hint="eastAsia" w:hAnsi="宋体" w:cs="Times New Roman"/>
          <w:b/>
          <w:bCs/>
          <w:szCs w:val="21"/>
          <w:highlight w:val="none"/>
          <w:u w:val="none"/>
          <w:lang w:val="en-US" w:eastAsia="zh-CN"/>
        </w:rPr>
        <w:t>全部费用</w:t>
      </w:r>
      <w:r>
        <w:rPr>
          <w:rFonts w:hint="eastAsia" w:hAnsi="宋体" w:eastAsia="宋体" w:cs="Times New Roman"/>
          <w:b/>
          <w:bCs/>
          <w:szCs w:val="21"/>
          <w:highlight w:val="none"/>
        </w:rPr>
        <w:t>。</w:t>
      </w:r>
    </w:p>
    <w:p w14:paraId="31061A95">
      <w:pPr>
        <w:pStyle w:val="14"/>
        <w:rPr>
          <w:rFonts w:hint="eastAsia" w:hAnsi="宋体" w:eastAsia="宋体" w:cs="Times New Roman"/>
          <w:b/>
          <w:bCs/>
          <w:szCs w:val="21"/>
          <w:highlight w:val="yellow"/>
        </w:rPr>
      </w:pPr>
    </w:p>
    <w:p w14:paraId="5A2F2EC2">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投标人：（盖章）</w:t>
      </w:r>
    </w:p>
    <w:p w14:paraId="3B316BD5">
      <w:pPr>
        <w:spacing w:line="660" w:lineRule="exact"/>
        <w:jc w:val="righ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5E5A5D5F">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0B2C361">
      <w:pPr>
        <w:pStyle w:val="72"/>
        <w:numPr>
          <w:ilvl w:val="0"/>
          <w:numId w:val="0"/>
        </w:numPr>
        <w:ind w:leftChars="0"/>
      </w:pPr>
      <w:r>
        <w:t xml:space="preserve"> </w:t>
      </w:r>
    </w:p>
    <w:p w14:paraId="36B9F02A">
      <w:pPr>
        <w:pStyle w:val="72"/>
        <w:numPr>
          <w:ilvl w:val="0"/>
          <w:numId w:val="0"/>
        </w:numPr>
        <w:ind w:leftChars="0"/>
      </w:pPr>
    </w:p>
    <w:p w14:paraId="6E7F97B7">
      <w:pPr>
        <w:pStyle w:val="72"/>
        <w:numPr>
          <w:ilvl w:val="0"/>
          <w:numId w:val="0"/>
        </w:numPr>
        <w:ind w:leftChars="0"/>
      </w:pPr>
    </w:p>
    <w:p w14:paraId="3F830A7C">
      <w:pPr>
        <w:pStyle w:val="72"/>
        <w:numPr>
          <w:ilvl w:val="0"/>
          <w:numId w:val="0"/>
        </w:numPr>
        <w:ind w:leftChars="0"/>
      </w:pPr>
    </w:p>
    <w:p w14:paraId="391DF144">
      <w:pPr>
        <w:pStyle w:val="72"/>
        <w:numPr>
          <w:ilvl w:val="0"/>
          <w:numId w:val="0"/>
        </w:numPr>
        <w:ind w:leftChars="0"/>
      </w:pPr>
    </w:p>
    <w:p w14:paraId="4E421771">
      <w:pPr>
        <w:pStyle w:val="72"/>
        <w:numPr>
          <w:ilvl w:val="0"/>
          <w:numId w:val="0"/>
        </w:numPr>
        <w:ind w:leftChars="0"/>
      </w:pPr>
    </w:p>
    <w:p w14:paraId="23E75332">
      <w:pPr>
        <w:rPr>
          <w:rFonts w:hint="default" w:hAnsi="宋体"/>
          <w:sz w:val="24"/>
          <w:lang w:val="en-US"/>
        </w:rPr>
      </w:pPr>
      <w:r>
        <w:rPr>
          <w:rFonts w:hint="default" w:hAnsi="宋体"/>
          <w:sz w:val="24"/>
          <w:lang w:val="en-US"/>
        </w:rPr>
        <w:br w:type="page"/>
      </w:r>
    </w:p>
    <w:p w14:paraId="3E479304">
      <w:pPr>
        <w:pStyle w:val="14"/>
        <w:outlineLvl w:val="2"/>
        <w:rPr>
          <w:rFonts w:hAnsi="宋体" w:eastAsia="宋体" w:cs="宋体"/>
          <w:b/>
          <w:bCs/>
          <w:color w:val="000000"/>
          <w:sz w:val="24"/>
          <w:szCs w:val="24"/>
        </w:rPr>
      </w:pPr>
      <w:r>
        <w:rPr>
          <w:rFonts w:hint="eastAsia" w:hAnsi="宋体" w:eastAsia="宋体" w:cs="宋体"/>
          <w:b/>
          <w:bCs/>
          <w:color w:val="000000"/>
          <w:sz w:val="24"/>
          <w:szCs w:val="24"/>
        </w:rPr>
        <w:t>SRM非生产供应商注册操作手册</w:t>
      </w:r>
    </w:p>
    <w:p w14:paraId="1343B1A6">
      <w:pPr>
        <w:pStyle w:val="14"/>
        <w:rPr>
          <w:rFonts w:eastAsia="宋体"/>
        </w:rPr>
      </w:pPr>
    </w:p>
    <w:p w14:paraId="22435412">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0BDC39DA">
      <w:pPr>
        <w:adjustRightInd w:val="0"/>
        <w:snapToGrid w:val="0"/>
        <w:spacing w:line="360" w:lineRule="auto"/>
        <w:jc w:val="left"/>
        <w:rPr>
          <w:rFonts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64BEEE4E">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74E61257">
      <w:pPr>
        <w:snapToGrid w:val="0"/>
        <w:spacing w:line="312" w:lineRule="auto"/>
      </w:pPr>
      <w:r>
        <w:drawing>
          <wp:inline distT="0" distB="0" distL="0" distR="0">
            <wp:extent cx="5760085" cy="29330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1"/>
                    <a:stretch>
                      <a:fillRect/>
                    </a:stretch>
                  </pic:blipFill>
                  <pic:spPr>
                    <a:xfrm>
                      <a:off x="0" y="0"/>
                      <a:ext cx="5760085" cy="2933377"/>
                    </a:xfrm>
                    <a:prstGeom prst="rect">
                      <a:avLst/>
                    </a:prstGeom>
                  </pic:spPr>
                </pic:pic>
              </a:graphicData>
            </a:graphic>
          </wp:inline>
        </w:drawing>
      </w:r>
    </w:p>
    <w:p w14:paraId="06ACD213">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491E4659">
      <w:pPr>
        <w:snapToGrid w:val="0"/>
        <w:spacing w:line="312" w:lineRule="auto"/>
      </w:pPr>
      <w:r>
        <w:drawing>
          <wp:inline distT="0" distB="0" distL="0" distR="0">
            <wp:extent cx="5760085" cy="2766695"/>
            <wp:effectExtent l="0" t="0" r="5715" b="19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12"/>
                    <a:stretch>
                      <a:fillRect/>
                    </a:stretch>
                  </pic:blipFill>
                  <pic:spPr>
                    <a:xfrm>
                      <a:off x="0" y="0"/>
                      <a:ext cx="5760085" cy="2766707"/>
                    </a:xfrm>
                    <a:prstGeom prst="rect">
                      <a:avLst/>
                    </a:prstGeom>
                  </pic:spPr>
                </pic:pic>
              </a:graphicData>
            </a:graphic>
          </wp:inline>
        </w:drawing>
      </w:r>
    </w:p>
    <w:p w14:paraId="4AD24A2F">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0BDAD0A9">
      <w:pPr>
        <w:snapToGrid w:val="0"/>
        <w:spacing w:line="312" w:lineRule="auto"/>
      </w:pPr>
      <w:r>
        <w:drawing>
          <wp:inline distT="0" distB="0" distL="0" distR="0">
            <wp:extent cx="5760085" cy="2869565"/>
            <wp:effectExtent l="0" t="0" r="5715" b="63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13"/>
                    <a:stretch>
                      <a:fillRect/>
                    </a:stretch>
                  </pic:blipFill>
                  <pic:spPr>
                    <a:xfrm>
                      <a:off x="0" y="0"/>
                      <a:ext cx="5760085" cy="2870054"/>
                    </a:xfrm>
                    <a:prstGeom prst="rect">
                      <a:avLst/>
                    </a:prstGeom>
                  </pic:spPr>
                </pic:pic>
              </a:graphicData>
            </a:graphic>
          </wp:inline>
        </w:drawing>
      </w:r>
    </w:p>
    <w:p w14:paraId="3710DB5A">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225455D7">
      <w:pPr>
        <w:snapToGrid w:val="0"/>
        <w:spacing w:line="312" w:lineRule="auto"/>
      </w:pPr>
      <w: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4"/>
                    <a:stretch>
                      <a:fillRect/>
                    </a:stretch>
                  </pic:blipFill>
                  <pic:spPr>
                    <a:xfrm>
                      <a:off x="0" y="0"/>
                      <a:ext cx="5760085" cy="2853375"/>
                    </a:xfrm>
                    <a:prstGeom prst="rect">
                      <a:avLst/>
                    </a:prstGeom>
                  </pic:spPr>
                </pic:pic>
              </a:graphicData>
            </a:graphic>
          </wp:inline>
        </w:drawing>
      </w:r>
    </w:p>
    <w:p w14:paraId="17B266E1">
      <w:pPr>
        <w:spacing w:line="360" w:lineRule="auto"/>
        <w:rPr>
          <w:rFonts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14:paraId="181EA37D">
      <w:pPr>
        <w:pStyle w:val="14"/>
      </w:pPr>
    </w:p>
    <w:p w14:paraId="6C7B06C1">
      <w: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5"/>
                    <a:stretch>
                      <a:fillRect/>
                    </a:stretch>
                  </pic:blipFill>
                  <pic:spPr>
                    <a:xfrm>
                      <a:off x="0" y="0"/>
                      <a:ext cx="5760085" cy="2810122"/>
                    </a:xfrm>
                    <a:prstGeom prst="rect">
                      <a:avLst/>
                    </a:prstGeom>
                  </pic:spPr>
                </pic:pic>
              </a:graphicData>
            </a:graphic>
          </wp:inline>
        </w:drawing>
      </w:r>
    </w:p>
    <w:p w14:paraId="56FE2A54">
      <w:pPr>
        <w:pStyle w:val="14"/>
      </w:pPr>
      <w: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6"/>
                    <a:stretch>
                      <a:fillRect/>
                    </a:stretch>
                  </pic:blipFill>
                  <pic:spPr>
                    <a:xfrm>
                      <a:off x="0" y="0"/>
                      <a:ext cx="5760085" cy="2820042"/>
                    </a:xfrm>
                    <a:prstGeom prst="rect">
                      <a:avLst/>
                    </a:prstGeom>
                  </pic:spPr>
                </pic:pic>
              </a:graphicData>
            </a:graphic>
          </wp:inline>
        </w:drawing>
      </w:r>
    </w:p>
    <w:p w14:paraId="50463576">
      <w:pPr>
        <w:pStyle w:val="14"/>
      </w:pPr>
    </w:p>
    <w:p w14:paraId="2E25754F">
      <w:pPr>
        <w:snapToGrid/>
        <w:spacing w:before="0" w:after="0" w:line="240" w:lineRule="auto"/>
        <w:ind w:left="0" w:right="0" w:firstLine="0"/>
        <w:jc w:val="both"/>
        <w:rPr>
          <w:rFonts w:hint="eastAsia" w:ascii="宋体" w:hAnsi="宋体" w:eastAsia="宋体" w:cs="宋体"/>
          <w:b/>
          <w:bCs/>
          <w:i w:val="0"/>
          <w:strike w:val="0"/>
          <w:color w:val="000000"/>
          <w:sz w:val="24"/>
          <w:szCs w:val="28"/>
          <w:highlight w:val="yellow"/>
          <w:u w:val="none"/>
          <w:lang w:val="en-US" w:eastAsia="zh-CN"/>
        </w:rPr>
      </w:pPr>
      <w:r>
        <w:rPr>
          <w:rFonts w:hint="eastAsia" w:ascii="宋体" w:hAnsi="宋体" w:eastAsia="宋体" w:cs="宋体"/>
          <w:b/>
          <w:bCs/>
          <w:i w:val="0"/>
          <w:strike w:val="0"/>
          <w:color w:val="000000"/>
          <w:sz w:val="24"/>
          <w:szCs w:val="28"/>
          <w:highlight w:val="yellow"/>
          <w:u w:val="none"/>
          <w:lang w:val="en-US" w:eastAsia="zh-CN"/>
        </w:rPr>
        <w:t>注：</w:t>
      </w:r>
    </w:p>
    <w:p w14:paraId="437D5E17">
      <w:pPr>
        <w:snapToGrid/>
        <w:spacing w:before="0" w:after="0" w:line="240" w:lineRule="auto"/>
        <w:ind w:left="0" w:right="0" w:firstLine="0"/>
        <w:jc w:val="both"/>
        <w:rPr>
          <w:rFonts w:hint="default" w:ascii="宋体" w:hAnsi="宋体" w:eastAsia="宋体" w:cs="宋体"/>
          <w:b/>
          <w:bCs/>
          <w:i w:val="0"/>
          <w:strike w:val="0"/>
          <w:color w:val="000000"/>
          <w:sz w:val="24"/>
          <w:szCs w:val="28"/>
          <w:highlight w:val="yellow"/>
          <w:u w:val="none"/>
          <w:lang w:val="en-US" w:eastAsia="zh-CN"/>
        </w:rPr>
      </w:pPr>
      <w:r>
        <w:rPr>
          <w:rFonts w:hint="eastAsia" w:ascii="宋体" w:hAnsi="宋体" w:eastAsia="宋体" w:cs="宋体"/>
          <w:b/>
          <w:bCs/>
          <w:i w:val="0"/>
          <w:strike w:val="0"/>
          <w:color w:val="000000"/>
          <w:sz w:val="24"/>
          <w:szCs w:val="28"/>
          <w:highlight w:val="yellow"/>
          <w:u w:val="none"/>
          <w:lang w:val="en-US" w:eastAsia="zh-CN"/>
        </w:rPr>
        <w:t>1.“项目名称”和“采购形式编号”见投标须知前附表1.1；</w:t>
      </w:r>
    </w:p>
    <w:p w14:paraId="66D5E975">
      <w:pPr>
        <w:rPr>
          <w:rFonts w:ascii="宋体" w:hAnsi="宋体" w:eastAsia="宋体" w:cs="宋体"/>
          <w:b/>
          <w:bCs/>
          <w:color w:val="000000"/>
          <w:sz w:val="24"/>
          <w:szCs w:val="24"/>
        </w:rPr>
      </w:pPr>
      <w:r>
        <w:rPr>
          <w:rFonts w:hint="eastAsia" w:ascii="宋体" w:hAnsi="宋体" w:eastAsia="宋体" w:cs="宋体"/>
          <w:b/>
          <w:bCs/>
          <w:i w:val="0"/>
          <w:strike w:val="0"/>
          <w:color w:val="000000"/>
          <w:sz w:val="24"/>
          <w:szCs w:val="28"/>
          <w:highlight w:val="yellow"/>
          <w:u w:val="none"/>
          <w:lang w:val="en-US" w:eastAsia="zh-CN"/>
        </w:rPr>
        <w:t>2.</w:t>
      </w:r>
      <w:r>
        <w:rPr>
          <w:rFonts w:hint="eastAsia" w:hAnsi="宋体" w:eastAsia="宋体" w:cs="宋体"/>
          <w:b/>
          <w:bCs/>
          <w:i w:val="0"/>
          <w:strike w:val="0"/>
          <w:color w:val="000000"/>
          <w:sz w:val="24"/>
          <w:szCs w:val="28"/>
          <w:highlight w:val="yellow"/>
          <w:u w:val="none"/>
          <w:lang w:val="en-US" w:eastAsia="zh-CN"/>
        </w:rPr>
        <w:t>配套能力</w:t>
      </w:r>
      <w:r>
        <w:rPr>
          <w:rFonts w:hint="eastAsia" w:hAnsi="宋体" w:eastAsia="宋体" w:cs="宋体"/>
          <w:b/>
          <w:bCs/>
          <w:color w:val="000000"/>
          <w:sz w:val="24"/>
          <w:szCs w:val="28"/>
          <w:highlight w:val="yellow"/>
        </w:rPr>
        <w:t>“供货类别”</w:t>
      </w:r>
      <w:r>
        <w:rPr>
          <w:rFonts w:hint="eastAsia" w:hAnsi="宋体" w:eastAsia="宋体" w:cs="宋体"/>
          <w:b/>
          <w:bCs/>
          <w:color w:val="000000"/>
          <w:sz w:val="24"/>
          <w:szCs w:val="28"/>
          <w:highlight w:val="yellow"/>
          <w:lang w:val="en-US" w:eastAsia="zh-CN"/>
        </w:rPr>
        <w:t>选</w:t>
      </w:r>
      <w:r>
        <w:rPr>
          <w:rFonts w:hint="eastAsia" w:hAnsi="宋体" w:eastAsia="宋体" w:cs="宋体"/>
          <w:b/>
          <w:bCs/>
          <w:color w:val="000000"/>
          <w:sz w:val="24"/>
          <w:szCs w:val="28"/>
          <w:highlight w:val="yellow"/>
        </w:rPr>
        <w:t>“直管单位非生产招标 / 服务 / 危废处理”，业务主管部门为“安全环保部”。</w:t>
      </w:r>
      <w:r>
        <w:rPr>
          <w:rFonts w:hint="eastAsia" w:ascii="宋体" w:hAnsi="宋体" w:eastAsia="宋体" w:cs="宋体"/>
          <w:b/>
          <w:bCs/>
          <w:color w:val="000000"/>
          <w:sz w:val="24"/>
          <w:szCs w:val="24"/>
        </w:rPr>
        <w:br w:type="page"/>
      </w:r>
    </w:p>
    <w:p w14:paraId="3AC93FE3">
      <w:pPr>
        <w:pStyle w:val="14"/>
        <w:outlineLvl w:val="2"/>
        <w:rPr>
          <w:rFonts w:hAnsi="宋体" w:eastAsia="宋体" w:cs="Times New Roman"/>
          <w:b/>
          <w:color w:val="000000"/>
          <w:sz w:val="24"/>
          <w:szCs w:val="24"/>
        </w:rPr>
      </w:pPr>
      <w:r>
        <w:rPr>
          <w:rFonts w:hint="eastAsia" w:hAnsi="宋体" w:eastAsia="宋体" w:cs="宋体"/>
          <w:b/>
          <w:bCs/>
          <w:color w:val="000000"/>
          <w:sz w:val="24"/>
          <w:szCs w:val="24"/>
        </w:rPr>
        <w:t xml:space="preserve">附件16 </w:t>
      </w:r>
      <w:r>
        <w:rPr>
          <w:rFonts w:hint="eastAsia" w:hAnsi="宋体" w:eastAsia="宋体" w:cs="Times New Roman"/>
          <w:b/>
          <w:color w:val="000000"/>
          <w:sz w:val="24"/>
          <w:szCs w:val="24"/>
        </w:rPr>
        <w:t>SRM系统供应商用户手册</w:t>
      </w:r>
    </w:p>
    <w:p w14:paraId="7581CE36">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eastAsia="宋体" w:cs="宋体"/>
          <w:sz w:val="24"/>
          <w:szCs w:val="24"/>
        </w:rPr>
        <w:t>https://ecaitong.sinotruk.com:8012/</w:t>
      </w:r>
      <w:r>
        <w:rPr>
          <w:rStyle w:val="37"/>
          <w:rFonts w:hint="eastAsia" w:ascii="宋体" w:hAnsi="宋体" w:eastAsia="宋体" w:cs="宋体"/>
          <w:sz w:val="24"/>
          <w:szCs w:val="24"/>
        </w:rPr>
        <w:fldChar w:fldCharType="end"/>
      </w:r>
    </w:p>
    <w:p w14:paraId="45B4824C">
      <w:pPr>
        <w:spacing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14:paraId="1B45D832">
      <w:pPr>
        <w:spacing w:line="360" w:lineRule="auto"/>
        <w:rPr>
          <w:rFonts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w:t>
      </w:r>
    </w:p>
    <w:p w14:paraId="1A11A73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6A885C79">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0BB4858F">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1F93C3B2">
      <w:r>
        <w:drawing>
          <wp:inline distT="0" distB="0" distL="0" distR="0">
            <wp:extent cx="5760085" cy="2269490"/>
            <wp:effectExtent l="0" t="0" r="5715" b="38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7"/>
                    <a:stretch>
                      <a:fillRect/>
                    </a:stretch>
                  </pic:blipFill>
                  <pic:spPr>
                    <a:xfrm>
                      <a:off x="0" y="0"/>
                      <a:ext cx="5760085" cy="2269864"/>
                    </a:xfrm>
                    <a:prstGeom prst="rect">
                      <a:avLst/>
                    </a:prstGeom>
                  </pic:spPr>
                </pic:pic>
              </a:graphicData>
            </a:graphic>
          </wp:inline>
        </w:drawing>
      </w:r>
    </w:p>
    <w:p w14:paraId="1BD09A81"/>
    <w:p w14:paraId="6494D2C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350EC73F">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6E9FDC01">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8"/>
                    <a:stretch>
                      <a:fillRect/>
                    </a:stretch>
                  </pic:blipFill>
                  <pic:spPr>
                    <a:xfrm>
                      <a:off x="0" y="0"/>
                      <a:ext cx="5760085" cy="2125673"/>
                    </a:xfrm>
                    <a:prstGeom prst="rect">
                      <a:avLst/>
                    </a:prstGeom>
                  </pic:spPr>
                </pic:pic>
              </a:graphicData>
            </a:graphic>
          </wp:inline>
        </w:drawing>
      </w:r>
    </w:p>
    <w:p w14:paraId="390D7F95">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6F8516A4">
      <w:pPr>
        <w:pStyle w:val="14"/>
      </w:pPr>
      <w:r>
        <w:rPr>
          <w:rFonts w:hint="eastAsia" w:hAnsi="宋体" w:eastAsia="宋体" w:cs="宋体"/>
          <w:color w:val="000000"/>
          <w:sz w:val="24"/>
          <w:szCs w:val="28"/>
          <w:highlight w:val="yellow"/>
        </w:rPr>
        <w:t>注意：系统内的投标报价单位为“万元”，如开标现场发现填错报价，即直接淘汰。</w:t>
      </w:r>
    </w:p>
    <w:p w14:paraId="75CC6DAC">
      <w:pPr>
        <w:pStyle w:val="7"/>
        <w:ind w:left="425" w:hanging="425"/>
        <w:rPr>
          <w:rFonts w:eastAsia="Arial" w:cs="Arial"/>
          <w:color w:val="000000"/>
        </w:rPr>
      </w:pPr>
      <w:r>
        <w:rPr>
          <w:rFonts w:eastAsia="Arial" w:cs="Arial"/>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19"/>
                    <a:stretch>
                      <a:fillRect/>
                    </a:stretch>
                  </pic:blipFill>
                  <pic:spPr>
                    <a:xfrm>
                      <a:off x="0" y="0"/>
                      <a:ext cx="5490210" cy="2669498"/>
                    </a:xfrm>
                    <a:prstGeom prst="rect">
                      <a:avLst/>
                    </a:prstGeom>
                  </pic:spPr>
                </pic:pic>
              </a:graphicData>
            </a:graphic>
          </wp:inline>
        </w:drawing>
      </w:r>
    </w:p>
    <w:p w14:paraId="1446FB36">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7282207E">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61E57032">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14:paraId="3E457F93">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0"/>
                    <a:stretch>
                      <a:fillRect/>
                    </a:stretch>
                  </pic:blipFill>
                  <pic:spPr>
                    <a:xfrm>
                      <a:off x="0" y="0"/>
                      <a:ext cx="5490210" cy="1992743"/>
                    </a:xfrm>
                    <a:prstGeom prst="rect">
                      <a:avLst/>
                    </a:prstGeom>
                  </pic:spPr>
                </pic:pic>
              </a:graphicData>
            </a:graphic>
          </wp:inline>
        </w:drawing>
      </w:r>
    </w:p>
    <w:p w14:paraId="673E833C">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1D8EA614">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0E79F5C1">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5A18BC93">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4A295C58">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6DE70A39">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6FE410A9">
      <w:pPr>
        <w:pStyle w:val="7"/>
        <w:ind w:left="425" w:hanging="425"/>
        <w:rPr>
          <w:rFonts w:eastAsia="Arial" w:cs="Arial"/>
          <w:color w:val="000000"/>
        </w:rPr>
      </w:pPr>
      <w:r>
        <w:rPr>
          <w:rFonts w:eastAsia="Arial" w:cs="Arial"/>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1"/>
                    <a:stretch>
                      <a:fillRect/>
                    </a:stretch>
                  </pic:blipFill>
                  <pic:spPr>
                    <a:xfrm>
                      <a:off x="0" y="0"/>
                      <a:ext cx="5490210" cy="2544669"/>
                    </a:xfrm>
                    <a:prstGeom prst="rect">
                      <a:avLst/>
                    </a:prstGeom>
                  </pic:spPr>
                </pic:pic>
              </a:graphicData>
            </a:graphic>
          </wp:inline>
        </w:drawing>
      </w:r>
    </w:p>
    <w:p w14:paraId="071EE63F">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3944D19C">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695C2408">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2C4E4B8B">
      <w: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2"/>
                    <a:stretch>
                      <a:fillRect/>
                    </a:stretch>
                  </pic:blipFill>
                  <pic:spPr>
                    <a:xfrm>
                      <a:off x="0" y="0"/>
                      <a:ext cx="5760085" cy="1956600"/>
                    </a:xfrm>
                    <a:prstGeom prst="rect">
                      <a:avLst/>
                    </a:prstGeom>
                  </pic:spPr>
                </pic:pic>
              </a:graphicData>
            </a:graphic>
          </wp:inline>
        </w:drawing>
      </w:r>
    </w:p>
    <w:p w14:paraId="0154E251">
      <w:pPr>
        <w:pStyle w:val="14"/>
        <w:rPr>
          <w:rFonts w:hAnsi="宋体" w:eastAsia="宋体" w:cs="Times New Roman"/>
          <w:b/>
          <w:color w:val="000000"/>
          <w:sz w:val="24"/>
          <w:szCs w:val="24"/>
        </w:rPr>
      </w:pPr>
    </w:p>
    <w:p w14:paraId="2E603337">
      <w:pPr>
        <w:pStyle w:val="76"/>
        <w:rPr>
          <w:rFonts w:hint="default" w:hAnsi="宋体"/>
          <w:sz w:val="24"/>
          <w:lang w:val="en-US"/>
        </w:rPr>
      </w:pPr>
    </w:p>
    <w:sectPr>
      <w:headerReference r:id="rId7" w:type="first"/>
      <w:footerReference r:id="rId8"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
    <w:altName w:val="Times New Roman"/>
    <w:panose1 w:val="00000000000000000000"/>
    <w:charset w:val="00"/>
    <w:family w:val="roman"/>
    <w:pitch w:val="default"/>
    <w:sig w:usb0="00000000" w:usb1="00000000" w:usb2="00000000" w:usb3="00000000" w:csb0="00000001" w:csb1="00000000"/>
  </w:font>
  <w:font w:name="等线">
    <w:panose1 w:val="02010600030101010101"/>
    <w:charset w:val="86"/>
    <w:family w:val="auto"/>
    <w:pitch w:val="default"/>
    <w:sig w:usb0="A00002BF" w:usb1="38CF7CFA" w:usb2="00000016" w:usb3="00000000" w:csb0="0004000F" w:csb1="00000000"/>
  </w:font>
  <w:font w:name="方正小标宋简体">
    <w:panose1 w:val="02000000000000000000"/>
    <w:charset w:val="86"/>
    <w:family w:val="script"/>
    <w:pitch w:val="default"/>
    <w:sig w:usb0="A00002BF" w:usb1="184F6CFA" w:usb2="00000012" w:usb3="00000000" w:csb0="00040001" w:csb1="00000000"/>
  </w:font>
  <w:font w:name="仿宋">
    <w:panose1 w:val="02010609060101010101"/>
    <w:charset w:val="86"/>
    <w:family w:val="modern"/>
    <w:pitch w:val="default"/>
    <w:sig w:usb0="800002BF" w:usb1="38CF7CFA" w:usb2="00000016" w:usb3="00000000" w:csb0="00040001" w:csb1="00000000"/>
  </w:font>
  <w:font w:name="新宋体">
    <w:panose1 w:val="02010609030101010101"/>
    <w:charset w:val="86"/>
    <w:family w:val="modern"/>
    <w:pitch w:val="default"/>
    <w:sig w:usb0="00000203" w:usb1="288F00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8"/>
      <w:framePr w:wrap="around" w:vAnchor="text" w:hAnchor="margin" w:xAlign="center" w:y="1"/>
      <w:rPr>
        <w:rStyle w:val="34"/>
      </w:rPr>
    </w:pPr>
    <w:r>
      <w:fldChar w:fldCharType="begin"/>
    </w:r>
    <w:r>
      <w:rPr>
        <w:rStyle w:val="34"/>
      </w:rPr>
      <w:instrText xml:space="preserve">PAGE  </w:instrText>
    </w:r>
    <w:r>
      <w:fldChar w:fldCharType="end"/>
    </w:r>
  </w:p>
  <w:p w14:paraId="7AD47F75">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8"/>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2">
    <w:nsid w:val="86729C71"/>
    <w:multiLevelType w:val="singleLevel"/>
    <w:tmpl w:val="86729C71"/>
    <w:lvl w:ilvl="0" w:tentative="0">
      <w:start w:val="1"/>
      <w:numFmt w:val="decimal"/>
      <w:lvlText w:val="%1."/>
      <w:lvlJc w:val="left"/>
      <w:pPr>
        <w:tabs>
          <w:tab w:val="left" w:pos="312"/>
        </w:tabs>
      </w:pPr>
      <w:rPr>
        <w:rFonts w:hint="default"/>
        <w:b/>
        <w:bCs/>
        <w:highlight w:val="none"/>
      </w:rPr>
    </w:lvl>
  </w:abstractNum>
  <w:abstractNum w:abstractNumId="3">
    <w:nsid w:val="93852671"/>
    <w:multiLevelType w:val="singleLevel"/>
    <w:tmpl w:val="93852671"/>
    <w:lvl w:ilvl="0" w:tentative="0">
      <w:start w:val="1"/>
      <w:numFmt w:val="decimal"/>
      <w:lvlText w:val="%1."/>
      <w:lvlJc w:val="left"/>
      <w:pPr>
        <w:ind w:left="425" w:hanging="425"/>
      </w:pPr>
      <w:rPr>
        <w:rFonts w:hint="default"/>
      </w:rPr>
    </w:lvl>
  </w:abstractNum>
  <w:abstractNum w:abstractNumId="4">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5">
    <w:nsid w:val="B12C4597"/>
    <w:multiLevelType w:val="singleLevel"/>
    <w:tmpl w:val="B12C4597"/>
    <w:lvl w:ilvl="0" w:tentative="0">
      <w:start w:val="1"/>
      <w:numFmt w:val="decimal"/>
      <w:lvlText w:val="%1."/>
      <w:lvlJc w:val="left"/>
      <w:pPr>
        <w:ind w:left="425" w:hanging="425"/>
      </w:pPr>
      <w:rPr>
        <w:rFonts w:hint="default"/>
      </w:rPr>
    </w:lvl>
  </w:abstractNum>
  <w:abstractNum w:abstractNumId="6">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7">
    <w:nsid w:val="B8CD44E4"/>
    <w:multiLevelType w:val="singleLevel"/>
    <w:tmpl w:val="B8CD44E4"/>
    <w:lvl w:ilvl="0" w:tentative="0">
      <w:start w:val="2"/>
      <w:numFmt w:val="chineseCounting"/>
      <w:suff w:val="nothing"/>
      <w:lvlText w:val="%1、"/>
      <w:lvlJc w:val="left"/>
      <w:rPr>
        <w:rFonts w:hint="eastAsia"/>
      </w:rPr>
    </w:lvl>
  </w:abstractNum>
  <w:abstractNum w:abstractNumId="8">
    <w:nsid w:val="BD4C6742"/>
    <w:multiLevelType w:val="singleLevel"/>
    <w:tmpl w:val="BD4C6742"/>
    <w:lvl w:ilvl="0" w:tentative="0">
      <w:start w:val="1"/>
      <w:numFmt w:val="decimal"/>
      <w:lvlText w:val="%1."/>
      <w:lvlJc w:val="left"/>
      <w:pPr>
        <w:ind w:left="425" w:hanging="425"/>
      </w:pPr>
      <w:rPr>
        <w:rFonts w:hint="default"/>
      </w:rPr>
    </w:lvl>
  </w:abstractNum>
  <w:abstractNum w:abstractNumId="9">
    <w:nsid w:val="CA70C5AE"/>
    <w:multiLevelType w:val="singleLevel"/>
    <w:tmpl w:val="CA70C5AE"/>
    <w:lvl w:ilvl="0" w:tentative="0">
      <w:start w:val="1"/>
      <w:numFmt w:val="decimal"/>
      <w:lvlText w:val="%1."/>
      <w:lvlJc w:val="left"/>
      <w:pPr>
        <w:ind w:left="425" w:hanging="425"/>
      </w:pPr>
      <w:rPr>
        <w:rFonts w:hint="default"/>
      </w:rPr>
    </w:lvl>
  </w:abstractNum>
  <w:abstractNum w:abstractNumId="10">
    <w:nsid w:val="D9A4530E"/>
    <w:multiLevelType w:val="singleLevel"/>
    <w:tmpl w:val="D9A4530E"/>
    <w:lvl w:ilvl="0" w:tentative="0">
      <w:start w:val="1"/>
      <w:numFmt w:val="decimal"/>
      <w:lvlText w:val="(%1)"/>
      <w:lvlJc w:val="left"/>
      <w:pPr>
        <w:ind w:left="425" w:hanging="425"/>
      </w:pPr>
      <w:rPr>
        <w:rFonts w:hint="default"/>
      </w:rPr>
    </w:lvl>
  </w:abstractNum>
  <w:abstractNum w:abstractNumId="11">
    <w:nsid w:val="DC3F8C8B"/>
    <w:multiLevelType w:val="singleLevel"/>
    <w:tmpl w:val="DC3F8C8B"/>
    <w:lvl w:ilvl="0" w:tentative="0">
      <w:start w:val="1"/>
      <w:numFmt w:val="decimal"/>
      <w:lvlText w:val="%1."/>
      <w:lvlJc w:val="left"/>
      <w:pPr>
        <w:ind w:left="425" w:hanging="425"/>
      </w:pPr>
      <w:rPr>
        <w:rFonts w:hint="default"/>
      </w:rPr>
    </w:lvl>
  </w:abstractNum>
  <w:abstractNum w:abstractNumId="12">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3">
    <w:nsid w:val="07FA6ED8"/>
    <w:multiLevelType w:val="singleLevel"/>
    <w:tmpl w:val="07FA6ED8"/>
    <w:lvl w:ilvl="0" w:tentative="0">
      <w:start w:val="1"/>
      <w:numFmt w:val="decimal"/>
      <w:lvlText w:val="%1."/>
      <w:lvlJc w:val="left"/>
      <w:pPr>
        <w:tabs>
          <w:tab w:val="left" w:pos="732"/>
        </w:tabs>
        <w:ind w:left="420"/>
      </w:pPr>
    </w:lvl>
  </w:abstractNum>
  <w:abstractNum w:abstractNumId="14">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5">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6">
    <w:nsid w:val="3265E1EC"/>
    <w:multiLevelType w:val="singleLevel"/>
    <w:tmpl w:val="3265E1EC"/>
    <w:lvl w:ilvl="0" w:tentative="0">
      <w:start w:val="1"/>
      <w:numFmt w:val="decimal"/>
      <w:lvlText w:val="(%1)"/>
      <w:lvlJc w:val="left"/>
      <w:pPr>
        <w:ind w:left="425" w:hanging="425"/>
      </w:pPr>
      <w:rPr>
        <w:rFonts w:hint="default"/>
      </w:rPr>
    </w:lvl>
  </w:abstractNum>
  <w:abstractNum w:abstractNumId="17">
    <w:nsid w:val="3CF6EF77"/>
    <w:multiLevelType w:val="singleLevel"/>
    <w:tmpl w:val="3CF6EF77"/>
    <w:lvl w:ilvl="0" w:tentative="0">
      <w:start w:val="1"/>
      <w:numFmt w:val="decimal"/>
      <w:lvlText w:val="%1."/>
      <w:lvlJc w:val="left"/>
      <w:pPr>
        <w:ind w:left="425" w:hanging="425"/>
      </w:pPr>
      <w:rPr>
        <w:rFonts w:hint="default"/>
      </w:rPr>
    </w:lvl>
  </w:abstractNum>
  <w:abstractNum w:abstractNumId="18">
    <w:nsid w:val="3D2537F8"/>
    <w:multiLevelType w:val="singleLevel"/>
    <w:tmpl w:val="3D2537F8"/>
    <w:lvl w:ilvl="0" w:tentative="0">
      <w:start w:val="1"/>
      <w:numFmt w:val="decimal"/>
      <w:lvlText w:val="%1."/>
      <w:lvlJc w:val="left"/>
      <w:pPr>
        <w:ind w:left="425" w:hanging="425"/>
      </w:pPr>
      <w:rPr>
        <w:rFonts w:hint="default"/>
        <w:color w:val="auto"/>
      </w:rPr>
    </w:lvl>
  </w:abstractNum>
  <w:abstractNum w:abstractNumId="19">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20">
    <w:nsid w:val="4CB32FC8"/>
    <w:multiLevelType w:val="multilevel"/>
    <w:tmpl w:val="4CB32FC8"/>
    <w:lvl w:ilvl="0" w:tentative="0">
      <w:start w:val="1"/>
      <w:numFmt w:val="upperLetter"/>
      <w:pStyle w:val="8"/>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1">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2">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3">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4">
    <w:nsid w:val="5983D379"/>
    <w:multiLevelType w:val="singleLevel"/>
    <w:tmpl w:val="5983D379"/>
    <w:lvl w:ilvl="0" w:tentative="0">
      <w:start w:val="1"/>
      <w:numFmt w:val="decimal"/>
      <w:lvlText w:val="(%1)"/>
      <w:lvlJc w:val="left"/>
      <w:pPr>
        <w:ind w:left="425" w:hanging="425"/>
      </w:pPr>
      <w:rPr>
        <w:rFonts w:hint="default"/>
      </w:rPr>
    </w:lvl>
  </w:abstractNum>
  <w:abstractNum w:abstractNumId="25">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6">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20"/>
  </w:num>
  <w:num w:numId="2">
    <w:abstractNumId w:val="25"/>
  </w:num>
  <w:num w:numId="3">
    <w:abstractNumId w:val="23"/>
  </w:num>
  <w:num w:numId="4">
    <w:abstractNumId w:val="21"/>
  </w:num>
  <w:num w:numId="5">
    <w:abstractNumId w:val="12"/>
  </w:num>
  <w:num w:numId="6">
    <w:abstractNumId w:val="14"/>
  </w:num>
  <w:num w:numId="7">
    <w:abstractNumId w:val="15"/>
  </w:num>
  <w:num w:numId="8">
    <w:abstractNumId w:val="22"/>
  </w:num>
  <w:num w:numId="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13"/>
  </w:num>
  <w:num w:numId="1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8"/>
  </w:num>
  <w:num w:numId="14">
    <w:abstractNumId w:val="18"/>
  </w:num>
  <w:num w:numId="15">
    <w:abstractNumId w:val="5"/>
  </w:num>
  <w:num w:numId="16">
    <w:abstractNumId w:val="0"/>
  </w:num>
  <w:num w:numId="17">
    <w:abstractNumId w:val="3"/>
  </w:num>
  <w:num w:numId="18">
    <w:abstractNumId w:val="24"/>
  </w:num>
  <w:num w:numId="19">
    <w:abstractNumId w:val="26"/>
  </w:num>
  <w:num w:numId="20">
    <w:abstractNumId w:val="16"/>
  </w:num>
  <w:num w:numId="21">
    <w:abstractNumId w:val="10"/>
  </w:num>
  <w:num w:numId="22">
    <w:abstractNumId w:val="9"/>
  </w:num>
  <w:num w:numId="23">
    <w:abstractNumId w:val="4"/>
  </w:num>
  <w:num w:numId="24">
    <w:abstractNumId w:val="1"/>
  </w:num>
  <w:num w:numId="25">
    <w:abstractNumId w:val="6"/>
  </w:num>
  <w:num w:numId="26">
    <w:abstractNumId w:val="11"/>
  </w:num>
  <w:num w:numId="27">
    <w:abstractNumId w:val="19"/>
  </w:num>
  <w:num w:numId="28">
    <w:abstractNumId w:val="17"/>
  </w:num>
  <w:num w:numId="29">
    <w:abstractNumId w:val="7"/>
  </w:num>
  <w:num w:numId="3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CC3DCA"/>
    <w:rsid w:val="02FE76EF"/>
    <w:rsid w:val="03F033B0"/>
    <w:rsid w:val="057C1D39"/>
    <w:rsid w:val="05891259"/>
    <w:rsid w:val="08633479"/>
    <w:rsid w:val="0CB51572"/>
    <w:rsid w:val="0E4D31E3"/>
    <w:rsid w:val="10DC2AA3"/>
    <w:rsid w:val="10FA7C8C"/>
    <w:rsid w:val="130B198F"/>
    <w:rsid w:val="16A918E4"/>
    <w:rsid w:val="17D966D6"/>
    <w:rsid w:val="1BC71D3B"/>
    <w:rsid w:val="1C59115B"/>
    <w:rsid w:val="1FB23E60"/>
    <w:rsid w:val="22C5630B"/>
    <w:rsid w:val="23EC0BA6"/>
    <w:rsid w:val="24701A48"/>
    <w:rsid w:val="260B73A7"/>
    <w:rsid w:val="268B0052"/>
    <w:rsid w:val="27743C90"/>
    <w:rsid w:val="29CA2459"/>
    <w:rsid w:val="2B271A58"/>
    <w:rsid w:val="2B6304A7"/>
    <w:rsid w:val="2CF6734C"/>
    <w:rsid w:val="2D663463"/>
    <w:rsid w:val="2EF96EE4"/>
    <w:rsid w:val="36254FE4"/>
    <w:rsid w:val="372F61E0"/>
    <w:rsid w:val="39322FCA"/>
    <w:rsid w:val="3AB90991"/>
    <w:rsid w:val="3B706131"/>
    <w:rsid w:val="3E6F041E"/>
    <w:rsid w:val="4275481E"/>
    <w:rsid w:val="428B617A"/>
    <w:rsid w:val="433D7BDC"/>
    <w:rsid w:val="437E1813"/>
    <w:rsid w:val="45BD47FC"/>
    <w:rsid w:val="45CC5FB2"/>
    <w:rsid w:val="46B75BA8"/>
    <w:rsid w:val="48C97955"/>
    <w:rsid w:val="49880C8F"/>
    <w:rsid w:val="4A8835F7"/>
    <w:rsid w:val="4B592E71"/>
    <w:rsid w:val="51234049"/>
    <w:rsid w:val="52274B10"/>
    <w:rsid w:val="52B9239A"/>
    <w:rsid w:val="54BD78FD"/>
    <w:rsid w:val="58A86DDE"/>
    <w:rsid w:val="59154AD7"/>
    <w:rsid w:val="5ADF548D"/>
    <w:rsid w:val="5D5C60B4"/>
    <w:rsid w:val="63F04A69"/>
    <w:rsid w:val="66A50B1E"/>
    <w:rsid w:val="67B2063C"/>
    <w:rsid w:val="67C97AC3"/>
    <w:rsid w:val="67E30EC1"/>
    <w:rsid w:val="6A4E3B2B"/>
    <w:rsid w:val="6B481C3B"/>
    <w:rsid w:val="6C1331A3"/>
    <w:rsid w:val="6CA84BC1"/>
    <w:rsid w:val="6D3E4756"/>
    <w:rsid w:val="6FC523EB"/>
    <w:rsid w:val="72895F2E"/>
    <w:rsid w:val="72C02EBE"/>
    <w:rsid w:val="72C507AD"/>
    <w:rsid w:val="72D028D8"/>
    <w:rsid w:val="745D47C3"/>
    <w:rsid w:val="76AC3757"/>
    <w:rsid w:val="7CB93F8E"/>
    <w:rsid w:val="7CF66B46"/>
    <w:rsid w:val="7DBD2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4">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5">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6">
    <w:name w:val="heading 3"/>
    <w:basedOn w:val="1"/>
    <w:next w:val="1"/>
    <w:link w:val="43"/>
    <w:semiHidden/>
    <w:qFormat/>
    <w:uiPriority w:val="0"/>
    <w:pPr>
      <w:keepNext/>
      <w:keepLines/>
      <w:spacing w:line="416" w:lineRule="auto"/>
      <w:outlineLvl w:val="2"/>
    </w:pPr>
    <w:rPr>
      <w:b/>
      <w:bCs/>
      <w:sz w:val="32"/>
      <w:szCs w:val="32"/>
    </w:rPr>
  </w:style>
  <w:style w:type="paragraph" w:styleId="7">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8">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link w:val="41"/>
    <w:semiHidden/>
    <w:qFormat/>
    <w:uiPriority w:val="98"/>
    <w:rPr>
      <w:rFonts w:ascii="仿宋_GB2312" w:eastAsia="仿宋_GB2312"/>
      <w:sz w:val="32"/>
    </w:rPr>
  </w:style>
  <w:style w:type="paragraph" w:styleId="3">
    <w:name w:val="Body Text Indent"/>
    <w:basedOn w:val="1"/>
    <w:link w:val="48"/>
    <w:semiHidden/>
    <w:qFormat/>
    <w:uiPriority w:val="0"/>
    <w:pPr>
      <w:spacing w:after="120"/>
      <w:ind w:left="420" w:leftChars="200"/>
    </w:pPr>
    <w:rPr>
      <w:rFonts w:ascii="Calibri" w:hAnsi="Calibri"/>
      <w:szCs w:val="22"/>
    </w:rPr>
  </w:style>
  <w:style w:type="paragraph" w:styleId="9">
    <w:name w:val="E-mail Signature"/>
    <w:basedOn w:val="1"/>
    <w:link w:val="104"/>
    <w:semiHidden/>
    <w:qFormat/>
    <w:uiPriority w:val="99"/>
    <w:pPr>
      <w:spacing w:after="200" w:line="276" w:lineRule="auto"/>
      <w:jc w:val="left"/>
    </w:pPr>
    <w:rPr>
      <w:rFonts w:ascii="Calibri" w:hAnsi="Calibri"/>
      <w:kern w:val="0"/>
      <w:szCs w:val="21"/>
    </w:rPr>
  </w:style>
  <w:style w:type="paragraph" w:styleId="10">
    <w:name w:val="caption"/>
    <w:basedOn w:val="1"/>
    <w:next w:val="1"/>
    <w:semiHidden/>
    <w:qFormat/>
    <w:uiPriority w:val="98"/>
    <w:pPr>
      <w:spacing w:before="152" w:after="160"/>
    </w:pPr>
    <w:rPr>
      <w:rFonts w:ascii="Arial" w:hAnsi="Arial" w:eastAsia="黑体" w:cs="Arial"/>
      <w:sz w:val="20"/>
    </w:rPr>
  </w:style>
  <w:style w:type="paragraph" w:styleId="11">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2">
    <w:name w:val="annotation text"/>
    <w:basedOn w:val="1"/>
    <w:link w:val="45"/>
    <w:qFormat/>
    <w:uiPriority w:val="99"/>
    <w:pPr>
      <w:jc w:val="left"/>
    </w:p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2"/>
    <w:next w:val="12"/>
    <w:link w:val="53"/>
    <w:semiHidden/>
    <w:qFormat/>
    <w:uiPriority w:val="98"/>
    <w:rPr>
      <w:b/>
      <w:bCs/>
    </w:rPr>
  </w:style>
  <w:style w:type="paragraph" w:styleId="29">
    <w:name w:val="Body Text First Indent 2"/>
    <w:basedOn w:val="3"/>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basedOn w:val="32"/>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2"/>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6"/>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2"/>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3"/>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4"/>
    <w:semiHidden/>
    <w:qFormat/>
    <w:uiPriority w:val="0"/>
    <w:rPr>
      <w:b/>
      <w:bCs/>
      <w:kern w:val="44"/>
      <w:sz w:val="44"/>
      <w:szCs w:val="44"/>
    </w:rPr>
  </w:style>
  <w:style w:type="paragraph" w:customStyle="1" w:styleId="68">
    <w:name w:val="TOC 标题1"/>
    <w:basedOn w:val="4"/>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5"/>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360" w:lineRule="auto"/>
      <w:jc w:val="left"/>
    </w:pPr>
  </w:style>
  <w:style w:type="character" w:customStyle="1" w:styleId="77">
    <w:name w:val="标题 4 字符"/>
    <w:basedOn w:val="32"/>
    <w:link w:val="7"/>
    <w:semiHidden/>
    <w:qFormat/>
    <w:uiPriority w:val="0"/>
    <w:rPr>
      <w:rFonts w:ascii="Arial" w:hAnsi="Arial"/>
      <w:b/>
      <w:bCs/>
      <w:kern w:val="2"/>
      <w:sz w:val="21"/>
      <w:szCs w:val="28"/>
    </w:rPr>
  </w:style>
  <w:style w:type="character" w:customStyle="1" w:styleId="78">
    <w:name w:val="标题 5 字符"/>
    <w:basedOn w:val="32"/>
    <w:link w:val="8"/>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4"/>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11"/>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9"/>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5" Type="http://schemas.openxmlformats.org/officeDocument/2006/relationships/fontTable" Target="fontTable.xml"/><Relationship Id="rId24" Type="http://schemas.openxmlformats.org/officeDocument/2006/relationships/customXml" Target="../customXml/item1.xml"/><Relationship Id="rId23" Type="http://schemas.openxmlformats.org/officeDocument/2006/relationships/numbering" Target="numbering.xml"/><Relationship Id="rId22" Type="http://schemas.openxmlformats.org/officeDocument/2006/relationships/image" Target="media/image13.png"/><Relationship Id="rId21" Type="http://schemas.openxmlformats.org/officeDocument/2006/relationships/image" Target="media/image12.png"/><Relationship Id="rId20" Type="http://schemas.openxmlformats.org/officeDocument/2006/relationships/image" Target="media/image11.png"/><Relationship Id="rId2" Type="http://schemas.openxmlformats.org/officeDocument/2006/relationships/settings" Target="settings.xml"/><Relationship Id="rId19" Type="http://schemas.openxmlformats.org/officeDocument/2006/relationships/image" Target="media/image10.png"/><Relationship Id="rId18" Type="http://schemas.openxmlformats.org/officeDocument/2006/relationships/image" Target="media/image9.png"/><Relationship Id="rId17" Type="http://schemas.openxmlformats.org/officeDocument/2006/relationships/image" Target="media/image8.png"/><Relationship Id="rId16" Type="http://schemas.openxmlformats.org/officeDocument/2006/relationships/image" Target="media/image7.png"/><Relationship Id="rId15" Type="http://schemas.openxmlformats.org/officeDocument/2006/relationships/image" Target="media/image6.png"/><Relationship Id="rId14" Type="http://schemas.openxmlformats.org/officeDocument/2006/relationships/image" Target="media/image5.png"/><Relationship Id="rId13" Type="http://schemas.openxmlformats.org/officeDocument/2006/relationships/image" Target="media/image4.png"/><Relationship Id="rId12" Type="http://schemas.openxmlformats.org/officeDocument/2006/relationships/image" Target="media/image3.png"/><Relationship Id="rId11" Type="http://schemas.openxmlformats.org/officeDocument/2006/relationships/image" Target="media/image2.png"/><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DF9C98-D277-4712-ADC3-6032391F0299}">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27</Pages>
  <Words>7534</Words>
  <Characters>7825</Characters>
  <Lines>127</Lines>
  <Paragraphs>35</Paragraphs>
  <TotalTime>1</TotalTime>
  <ScaleCrop>false</ScaleCrop>
  <LinksUpToDate>false</LinksUpToDate>
  <CharactersWithSpaces>8597</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晓寒轻</cp:lastModifiedBy>
  <cp:lastPrinted>2020-06-28T02:28:00Z</cp:lastPrinted>
  <dcterms:modified xsi:type="dcterms:W3CDTF">2025-10-13T03:39:03Z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F625847F33B7475AABCD501F1795CC31_13</vt:lpwstr>
  </property>
  <property fmtid="{D5CDD505-2E9C-101B-9397-08002B2CF9AE}" pid="4" name="KSOTemplateDocerSaveRecord">
    <vt:lpwstr>eyJoZGlkIjoiNGVmYjYwMTVkYTcwNzlmYzkyYzZmMzIwZTI3ZGZlNjgiLCJ1c2VySWQiOiIxMDYzNzE1ODkzIn0=</vt:lpwstr>
  </property>
</Properties>
</file>