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2025年危险废物处置项目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FSCZB2025100022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highlight w:val="yellow"/>
          <w:u w:val="single"/>
          <w:lang w:val="en-US" w:eastAsia="zh-CN"/>
        </w:rPr>
        <w:t>25</w:t>
      </w:r>
      <w:r>
        <w:rPr>
          <w:rFonts w:hint="eastAsia" w:ascii="宋体" w:hAnsi="宋体"/>
          <w:sz w:val="28"/>
          <w:szCs w:val="28"/>
          <w:u w:val="single"/>
        </w:rPr>
        <w:t>年</w:t>
      </w:r>
      <w:r>
        <w:rPr>
          <w:rFonts w:hint="eastAsia" w:ascii="宋体" w:hAnsi="宋体"/>
          <w:sz w:val="28"/>
          <w:szCs w:val="28"/>
          <w:highlight w:val="yellow"/>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2025年危险废物处置项目招标公告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2025年危险废物处置项目</w:t>
      </w:r>
    </w:p>
    <w:p w14:paraId="15020D03">
      <w:pPr>
        <w:pStyle w:val="73"/>
      </w:pPr>
      <w:r>
        <w:rPr>
          <w:rFonts w:hint="eastAsia"/>
        </w:rPr>
        <w:t>项目编号：</w:t>
      </w:r>
      <w:r>
        <w:rPr>
          <w:rFonts w:hint="eastAsia"/>
          <w:highlight w:val="yellow"/>
        </w:rPr>
        <w:t>FSCZB2025100022</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p>
    <w:p w14:paraId="471063F3">
      <w:pPr>
        <w:pStyle w:val="14"/>
        <w:numPr>
          <w:ilvl w:val="0"/>
          <w:numId w:val="0"/>
        </w:numPr>
        <w:spacing w:line="360" w:lineRule="auto"/>
        <w:ind w:firstLine="420" w:firstLineChars="200"/>
        <w:jc w:val="left"/>
        <w:rPr>
          <w:rFonts w:hint="eastAsia" w:ascii="仿宋_GB2312" w:hAnsi="仿宋" w:eastAsia="仿宋_GB2312" w:cs="Times New Roman"/>
          <w:kern w:val="2"/>
          <w:sz w:val="32"/>
          <w:szCs w:val="32"/>
          <w:highlight w:val="none"/>
          <w:lang w:val="en-US" w:eastAsia="zh-CN" w:bidi="ar-SA"/>
        </w:rPr>
      </w:pPr>
      <w:r>
        <w:rPr>
          <w:rFonts w:hint="eastAsia" w:ascii="宋体" w:hAnsi="宋体" w:eastAsia="宋体" w:cs="宋体"/>
          <w:kern w:val="2"/>
          <w:sz w:val="21"/>
          <w:szCs w:val="21"/>
          <w:highlight w:val="none"/>
          <w:lang w:val="en-US" w:eastAsia="zh-CN" w:bidi="ar-SA"/>
        </w:rPr>
        <w:t>公司属于汽车整车制造业，为重庆市及国家危险废物重点管理单位，在企业日常生产过程中将持续产生危险废物，产生的危险废物种类有废溶剂、漆渣、废水处理污泥等，本项目危险废物种类等具体情况见表1。</w:t>
      </w:r>
    </w:p>
    <w:p w14:paraId="1D1F9EBC">
      <w:pPr>
        <w:pStyle w:val="14"/>
        <w:numPr>
          <w:ilvl w:val="0"/>
          <w:numId w:val="0"/>
        </w:numPr>
        <w:spacing w:line="360" w:lineRule="auto"/>
        <w:ind w:firstLine="480" w:firstLineChars="200"/>
        <w:jc w:val="left"/>
        <w:rPr>
          <w:rFonts w:hint="default" w:hAnsi="宋体"/>
          <w:sz w:val="24"/>
          <w:szCs w:val="24"/>
          <w:highlight w:val="none"/>
          <w:lang w:val="en-US" w:eastAsia="zh-CN"/>
        </w:rPr>
      </w:pPr>
      <w:r>
        <w:rPr>
          <w:rFonts w:hint="eastAsia" w:hAnsi="宋体"/>
          <w:sz w:val="24"/>
          <w:szCs w:val="24"/>
          <w:highlight w:val="none"/>
          <w:lang w:val="en-US" w:eastAsia="zh-CN"/>
        </w:rPr>
        <w:t>表1        2025年危险废物处置项目危险废物产生情况一览表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2248"/>
        <w:gridCol w:w="2376"/>
        <w:gridCol w:w="1414"/>
        <w:gridCol w:w="1306"/>
        <w:gridCol w:w="1306"/>
      </w:tblGrid>
      <w:tr w14:paraId="299E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269CB98B">
            <w:pPr>
              <w:widowControl/>
              <w:adjustRightInd w:val="0"/>
              <w:snapToGrid w:val="0"/>
              <w:jc w:val="left"/>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序号</w:t>
            </w:r>
          </w:p>
        </w:tc>
        <w:tc>
          <w:tcPr>
            <w:tcW w:w="1210" w:type="pct"/>
            <w:noWrap w:val="0"/>
            <w:vAlign w:val="center"/>
          </w:tcPr>
          <w:p w14:paraId="78E89764">
            <w:pPr>
              <w:widowControl/>
              <w:adjustRightInd w:val="0"/>
              <w:snapToGrid w:val="0"/>
              <w:jc w:val="left"/>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危险废物名称</w:t>
            </w:r>
          </w:p>
        </w:tc>
        <w:tc>
          <w:tcPr>
            <w:tcW w:w="1279" w:type="pct"/>
            <w:noWrap w:val="0"/>
            <w:vAlign w:val="center"/>
          </w:tcPr>
          <w:p w14:paraId="097699F2">
            <w:pPr>
              <w:widowControl/>
              <w:adjustRightInd w:val="0"/>
              <w:snapToGrid w:val="0"/>
              <w:jc w:val="left"/>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危险废物类别</w:t>
            </w:r>
          </w:p>
        </w:tc>
        <w:tc>
          <w:tcPr>
            <w:tcW w:w="761" w:type="pct"/>
            <w:noWrap w:val="0"/>
            <w:vAlign w:val="center"/>
          </w:tcPr>
          <w:p w14:paraId="169C9548">
            <w:pPr>
              <w:widowControl/>
              <w:adjustRightInd w:val="0"/>
              <w:snapToGrid w:val="0"/>
              <w:jc w:val="left"/>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危险废物代码</w:t>
            </w:r>
          </w:p>
        </w:tc>
        <w:tc>
          <w:tcPr>
            <w:tcW w:w="703" w:type="pct"/>
            <w:noWrap w:val="0"/>
            <w:vAlign w:val="center"/>
          </w:tcPr>
          <w:p w14:paraId="3B30D084">
            <w:pPr>
              <w:widowControl/>
              <w:adjustRightInd w:val="0"/>
              <w:snapToGrid w:val="0"/>
              <w:jc w:val="left"/>
              <w:textAlignment w:val="center"/>
              <w:rPr>
                <w:rFonts w:hint="default" w:ascii="宋体" w:hAnsi="宋体" w:cs="宋体"/>
                <w:b/>
                <w:bCs/>
                <w:color w:val="000000"/>
                <w:kern w:val="0"/>
                <w:szCs w:val="21"/>
                <w:highlight w:val="none"/>
                <w:lang w:val="en-US" w:eastAsia="zh-CN" w:bidi="ar"/>
              </w:rPr>
            </w:pPr>
            <w:r>
              <w:rPr>
                <w:rFonts w:hint="eastAsia" w:ascii="宋体" w:hAnsi="宋体" w:cs="宋体"/>
                <w:b/>
                <w:bCs/>
                <w:color w:val="000000"/>
                <w:kern w:val="0"/>
                <w:szCs w:val="21"/>
                <w:highlight w:val="none"/>
                <w:lang w:val="en-US" w:eastAsia="zh-CN" w:bidi="ar"/>
              </w:rPr>
              <w:t>危险废物特性</w:t>
            </w:r>
          </w:p>
        </w:tc>
        <w:tc>
          <w:tcPr>
            <w:tcW w:w="703" w:type="pct"/>
            <w:noWrap w:val="0"/>
            <w:vAlign w:val="center"/>
          </w:tcPr>
          <w:p w14:paraId="64B65B88">
            <w:pPr>
              <w:widowControl/>
              <w:adjustRightInd w:val="0"/>
              <w:snapToGrid w:val="0"/>
              <w:jc w:val="left"/>
              <w:textAlignment w:val="center"/>
              <w:rPr>
                <w:rFonts w:hint="default" w:ascii="宋体" w:hAnsi="宋体" w:eastAsia="宋体" w:cs="宋体"/>
                <w:b/>
                <w:bCs/>
                <w:color w:val="000000"/>
                <w:kern w:val="0"/>
                <w:szCs w:val="21"/>
                <w:highlight w:val="none"/>
                <w:lang w:val="en-US" w:eastAsia="zh-CN" w:bidi="ar"/>
              </w:rPr>
            </w:pPr>
            <w:r>
              <w:rPr>
                <w:rFonts w:hint="eastAsia" w:ascii="宋体" w:hAnsi="宋体" w:cs="宋体"/>
                <w:b/>
                <w:bCs/>
                <w:color w:val="000000"/>
                <w:kern w:val="0"/>
                <w:szCs w:val="21"/>
                <w:highlight w:val="none"/>
                <w:lang w:val="en-US" w:eastAsia="zh-CN" w:bidi="ar"/>
              </w:rPr>
              <w:t>2025年预估产量，t</w:t>
            </w:r>
          </w:p>
        </w:tc>
      </w:tr>
      <w:tr w14:paraId="1199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38C1C6A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1</w:t>
            </w:r>
          </w:p>
        </w:tc>
        <w:tc>
          <w:tcPr>
            <w:tcW w:w="1210" w:type="pct"/>
            <w:noWrap w:val="0"/>
            <w:vAlign w:val="center"/>
          </w:tcPr>
          <w:p w14:paraId="363E6A1F">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废溶剂</w:t>
            </w:r>
          </w:p>
        </w:tc>
        <w:tc>
          <w:tcPr>
            <w:tcW w:w="1279" w:type="pct"/>
            <w:noWrap w:val="0"/>
            <w:vAlign w:val="center"/>
          </w:tcPr>
          <w:p w14:paraId="7F13C08E">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HW06废有机溶剂</w:t>
            </w:r>
          </w:p>
        </w:tc>
        <w:tc>
          <w:tcPr>
            <w:tcW w:w="761" w:type="pct"/>
            <w:noWrap w:val="0"/>
            <w:vAlign w:val="center"/>
          </w:tcPr>
          <w:p w14:paraId="3A3624B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900-402-06</w:t>
            </w:r>
          </w:p>
        </w:tc>
        <w:tc>
          <w:tcPr>
            <w:tcW w:w="703" w:type="pct"/>
            <w:noWrap w:val="0"/>
            <w:vAlign w:val="center"/>
          </w:tcPr>
          <w:p w14:paraId="2BCF0137">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T，I，R</w:t>
            </w:r>
          </w:p>
        </w:tc>
        <w:tc>
          <w:tcPr>
            <w:tcW w:w="703" w:type="pct"/>
            <w:noWrap w:val="0"/>
            <w:vAlign w:val="center"/>
          </w:tcPr>
          <w:p w14:paraId="7001DF2E">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92</w:t>
            </w:r>
          </w:p>
        </w:tc>
      </w:tr>
      <w:tr w14:paraId="46B1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68E4024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2</w:t>
            </w:r>
          </w:p>
        </w:tc>
        <w:tc>
          <w:tcPr>
            <w:tcW w:w="1210" w:type="pct"/>
            <w:noWrap w:val="0"/>
            <w:vAlign w:val="center"/>
          </w:tcPr>
          <w:p w14:paraId="572DC6B9">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油水混合物</w:t>
            </w:r>
          </w:p>
        </w:tc>
        <w:tc>
          <w:tcPr>
            <w:tcW w:w="1279" w:type="pct"/>
            <w:noWrap w:val="0"/>
            <w:vAlign w:val="center"/>
          </w:tcPr>
          <w:p w14:paraId="0F8076C9">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HW09油/水、烃/水混合物或乳化液</w:t>
            </w:r>
          </w:p>
        </w:tc>
        <w:tc>
          <w:tcPr>
            <w:tcW w:w="761" w:type="pct"/>
            <w:noWrap w:val="0"/>
            <w:vAlign w:val="center"/>
          </w:tcPr>
          <w:p w14:paraId="6C85CC43">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900-007-09</w:t>
            </w:r>
          </w:p>
        </w:tc>
        <w:tc>
          <w:tcPr>
            <w:tcW w:w="703" w:type="pct"/>
            <w:noWrap w:val="0"/>
            <w:vAlign w:val="center"/>
          </w:tcPr>
          <w:p w14:paraId="5908576E">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w:t>
            </w:r>
          </w:p>
        </w:tc>
        <w:tc>
          <w:tcPr>
            <w:tcW w:w="703" w:type="pct"/>
            <w:noWrap w:val="0"/>
            <w:vAlign w:val="center"/>
          </w:tcPr>
          <w:p w14:paraId="135C2E3B">
            <w:pPr>
              <w:widowControl/>
              <w:adjustRightInd w:val="0"/>
              <w:snapToGrid w:val="0"/>
              <w:jc w:val="left"/>
              <w:textAlignment w:val="center"/>
              <w:rPr>
                <w:rFonts w:hint="eastAsia"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8</w:t>
            </w:r>
          </w:p>
        </w:tc>
      </w:tr>
      <w:tr w14:paraId="0520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792048F0">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3</w:t>
            </w:r>
          </w:p>
        </w:tc>
        <w:tc>
          <w:tcPr>
            <w:tcW w:w="1210" w:type="pct"/>
            <w:noWrap w:val="0"/>
            <w:vAlign w:val="center"/>
          </w:tcPr>
          <w:p w14:paraId="7000E592">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漆渣</w:t>
            </w:r>
          </w:p>
        </w:tc>
        <w:tc>
          <w:tcPr>
            <w:tcW w:w="1279" w:type="pct"/>
            <w:vMerge w:val="restart"/>
            <w:noWrap w:val="0"/>
            <w:vAlign w:val="center"/>
          </w:tcPr>
          <w:p w14:paraId="21CB88F0">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HW12染料、涂料废物</w:t>
            </w:r>
          </w:p>
        </w:tc>
        <w:tc>
          <w:tcPr>
            <w:tcW w:w="761" w:type="pct"/>
            <w:noWrap w:val="0"/>
            <w:vAlign w:val="center"/>
          </w:tcPr>
          <w:p w14:paraId="74950D41">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900-252-12</w:t>
            </w:r>
          </w:p>
        </w:tc>
        <w:tc>
          <w:tcPr>
            <w:tcW w:w="703" w:type="pct"/>
            <w:noWrap w:val="0"/>
            <w:vAlign w:val="center"/>
          </w:tcPr>
          <w:p w14:paraId="28488953">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T，I</w:t>
            </w:r>
          </w:p>
        </w:tc>
        <w:tc>
          <w:tcPr>
            <w:tcW w:w="703" w:type="pct"/>
            <w:noWrap w:val="0"/>
            <w:vAlign w:val="center"/>
          </w:tcPr>
          <w:p w14:paraId="6191937C">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97</w:t>
            </w:r>
          </w:p>
        </w:tc>
      </w:tr>
      <w:tr w14:paraId="052F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0CFE192E">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4</w:t>
            </w:r>
          </w:p>
        </w:tc>
        <w:tc>
          <w:tcPr>
            <w:tcW w:w="1210" w:type="pct"/>
            <w:noWrap w:val="0"/>
            <w:vAlign w:val="center"/>
          </w:tcPr>
          <w:p w14:paraId="71838576">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废油漆</w:t>
            </w:r>
          </w:p>
        </w:tc>
        <w:tc>
          <w:tcPr>
            <w:tcW w:w="1279" w:type="pct"/>
            <w:vMerge w:val="continue"/>
            <w:noWrap w:val="0"/>
            <w:vAlign w:val="center"/>
          </w:tcPr>
          <w:p w14:paraId="4505D24E">
            <w:pPr>
              <w:adjustRightInd w:val="0"/>
              <w:snapToGrid w:val="0"/>
              <w:jc w:val="left"/>
              <w:rPr>
                <w:rFonts w:hint="eastAsia" w:ascii="宋体" w:hAnsi="宋体" w:cs="宋体"/>
                <w:color w:val="000000"/>
                <w:szCs w:val="21"/>
                <w:highlight w:val="none"/>
              </w:rPr>
            </w:pPr>
          </w:p>
        </w:tc>
        <w:tc>
          <w:tcPr>
            <w:tcW w:w="761" w:type="pct"/>
            <w:noWrap w:val="0"/>
            <w:vAlign w:val="center"/>
          </w:tcPr>
          <w:p w14:paraId="5FA6B5C4">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900-299-12</w:t>
            </w:r>
          </w:p>
        </w:tc>
        <w:tc>
          <w:tcPr>
            <w:tcW w:w="703" w:type="pct"/>
            <w:noWrap w:val="0"/>
            <w:vAlign w:val="center"/>
          </w:tcPr>
          <w:p w14:paraId="5D449E28">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w:t>
            </w:r>
          </w:p>
        </w:tc>
        <w:tc>
          <w:tcPr>
            <w:tcW w:w="703" w:type="pct"/>
            <w:noWrap w:val="0"/>
            <w:vAlign w:val="center"/>
          </w:tcPr>
          <w:p w14:paraId="383A9374">
            <w:pPr>
              <w:widowControl/>
              <w:adjustRightInd w:val="0"/>
              <w:snapToGrid w:val="0"/>
              <w:jc w:val="left"/>
              <w:textAlignment w:val="center"/>
              <w:rPr>
                <w:rFonts w:hint="eastAsia"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5</w:t>
            </w:r>
          </w:p>
        </w:tc>
      </w:tr>
      <w:tr w14:paraId="36E5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2B9CDB16">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5</w:t>
            </w:r>
          </w:p>
        </w:tc>
        <w:tc>
          <w:tcPr>
            <w:tcW w:w="1210" w:type="pct"/>
            <w:noWrap w:val="0"/>
            <w:vAlign w:val="center"/>
          </w:tcPr>
          <w:p w14:paraId="210C8F1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废胶</w:t>
            </w:r>
          </w:p>
        </w:tc>
        <w:tc>
          <w:tcPr>
            <w:tcW w:w="1279" w:type="pct"/>
            <w:noWrap w:val="0"/>
            <w:vAlign w:val="center"/>
          </w:tcPr>
          <w:p w14:paraId="23150C39">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HW13有机树脂类废物</w:t>
            </w:r>
          </w:p>
        </w:tc>
        <w:tc>
          <w:tcPr>
            <w:tcW w:w="761" w:type="pct"/>
            <w:noWrap w:val="0"/>
            <w:vAlign w:val="center"/>
          </w:tcPr>
          <w:p w14:paraId="0DFDC51C">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900-014-13</w:t>
            </w:r>
          </w:p>
        </w:tc>
        <w:tc>
          <w:tcPr>
            <w:tcW w:w="703" w:type="pct"/>
            <w:noWrap w:val="0"/>
            <w:vAlign w:val="center"/>
          </w:tcPr>
          <w:p w14:paraId="08B77BA9">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w:t>
            </w:r>
          </w:p>
        </w:tc>
        <w:tc>
          <w:tcPr>
            <w:tcW w:w="703" w:type="pct"/>
            <w:noWrap w:val="0"/>
            <w:vAlign w:val="center"/>
          </w:tcPr>
          <w:p w14:paraId="2AD69B39">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10</w:t>
            </w:r>
          </w:p>
        </w:tc>
      </w:tr>
      <w:tr w14:paraId="0BC0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136F1ABC">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6</w:t>
            </w:r>
          </w:p>
        </w:tc>
        <w:tc>
          <w:tcPr>
            <w:tcW w:w="1210" w:type="pct"/>
            <w:noWrap w:val="0"/>
            <w:vAlign w:val="center"/>
          </w:tcPr>
          <w:p w14:paraId="4B5126F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磷化渣（含镍）、废槽渣、废槽液</w:t>
            </w:r>
          </w:p>
        </w:tc>
        <w:tc>
          <w:tcPr>
            <w:tcW w:w="1279" w:type="pct"/>
            <w:vMerge w:val="restart"/>
            <w:noWrap w:val="0"/>
            <w:vAlign w:val="center"/>
          </w:tcPr>
          <w:p w14:paraId="0D9C042F">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HW17表面处理废物</w:t>
            </w:r>
          </w:p>
        </w:tc>
        <w:tc>
          <w:tcPr>
            <w:tcW w:w="761" w:type="pct"/>
            <w:noWrap w:val="0"/>
            <w:vAlign w:val="center"/>
          </w:tcPr>
          <w:p w14:paraId="02834D58">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336-064-17</w:t>
            </w:r>
          </w:p>
        </w:tc>
        <w:tc>
          <w:tcPr>
            <w:tcW w:w="703" w:type="pct"/>
            <w:noWrap w:val="0"/>
            <w:vAlign w:val="center"/>
          </w:tcPr>
          <w:p w14:paraId="4924F228">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T/C</w:t>
            </w:r>
          </w:p>
        </w:tc>
        <w:tc>
          <w:tcPr>
            <w:tcW w:w="703" w:type="pct"/>
            <w:noWrap w:val="0"/>
            <w:vAlign w:val="center"/>
          </w:tcPr>
          <w:p w14:paraId="22F02772">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40</w:t>
            </w:r>
          </w:p>
        </w:tc>
      </w:tr>
      <w:tr w14:paraId="2734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526D5E14">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7</w:t>
            </w:r>
          </w:p>
        </w:tc>
        <w:tc>
          <w:tcPr>
            <w:tcW w:w="1210" w:type="pct"/>
            <w:noWrap w:val="0"/>
            <w:vAlign w:val="center"/>
          </w:tcPr>
          <w:p w14:paraId="251E4EBF">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废水处理污泥</w:t>
            </w:r>
          </w:p>
        </w:tc>
        <w:tc>
          <w:tcPr>
            <w:tcW w:w="1279" w:type="pct"/>
            <w:vMerge w:val="continue"/>
            <w:noWrap w:val="0"/>
            <w:vAlign w:val="center"/>
          </w:tcPr>
          <w:p w14:paraId="6799F9E4">
            <w:pPr>
              <w:adjustRightInd w:val="0"/>
              <w:snapToGrid w:val="0"/>
              <w:jc w:val="left"/>
              <w:rPr>
                <w:rFonts w:hint="eastAsia" w:ascii="宋体" w:hAnsi="宋体" w:cs="宋体"/>
                <w:color w:val="000000"/>
                <w:szCs w:val="21"/>
                <w:highlight w:val="none"/>
              </w:rPr>
            </w:pPr>
          </w:p>
        </w:tc>
        <w:tc>
          <w:tcPr>
            <w:tcW w:w="761" w:type="pct"/>
            <w:noWrap w:val="0"/>
            <w:vAlign w:val="center"/>
          </w:tcPr>
          <w:p w14:paraId="6D014ECD">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336-064-17</w:t>
            </w:r>
          </w:p>
        </w:tc>
        <w:tc>
          <w:tcPr>
            <w:tcW w:w="703" w:type="pct"/>
            <w:noWrap w:val="0"/>
            <w:vAlign w:val="center"/>
          </w:tcPr>
          <w:p w14:paraId="66B30B4D">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T/C</w:t>
            </w:r>
          </w:p>
        </w:tc>
        <w:tc>
          <w:tcPr>
            <w:tcW w:w="703" w:type="pct"/>
            <w:noWrap w:val="0"/>
            <w:vAlign w:val="center"/>
          </w:tcPr>
          <w:p w14:paraId="0841AE6F">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17</w:t>
            </w:r>
          </w:p>
        </w:tc>
      </w:tr>
      <w:tr w14:paraId="5EBE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7B1A6B50">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8</w:t>
            </w:r>
          </w:p>
        </w:tc>
        <w:tc>
          <w:tcPr>
            <w:tcW w:w="1210" w:type="pct"/>
            <w:noWrap w:val="0"/>
            <w:vAlign w:val="center"/>
          </w:tcPr>
          <w:p w14:paraId="3BC60B7D">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实验室废液</w:t>
            </w:r>
          </w:p>
        </w:tc>
        <w:tc>
          <w:tcPr>
            <w:tcW w:w="1279" w:type="pct"/>
            <w:vMerge w:val="restart"/>
            <w:noWrap w:val="0"/>
            <w:vAlign w:val="center"/>
          </w:tcPr>
          <w:p w14:paraId="6A0CA372">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HW49其他废物</w:t>
            </w:r>
          </w:p>
        </w:tc>
        <w:tc>
          <w:tcPr>
            <w:tcW w:w="761" w:type="pct"/>
            <w:noWrap w:val="0"/>
            <w:vAlign w:val="center"/>
          </w:tcPr>
          <w:p w14:paraId="28B15810">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900-047-49</w:t>
            </w:r>
          </w:p>
        </w:tc>
        <w:tc>
          <w:tcPr>
            <w:tcW w:w="703" w:type="pct"/>
            <w:noWrap w:val="0"/>
            <w:vAlign w:val="center"/>
          </w:tcPr>
          <w:p w14:paraId="37CB2A79">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T/C/I/R</w:t>
            </w:r>
          </w:p>
        </w:tc>
        <w:tc>
          <w:tcPr>
            <w:tcW w:w="703" w:type="pct"/>
            <w:noWrap w:val="0"/>
            <w:vAlign w:val="center"/>
          </w:tcPr>
          <w:p w14:paraId="210377BA">
            <w:pPr>
              <w:widowControl/>
              <w:adjustRightInd w:val="0"/>
              <w:snapToGrid w:val="0"/>
              <w:jc w:val="left"/>
              <w:textAlignment w:val="center"/>
              <w:rPr>
                <w:rFonts w:hint="eastAsia"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3</w:t>
            </w:r>
          </w:p>
        </w:tc>
      </w:tr>
      <w:tr w14:paraId="3A37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413C2A9B">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w:t>
            </w:r>
          </w:p>
        </w:tc>
        <w:tc>
          <w:tcPr>
            <w:tcW w:w="1210" w:type="pct"/>
            <w:noWrap w:val="0"/>
            <w:vAlign w:val="center"/>
          </w:tcPr>
          <w:p w14:paraId="3844F622">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废活性炭</w:t>
            </w:r>
          </w:p>
        </w:tc>
        <w:tc>
          <w:tcPr>
            <w:tcW w:w="1279" w:type="pct"/>
            <w:vMerge w:val="continue"/>
            <w:noWrap w:val="0"/>
            <w:vAlign w:val="center"/>
          </w:tcPr>
          <w:p w14:paraId="44580A66">
            <w:pPr>
              <w:adjustRightInd w:val="0"/>
              <w:snapToGrid w:val="0"/>
              <w:jc w:val="left"/>
              <w:rPr>
                <w:rFonts w:hint="eastAsia" w:ascii="宋体" w:hAnsi="宋体" w:cs="宋体"/>
                <w:color w:val="000000"/>
                <w:szCs w:val="21"/>
                <w:highlight w:val="none"/>
              </w:rPr>
            </w:pPr>
          </w:p>
        </w:tc>
        <w:tc>
          <w:tcPr>
            <w:tcW w:w="761" w:type="pct"/>
            <w:noWrap w:val="0"/>
            <w:vAlign w:val="center"/>
          </w:tcPr>
          <w:p w14:paraId="751B617C">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900-039-49</w:t>
            </w:r>
          </w:p>
        </w:tc>
        <w:tc>
          <w:tcPr>
            <w:tcW w:w="703" w:type="pct"/>
            <w:noWrap w:val="0"/>
            <w:vAlign w:val="center"/>
          </w:tcPr>
          <w:p w14:paraId="026BF66A">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w:t>
            </w:r>
          </w:p>
        </w:tc>
        <w:tc>
          <w:tcPr>
            <w:tcW w:w="703" w:type="pct"/>
            <w:noWrap w:val="0"/>
            <w:vAlign w:val="center"/>
          </w:tcPr>
          <w:p w14:paraId="4164343D">
            <w:pPr>
              <w:widowControl/>
              <w:adjustRightInd w:val="0"/>
              <w:snapToGrid w:val="0"/>
              <w:jc w:val="left"/>
              <w:textAlignment w:val="center"/>
              <w:rPr>
                <w:rFonts w:hint="eastAsia"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4</w:t>
            </w:r>
          </w:p>
        </w:tc>
      </w:tr>
      <w:tr w14:paraId="4713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noWrap/>
            <w:vAlign w:val="center"/>
          </w:tcPr>
          <w:p w14:paraId="7580DBA4">
            <w:pPr>
              <w:adjustRightInd w:val="0"/>
              <w:snapToGrid w:val="0"/>
              <w:jc w:val="left"/>
              <w:rPr>
                <w:rFonts w:ascii="宋体" w:hAnsi="宋体" w:cs="宋体"/>
                <w:color w:val="000000"/>
                <w:szCs w:val="21"/>
                <w:highlight w:val="none"/>
              </w:rPr>
            </w:pPr>
            <w:r>
              <w:rPr>
                <w:rFonts w:hint="eastAsia" w:ascii="宋体" w:hAnsi="宋体" w:cs="宋体"/>
                <w:color w:val="000000"/>
                <w:szCs w:val="21"/>
                <w:highlight w:val="none"/>
              </w:rPr>
              <w:t>10</w:t>
            </w:r>
          </w:p>
        </w:tc>
        <w:tc>
          <w:tcPr>
            <w:tcW w:w="1210" w:type="pct"/>
            <w:noWrap w:val="0"/>
            <w:vAlign w:val="center"/>
          </w:tcPr>
          <w:p w14:paraId="328F11AC">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沾染物（废抹布和废劳保用品、沾染危险化学品等的废包装物、废遮蔽物</w:t>
            </w:r>
            <w:r>
              <w:rPr>
                <w:rFonts w:hint="eastAsia" w:ascii="宋体" w:hAnsi="宋体" w:cs="宋体"/>
                <w:color w:val="000000"/>
                <w:kern w:val="0"/>
                <w:szCs w:val="21"/>
                <w:highlight w:val="none"/>
                <w:lang w:eastAsia="zh-CN" w:bidi="ar"/>
              </w:rPr>
              <w:t>、</w:t>
            </w:r>
            <w:r>
              <w:rPr>
                <w:rFonts w:hint="eastAsia" w:ascii="宋体" w:hAnsi="宋体" w:cs="宋体"/>
                <w:color w:val="000000"/>
                <w:kern w:val="0"/>
                <w:szCs w:val="21"/>
                <w:highlight w:val="none"/>
                <w:lang w:bidi="ar"/>
              </w:rPr>
              <w:t>废过滤棉等）</w:t>
            </w:r>
          </w:p>
        </w:tc>
        <w:tc>
          <w:tcPr>
            <w:tcW w:w="1279" w:type="pct"/>
            <w:vMerge w:val="continue"/>
            <w:noWrap w:val="0"/>
            <w:vAlign w:val="center"/>
          </w:tcPr>
          <w:p w14:paraId="63F56686">
            <w:pPr>
              <w:adjustRightInd w:val="0"/>
              <w:snapToGrid w:val="0"/>
              <w:jc w:val="left"/>
              <w:rPr>
                <w:rFonts w:hint="eastAsia" w:ascii="宋体" w:hAnsi="宋体" w:cs="宋体"/>
                <w:color w:val="000000"/>
                <w:szCs w:val="21"/>
                <w:highlight w:val="none"/>
              </w:rPr>
            </w:pPr>
          </w:p>
        </w:tc>
        <w:tc>
          <w:tcPr>
            <w:tcW w:w="761" w:type="pct"/>
            <w:noWrap w:val="0"/>
            <w:vAlign w:val="center"/>
          </w:tcPr>
          <w:p w14:paraId="334223D4">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900-041-49</w:t>
            </w:r>
          </w:p>
        </w:tc>
        <w:tc>
          <w:tcPr>
            <w:tcW w:w="703" w:type="pct"/>
            <w:noWrap w:val="0"/>
            <w:vAlign w:val="center"/>
          </w:tcPr>
          <w:p w14:paraId="7892DCBC">
            <w:pPr>
              <w:widowControl/>
              <w:adjustRightInd w:val="0"/>
              <w:snapToGrid w:val="0"/>
              <w:jc w:val="left"/>
              <w:textAlignment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T</w:t>
            </w:r>
          </w:p>
        </w:tc>
        <w:tc>
          <w:tcPr>
            <w:tcW w:w="703" w:type="pct"/>
            <w:noWrap w:val="0"/>
            <w:vAlign w:val="center"/>
          </w:tcPr>
          <w:p w14:paraId="0B20B8ED">
            <w:pPr>
              <w:widowControl/>
              <w:adjustRightInd w:val="0"/>
              <w:snapToGrid w:val="0"/>
              <w:jc w:val="left"/>
              <w:textAlignment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20</w:t>
            </w:r>
          </w:p>
        </w:tc>
      </w:tr>
    </w:tbl>
    <w:p w14:paraId="223270CD">
      <w:pPr>
        <w:pStyle w:val="14"/>
        <w:numPr>
          <w:ilvl w:val="0"/>
          <w:numId w:val="0"/>
        </w:numPr>
        <w:spacing w:line="360" w:lineRule="auto"/>
        <w:jc w:val="left"/>
        <w:rPr>
          <w:rFonts w:hint="default" w:hAnsi="宋体"/>
          <w:szCs w:val="21"/>
          <w:highlight w:val="none"/>
          <w:lang w:val="en-US" w:eastAsia="zh-CN"/>
        </w:rPr>
      </w:pPr>
      <w:r>
        <w:rPr>
          <w:rFonts w:hint="eastAsia" w:hAnsi="宋体"/>
          <w:szCs w:val="21"/>
          <w:highlight w:val="none"/>
          <w:lang w:val="en-US" w:eastAsia="zh-CN"/>
        </w:rPr>
        <w:t>备注：1、本表中危险废物类别均为需要委外付费处置危险废物，不包括废矿物油、废铅蓄电池等可售卖以及废包装桶、废含汞荧光灯管等需要单一委托具备相应资质的第三方处置的危险废物。</w:t>
      </w:r>
    </w:p>
    <w:p w14:paraId="163DB222">
      <w:pPr>
        <w:pStyle w:val="14"/>
        <w:numPr>
          <w:ilvl w:val="0"/>
          <w:numId w:val="0"/>
        </w:numPr>
        <w:spacing w:line="360" w:lineRule="auto"/>
        <w:jc w:val="left"/>
        <w:rPr>
          <w:rFonts w:hint="default" w:hAnsi="宋体"/>
          <w:szCs w:val="21"/>
          <w:highlight w:val="none"/>
          <w:lang w:val="en-US" w:eastAsia="zh-CN"/>
        </w:rPr>
      </w:pPr>
      <w:r>
        <w:rPr>
          <w:rFonts w:hint="eastAsia" w:hAnsi="宋体"/>
          <w:szCs w:val="21"/>
          <w:highlight w:val="none"/>
          <w:lang w:val="en-US" w:eastAsia="zh-CN"/>
        </w:rPr>
        <w:t>2、2025年预估产量按照2025年计划生产产量和2024年单车危险废物产生量进行预估。</w:t>
      </w:r>
    </w:p>
    <w:p w14:paraId="51417EB7">
      <w:pPr>
        <w:pStyle w:val="73"/>
        <w:numPr>
          <w:numId w:val="0"/>
        </w:numPr>
        <w:ind w:left="710" w:leftChars="0"/>
      </w:pPr>
    </w:p>
    <w:p w14:paraId="4EC58B63">
      <w:pPr>
        <w:pStyle w:val="73"/>
      </w:pPr>
      <w:r>
        <w:rPr>
          <w:rFonts w:hint="eastAsia"/>
        </w:rPr>
        <w:t>招标形式：</w:t>
      </w:r>
      <w:r>
        <w:rPr>
          <w:rFonts w:hint="eastAsia"/>
          <w:highlight w:val="yellow"/>
        </w:rPr>
        <w:t>公开招标</w:t>
      </w:r>
    </w:p>
    <w:p w14:paraId="0B813421">
      <w:pPr>
        <w:pStyle w:val="72"/>
        <w:rPr>
          <w:highlight w:val="yellow"/>
        </w:rPr>
      </w:pPr>
      <w:bookmarkStart w:id="5" w:name="_Toc47976590"/>
      <w:r>
        <w:rPr>
          <w:rFonts w:hint="eastAsia"/>
          <w:highlight w:val="yellow"/>
        </w:rPr>
        <w:t>投标人资格要求</w:t>
      </w:r>
      <w:bookmarkEnd w:id="5"/>
    </w:p>
    <w:p w14:paraId="2497BB7B">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1.投标方必须是在中华人民共和国境内注册的独立法人机构，具有独立承担民事责任能力。</w:t>
      </w:r>
    </w:p>
    <w:p w14:paraId="48DC58C9">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2.投标方的注册资本不少于500万元人民币（或等值其他货币），近三年（截止到报名时）危险废物处置业绩不少于3个。</w:t>
      </w:r>
    </w:p>
    <w:p w14:paraId="76353396">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3.投标人须具备行政主管部门颁发的有效危险废物经营（收集、贮存及处置）资质，且经营资质范围必须涵盖招标人委托的危废类别范围。</w:t>
      </w:r>
    </w:p>
    <w:p w14:paraId="7723B95D">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4.投标方满足技术、质量、资金等要求，财务状况良好、经营稳定，具有全面履约的能力。</w:t>
      </w:r>
    </w:p>
    <w:p w14:paraId="1C528A84">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5.投标方有专业售后服务团队，满足我司售后服务要求。</w:t>
      </w:r>
    </w:p>
    <w:p w14:paraId="38C3FDD3">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6.投标方信誉良好，无违法违规等不良行为。</w:t>
      </w:r>
    </w:p>
    <w:p w14:paraId="4F627A21">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7.无招标违规、谎报年度报告信息、提供虚假资质资料等行为或其他行政处罚记录。</w:t>
      </w:r>
    </w:p>
    <w:p w14:paraId="7D7158CE">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8.投标方的直接或间接股东、法定代表人、董事、监事、高管非重汽员工及其亲属。</w:t>
      </w:r>
    </w:p>
    <w:p w14:paraId="3A53E91C">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9.没有被中国重汽集团列入黑名单。</w:t>
      </w:r>
    </w:p>
    <w:p w14:paraId="4E0B6918">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10.法律法规对合格投标方的其他要求、规定。</w:t>
      </w:r>
    </w:p>
    <w:p w14:paraId="18352514">
      <w:pPr>
        <w:pStyle w:val="72"/>
        <w:numPr>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11.</w:t>
      </w:r>
      <w:r>
        <w:rPr>
          <w:rFonts w:hint="eastAsia" w:ascii="宋体" w:hAnsi="宋体" w:eastAsia="宋体" w:cs="宋体"/>
          <w:sz w:val="21"/>
          <w:szCs w:val="21"/>
          <w:highlight w:val="none"/>
        </w:rPr>
        <w:t>不接受联合体投标。</w:t>
      </w:r>
    </w:p>
    <w:p w14:paraId="76B97D53">
      <w:pPr>
        <w:pStyle w:val="72"/>
        <w:rPr>
          <w:highlight w:val="yellow"/>
        </w:rPr>
      </w:pPr>
      <w:bookmarkStart w:id="6" w:name="_Toc47976591"/>
      <w:r>
        <w:rPr>
          <w:rFonts w:hint="eastAsia"/>
          <w:highlight w:val="yellow"/>
        </w:rPr>
        <w:t>报名及招标文件的获取</w:t>
      </w:r>
      <w:bookmarkEnd w:id="6"/>
    </w:p>
    <w:p w14:paraId="06CAB1A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w:t>
      </w:r>
      <w:r>
        <w:rPr>
          <w:rFonts w:hint="eastAsia" w:hAnsi="宋体" w:cs="宋体"/>
          <w:b/>
          <w:bCs/>
          <w:szCs w:val="21"/>
          <w:lang w:val="en-US" w:eastAsia="zh-CN"/>
        </w:rPr>
        <w:t>10</w:t>
      </w:r>
      <w:r>
        <w:rPr>
          <w:rFonts w:hint="eastAsia" w:hAnsi="宋体" w:cs="宋体"/>
          <w:b/>
          <w:bCs/>
          <w:szCs w:val="21"/>
        </w:rPr>
        <w:t>月</w:t>
      </w:r>
      <w:r>
        <w:rPr>
          <w:rFonts w:hint="eastAsia" w:hAnsi="宋体" w:cs="宋体"/>
          <w:b/>
          <w:bCs/>
          <w:szCs w:val="21"/>
          <w:lang w:val="en-US" w:eastAsia="zh-CN"/>
        </w:rPr>
        <w:t>18</w:t>
      </w:r>
      <w:bookmarkStart w:id="37" w:name="_GoBack"/>
      <w:bookmarkEnd w:id="37"/>
      <w:r>
        <w:rPr>
          <w:rFonts w:hint="eastAsia" w:hAnsi="宋体" w:cs="宋体"/>
          <w:b/>
          <w:bCs/>
          <w:szCs w:val="21"/>
        </w:rPr>
        <w:t>日下午17点</w:t>
      </w:r>
    </w:p>
    <w:p w14:paraId="2CDA9095">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298925F4">
      <w:pPr>
        <w:pStyle w:val="72"/>
        <w:numPr>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4D5BAEB1">
      <w:pPr>
        <w:pStyle w:val="72"/>
        <w:numPr>
          <w:numId w:val="0"/>
        </w:numPr>
        <w:ind w:leftChars="0"/>
        <w:rPr>
          <w:rFonts w:hint="eastAsia" w:ascii="宋体" w:hAnsi="宋体" w:eastAsia="宋体" w:cs="宋体"/>
          <w:sz w:val="21"/>
          <w:szCs w:val="21"/>
          <w:highlight w:val="yellow"/>
        </w:rPr>
      </w:pPr>
      <w:r>
        <w:rPr>
          <w:rFonts w:hint="eastAsia" w:ascii="宋体" w:hAnsi="宋体" w:eastAsia="宋体" w:cs="宋体"/>
          <w:b/>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5073525A">
      <w:pPr>
        <w:pStyle w:val="72"/>
        <w:rPr>
          <w:highlight w:val="yellow"/>
        </w:rPr>
      </w:pPr>
      <w:r>
        <w:rPr>
          <w:rFonts w:hint="eastAsia"/>
          <w:highlight w:val="yellow"/>
          <w:lang w:val="en-US" w:eastAsia="zh-CN"/>
        </w:rPr>
        <w:t>开标时间和地点</w:t>
      </w:r>
    </w:p>
    <w:p w14:paraId="12B0FF18">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13</w:t>
      </w:r>
      <w:r>
        <w:rPr>
          <w:rFonts w:hint="eastAsia" w:ascii="宋体" w:hAnsi="宋体" w:eastAsia="宋体" w:cs="宋体"/>
          <w:sz w:val="21"/>
          <w:szCs w:val="21"/>
          <w:highlight w:val="yellow"/>
        </w:rPr>
        <w:t>日9:00:00</w:t>
      </w:r>
    </w:p>
    <w:p w14:paraId="5E5D6D6B">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22385406">
      <w:pPr>
        <w:pStyle w:val="72"/>
      </w:pPr>
      <w:bookmarkStart w:id="8" w:name="_Toc47976593"/>
      <w:r>
        <w:rPr>
          <w:rFonts w:hint="eastAsia"/>
        </w:rPr>
        <w:t>招标公告发布媒介</w:t>
      </w:r>
      <w:bookmarkEnd w:id="8"/>
    </w:p>
    <w:p w14:paraId="15C59335">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65FC2213">
      <w:pPr>
        <w:pStyle w:val="72"/>
        <w:rPr>
          <w:highlight w:val="yellow"/>
        </w:rPr>
      </w:pPr>
      <w:bookmarkStart w:id="9" w:name="_Toc47976594"/>
      <w:r>
        <w:rPr>
          <w:rFonts w:hint="eastAsia"/>
          <w:highlight w:val="yellow"/>
        </w:rPr>
        <w:t>联系方式</w:t>
      </w:r>
      <w:bookmarkEnd w:id="9"/>
    </w:p>
    <w:p w14:paraId="467084F2">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6FF52CC">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669BF84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CE0E42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CAE25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242C6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周英</w:t>
      </w:r>
    </w:p>
    <w:p w14:paraId="62F80E4E">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电话：15730385281</w:t>
      </w:r>
    </w:p>
    <w:p w14:paraId="5F538BD8">
      <w:pPr>
        <w:pStyle w:val="72"/>
        <w:numPr>
          <w:numId w:val="0"/>
        </w:numPr>
        <w:ind w:leftChars="0" w:firstLine="422" w:firstLineChars="200"/>
      </w:pPr>
      <w:r>
        <w:rPr>
          <w:rFonts w:hint="eastAsia" w:ascii="宋体" w:hAnsi="宋体" w:eastAsia="宋体" w:cs="宋体"/>
          <w:b/>
          <w:bCs/>
          <w:sz w:val="21"/>
          <w:szCs w:val="21"/>
        </w:rPr>
        <w:t>邮箱：zhouying1@sinotruk.com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13</w:t>
      </w:r>
      <w:r>
        <w:rPr>
          <w:rFonts w:hint="eastAsia"/>
        </w:rPr>
        <w:t>日</w:t>
      </w:r>
    </w:p>
    <w:p w14:paraId="73B695ED">
      <w:r>
        <w:br w:type="page"/>
      </w: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2025年危险废物处置项目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FSCZB2025100022</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lang w:val="en-US" w:eastAsia="zh-CN"/>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none"/>
        </w:rPr>
        <w:t>重汽（重庆）轻型汽车有限公司位于重庆市江津区双福生产基地在进行生产经营活动中，会产生危险废物。现委托中标人，对招标人经营过程中产生的废溶剂、油水混合物、漆渣、废油漆、废胶等按国家相关规定要求处理/处置，并承担相应的责任。并同时承担运输过程中的安全、环保及其他相关责任。</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49EA903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6C87215E">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05D35AF8">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3B81A86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856A11F">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1D428AA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周英</w:t>
      </w:r>
    </w:p>
    <w:p w14:paraId="4AC2D1D9">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电话：15730385281</w:t>
      </w:r>
    </w:p>
    <w:p w14:paraId="0D517860">
      <w:pPr>
        <w:pStyle w:val="76"/>
        <w:numPr>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邮箱：zhouying1@sinotruk.com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none"/>
        </w:rPr>
        <w:t>万人民币（或等值其他货币）；公司成立</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6D75D9D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近三年（截止到报名时）危险废物处置业绩不少于3个。</w:t>
      </w:r>
    </w:p>
    <w:p w14:paraId="78F48A9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投标人须具备行政主管部门颁发的有效危险废物经营（收集、贮存及处置）资质，且经营资质范围必须涵盖招标人委托的危废类别范围。</w:t>
      </w:r>
    </w:p>
    <w:p w14:paraId="01A7CCB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投标方有专业售后服务团队，满足我司售后服务要求。</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13</w:t>
      </w:r>
      <w:r>
        <w:rPr>
          <w:rFonts w:hint="eastAsia" w:ascii="宋体" w:hAnsi="Courier New" w:eastAsia="宋体" w:cs="Times New Roman"/>
          <w:highlight w:val="yellow"/>
          <w:lang w:val="en-US" w:eastAsia="zh-CN"/>
        </w:rPr>
        <w:t>日</w:t>
      </w:r>
    </w:p>
    <w:p w14:paraId="06F551C0">
      <w:pPr>
        <w:pStyle w:val="76"/>
        <w:numPr>
          <w:ilvl w:val="0"/>
          <w:numId w:val="15"/>
        </w:numPr>
        <w:jc w:val="both"/>
        <w:rPr>
          <w:highlight w:val="yellow"/>
        </w:rPr>
      </w:pPr>
      <w:r>
        <w:rPr>
          <w:rFonts w:hint="eastAsia"/>
          <w:highlight w:val="yellow"/>
        </w:rPr>
        <w:t>招标文件领取方式：线上</w:t>
      </w:r>
    </w:p>
    <w:p w14:paraId="5BA032BB">
      <w:pPr>
        <w:pStyle w:val="76"/>
        <w:ind w:firstLine="210" w:firstLineChars="100"/>
        <w:jc w:val="both"/>
        <w:rPr>
          <w:highlight w:val="yellow"/>
        </w:rPr>
      </w:pPr>
      <w:r>
        <w:rPr>
          <w:rFonts w:hint="eastAsia"/>
          <w:highlight w:val="yellow"/>
        </w:rPr>
        <w:t>地点：中国重汽e采通平台</w:t>
      </w:r>
    </w:p>
    <w:p w14:paraId="5C2ED88E">
      <w:pPr>
        <w:pStyle w:val="76"/>
        <w:numPr>
          <w:ilvl w:val="0"/>
          <w:numId w:val="0"/>
        </w:numPr>
        <w:ind w:leftChars="0" w:firstLine="210" w:firstLineChars="100"/>
        <w:jc w:val="both"/>
        <w:rPr>
          <w:rFonts w:hint="default" w:ascii="宋体" w:hAnsi="Courier New" w:eastAsia="宋体" w:cs="Times New Roman"/>
          <w:highlight w:val="yellow"/>
          <w:lang w:val="en-US" w:eastAsia="zh-CN"/>
        </w:rPr>
      </w:pPr>
      <w:r>
        <w:rPr>
          <w:rFonts w:hint="eastAsia"/>
          <w:highlight w:val="yellow"/>
        </w:rPr>
        <w:t>领取截止时间：2025年</w:t>
      </w:r>
      <w:r>
        <w:rPr>
          <w:rFonts w:hint="eastAsia"/>
          <w:highlight w:val="yellow"/>
          <w:lang w:val="en-US" w:eastAsia="zh-CN"/>
        </w:rPr>
        <w:t>10</w:t>
      </w:r>
      <w:r>
        <w:rPr>
          <w:rFonts w:hint="eastAsia"/>
          <w:highlight w:val="yellow"/>
        </w:rPr>
        <w:t>月</w:t>
      </w:r>
      <w:r>
        <w:rPr>
          <w:rFonts w:hint="eastAsia"/>
          <w:highlight w:val="yellow"/>
          <w:lang w:val="en-US" w:eastAsia="zh-CN"/>
        </w:rPr>
        <w:t>18</w:t>
      </w:r>
      <w:r>
        <w:rPr>
          <w:rFonts w:hint="eastAsia"/>
          <w:highlight w:val="yellow"/>
        </w:rPr>
        <w:t>日</w:t>
      </w:r>
    </w:p>
    <w:p w14:paraId="7BBFEC4F">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23</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w:t>
      </w:r>
      <w:r>
        <w:rPr>
          <w:rFonts w:hint="eastAsia" w:ascii="宋体" w:hAnsi="宋体" w:eastAsia="宋体" w:cs="宋体"/>
          <w:bCs/>
          <w:sz w:val="21"/>
          <w:szCs w:val="21"/>
          <w:highlight w:val="yellow"/>
          <w:lang w:val="en-US" w:eastAsia="zh-CN"/>
        </w:rPr>
        <w:t>2</w:t>
      </w:r>
      <w:r>
        <w:rPr>
          <w:rFonts w:hint="eastAsia" w:ascii="宋体" w:hAnsi="宋体" w:eastAsia="宋体" w:cs="宋体"/>
          <w:bCs/>
          <w:sz w:val="21"/>
          <w:szCs w:val="21"/>
          <w:highlight w:val="yellow"/>
        </w:rPr>
        <w:t>:00:00</w:t>
      </w:r>
      <w:r>
        <w:rPr>
          <w:rFonts w:hint="eastAsia" w:ascii="宋体" w:hAnsi="Courier New" w:eastAsia="宋体" w:cs="Times New Roman"/>
          <w:highlight w:val="yellow"/>
          <w:lang w:val="en-US" w:eastAsia="zh-CN"/>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2025年10月</w:t>
      </w:r>
      <w:r>
        <w:rPr>
          <w:rFonts w:hint="eastAsia"/>
          <w:highlight w:val="yellow"/>
          <w:lang w:val="en-US" w:eastAsia="zh-CN"/>
        </w:rPr>
        <w:t>23</w:t>
      </w:r>
      <w:r>
        <w:rPr>
          <w:rFonts w:hint="eastAsia"/>
          <w:highlight w:val="yellow"/>
        </w:rPr>
        <w:t>日</w:t>
      </w:r>
      <w:r>
        <w:rPr>
          <w:rFonts w:hint="eastAsia" w:ascii="宋体" w:hAnsi="宋体" w:eastAsia="宋体" w:cs="宋体"/>
          <w:bCs/>
          <w:sz w:val="21"/>
          <w:szCs w:val="21"/>
          <w:highlight w:val="yellow"/>
        </w:rPr>
        <w:t>17:00:00</w:t>
      </w:r>
      <w:r>
        <w:rPr>
          <w:rFonts w:hint="eastAsia"/>
          <w:highlight w:val="yellow"/>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50653E88">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highlight w:val="yellow"/>
        </w:rPr>
        <w:t>在“中国重汽e采通”平台报名</w:t>
      </w:r>
    </w:p>
    <w:p w14:paraId="37E44D95">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w:t>
      </w:r>
      <w:r>
        <w:rPr>
          <w:rFonts w:hint="eastAsia" w:hAnsi="宋体" w:cs="宋体"/>
          <w:sz w:val="24"/>
          <w:szCs w:val="24"/>
          <w:highlight w:val="yellow"/>
        </w:rPr>
        <w:t>2025年</w:t>
      </w:r>
      <w:r>
        <w:rPr>
          <w:rFonts w:hint="eastAsia" w:hAnsi="宋体" w:cs="宋体"/>
          <w:sz w:val="24"/>
          <w:szCs w:val="24"/>
          <w:highlight w:val="yellow"/>
          <w:lang w:val="en-US" w:eastAsia="zh-CN"/>
        </w:rPr>
        <w:t>10</w:t>
      </w:r>
      <w:r>
        <w:rPr>
          <w:rFonts w:hint="eastAsia" w:hAnsi="宋体" w:cs="宋体"/>
          <w:sz w:val="24"/>
          <w:szCs w:val="24"/>
          <w:highlight w:val="yellow"/>
        </w:rPr>
        <w:t>月</w:t>
      </w:r>
      <w:r>
        <w:rPr>
          <w:rFonts w:hint="eastAsia" w:hAnsi="宋体" w:cs="宋体"/>
          <w:sz w:val="24"/>
          <w:szCs w:val="24"/>
          <w:highlight w:val="yellow"/>
          <w:lang w:val="en-US" w:eastAsia="zh-CN"/>
        </w:rPr>
        <w:t>18</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cs="Times New Roman"/>
          <w:b w:val="0"/>
          <w:bCs/>
          <w:highlight w:val="yellow"/>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34.768</w:t>
      </w:r>
      <w:r>
        <w:rPr>
          <w:rFonts w:hint="eastAsia" w:cs="Times New Roman"/>
          <w:b w:val="0"/>
          <w:bCs/>
          <w:highlight w:val="none"/>
        </w:rPr>
        <w:t>万元（含</w:t>
      </w:r>
      <w:r>
        <w:rPr>
          <w:rFonts w:hint="eastAsia" w:cs="Times New Roman"/>
          <w:b w:val="0"/>
          <w:bCs/>
          <w:highlight w:val="yellow"/>
          <w:u w:val="single"/>
          <w:lang w:val="en-US" w:eastAsia="zh-CN"/>
        </w:rPr>
        <w:t>6</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15D88EA">
      <w:pPr>
        <w:pStyle w:val="75"/>
        <w:numPr>
          <w:ilvl w:val="0"/>
          <w:numId w:val="22"/>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4B85DE38">
      <w:pPr>
        <w:pStyle w:val="75"/>
        <w:numPr>
          <w:ilvl w:val="0"/>
          <w:numId w:val="22"/>
        </w:numPr>
        <w:rPr>
          <w:rFonts w:hint="default" w:cs="Times New Roman"/>
          <w:b w:val="0"/>
          <w:lang w:val="en-US" w:eastAsia="zh-CN"/>
        </w:rPr>
      </w:pPr>
      <w:r>
        <w:rPr>
          <w:rFonts w:hint="eastAsia"/>
          <w:bCs/>
          <w:highlight w:val="none"/>
        </w:rPr>
        <w:t>联系人及联系方式：郭朝琛/15275666282</w:t>
      </w:r>
    </w:p>
    <w:p w14:paraId="6424068A">
      <w:pPr>
        <w:pStyle w:val="75"/>
        <w:numPr>
          <w:ilvl w:val="0"/>
          <w:numId w:val="22"/>
        </w:numPr>
        <w:rPr>
          <w:rFonts w:hint="default" w:cs="Times New Roman"/>
          <w:b w:val="0"/>
          <w:lang w:val="en-US" w:eastAsia="zh-CN"/>
        </w:rPr>
      </w:pPr>
      <w:r>
        <w:rPr>
          <w:rFonts w:hint="eastAsia"/>
          <w:bCs/>
          <w:highlight w:val="none"/>
        </w:rPr>
        <w:t>投标文件递交截止时间：</w:t>
      </w:r>
      <w:r>
        <w:rPr>
          <w:rFonts w:hint="eastAsia"/>
          <w:bCs/>
          <w:highlight w:val="yellow"/>
        </w:rPr>
        <w:t>2025年1</w:t>
      </w:r>
      <w:r>
        <w:rPr>
          <w:rFonts w:hint="eastAsia"/>
          <w:bCs/>
          <w:highlight w:val="yellow"/>
          <w:lang w:val="en-US" w:eastAsia="zh-CN"/>
        </w:rPr>
        <w:t>1</w:t>
      </w:r>
      <w:r>
        <w:rPr>
          <w:rFonts w:hint="eastAsia"/>
          <w:bCs/>
          <w:highlight w:val="yellow"/>
        </w:rPr>
        <w:t>月</w:t>
      </w:r>
      <w:r>
        <w:rPr>
          <w:rFonts w:hint="eastAsia"/>
          <w:bCs/>
          <w:highlight w:val="yellow"/>
          <w:lang w:val="en-US" w:eastAsia="zh-CN"/>
        </w:rPr>
        <w:t>13</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w:t>
      </w:r>
      <w:r>
        <w:rPr>
          <w:rFonts w:hint="eastAsia" w:ascii="宋体" w:hAnsi="宋体" w:eastAsia="宋体" w:cs="宋体"/>
          <w:b w:val="0"/>
          <w:bCs w:val="0"/>
          <w:sz w:val="21"/>
          <w:szCs w:val="21"/>
          <w:highlight w:val="none"/>
        </w:rPr>
        <w:t>元</w:t>
      </w:r>
    </w:p>
    <w:p w14:paraId="20472740">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34045B41">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B307584">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1DB7311D">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13</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bCs/>
          <w:sz w:val="21"/>
          <w:szCs w:val="21"/>
          <w:highlight w:val="none"/>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30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10049441">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lang w:val="en-US" w:eastAsia="zh-CN"/>
        </w:rPr>
        <w:t>开标时间：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13</w:t>
      </w:r>
      <w:r>
        <w:rPr>
          <w:rFonts w:hint="eastAsia" w:ascii="宋体" w:hAnsi="宋体" w:eastAsia="宋体" w:cs="宋体"/>
          <w:b w:val="0"/>
          <w:bCs w:val="0"/>
          <w:sz w:val="21"/>
          <w:szCs w:val="21"/>
          <w:highlight w:val="yellow"/>
        </w:rPr>
        <w:t>日9:00:00</w:t>
      </w:r>
    </w:p>
    <w:p w14:paraId="211BD09E">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1A7C6FA9">
      <w:pPr>
        <w:pStyle w:val="72"/>
        <w:numPr>
          <w:ilvl w:val="0"/>
          <w:numId w:val="0"/>
        </w:numPr>
        <w:ind w:left="59" w:leftChars="0"/>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7"/>
      <w:bookmarkStart w:id="17" w:name="OLE_LINK25"/>
      <w:bookmarkStart w:id="18" w:name="OLE_LINK28"/>
      <w:bookmarkStart w:id="19" w:name="OLE_LINK29"/>
      <w:bookmarkStart w:id="20" w:name="OLE_LINK26"/>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23"/>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付款节点：</w:t>
      </w:r>
    </w:p>
    <w:p w14:paraId="7655CA1B">
      <w:pPr>
        <w:pStyle w:val="6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sz w:val="21"/>
          <w:szCs w:val="21"/>
          <w:highlight w:val="none"/>
        </w:rPr>
        <w:t>按月度结算，中标人完成当月委托的危废处置，次月招标人组织验收，验收合格后通知中标人开具增值税专用发票到招标人财务挂账，挂账后次月支付。</w:t>
      </w:r>
    </w:p>
    <w:p w14:paraId="32AC39AF">
      <w:pPr>
        <w:pStyle w:val="62"/>
        <w:keepNext w:val="0"/>
        <w:keepLines w:val="0"/>
        <w:pageBreakBefore w:val="0"/>
        <w:widowControl w:val="0"/>
        <w:numPr>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243FF35F">
      <w:pPr>
        <w:rPr>
          <w:rFonts w:hint="eastAsia"/>
        </w:rPr>
      </w:pPr>
      <w:bookmarkStart w:id="21" w:name="_Toc47976607"/>
      <w:r>
        <w:rPr>
          <w:rFonts w:hint="eastAsia"/>
        </w:rPr>
        <w:br w:type="page"/>
      </w: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w:t>
      </w:r>
      <w:bookmarkEnd w:id="22"/>
      <w:r>
        <w:rPr>
          <w:rFonts w:hint="eastAsia"/>
          <w:lang w:val="en-US" w:eastAsia="zh-CN"/>
        </w:rPr>
        <w:t>要求</w:t>
      </w:r>
    </w:p>
    <w:p w14:paraId="765E5460">
      <w:pPr>
        <w:spacing w:line="580" w:lineRule="exact"/>
        <w:jc w:val="center"/>
        <w:rPr>
          <w:rFonts w:hint="eastAsia" w:ascii="方正小标宋简体" w:hAnsi="Calibri" w:eastAsia="方正小标宋简体"/>
          <w:sz w:val="44"/>
          <w:szCs w:val="44"/>
          <w:highlight w:val="none"/>
          <w:lang w:val="en-US" w:eastAsia="zh-CN"/>
        </w:rPr>
      </w:pPr>
      <w:r>
        <w:rPr>
          <w:rFonts w:hint="eastAsia" w:ascii="方正小标宋简体" w:hAnsi="Calibri" w:eastAsia="方正小标宋简体"/>
          <w:sz w:val="44"/>
          <w:szCs w:val="44"/>
          <w:highlight w:val="none"/>
        </w:rPr>
        <w:t>2025年危险废物处置项目技术</w:t>
      </w:r>
      <w:r>
        <w:rPr>
          <w:rFonts w:hint="eastAsia" w:ascii="方正小标宋简体" w:hAnsi="Calibri" w:eastAsia="方正小标宋简体"/>
          <w:sz w:val="44"/>
          <w:szCs w:val="44"/>
          <w:highlight w:val="none"/>
          <w:lang w:val="en-US" w:eastAsia="zh-CN"/>
        </w:rPr>
        <w:t>标要求</w:t>
      </w:r>
    </w:p>
    <w:p w14:paraId="451A0650">
      <w:pPr>
        <w:spacing w:line="580" w:lineRule="exact"/>
        <w:jc w:val="center"/>
        <w:rPr>
          <w:rFonts w:hint="eastAsia" w:ascii="方正小标宋简体" w:hAnsi="Calibri" w:eastAsia="方正小标宋简体"/>
          <w:sz w:val="44"/>
          <w:szCs w:val="44"/>
          <w:highlight w:val="none"/>
          <w:lang w:val="en-US" w:eastAsia="zh-CN"/>
        </w:rPr>
      </w:pPr>
    </w:p>
    <w:p w14:paraId="6237A4EA">
      <w:pPr>
        <w:pStyle w:val="14"/>
        <w:spacing w:line="360" w:lineRule="auto"/>
        <w:rPr>
          <w:rFonts w:hint="eastAsia" w:ascii="黑体" w:hAnsi="黑体" w:eastAsia="黑体" w:cs="Times New Roman"/>
          <w:kern w:val="2"/>
          <w:sz w:val="32"/>
          <w:szCs w:val="32"/>
          <w:highlight w:val="none"/>
          <w:lang w:val="en-US" w:eastAsia="zh-CN" w:bidi="ar-SA"/>
        </w:rPr>
      </w:pPr>
      <w:r>
        <w:rPr>
          <w:rFonts w:hint="eastAsia" w:ascii="黑体" w:hAnsi="黑体" w:eastAsia="黑体" w:cs="Times New Roman"/>
          <w:kern w:val="2"/>
          <w:sz w:val="32"/>
          <w:szCs w:val="32"/>
          <w:highlight w:val="none"/>
          <w:lang w:val="en-US" w:eastAsia="zh-CN" w:bidi="ar-SA"/>
        </w:rPr>
        <w:t>一、目标</w:t>
      </w:r>
    </w:p>
    <w:p w14:paraId="6091A525">
      <w:pPr>
        <w:pStyle w:val="14"/>
        <w:spacing w:line="360" w:lineRule="auto"/>
        <w:ind w:firstLine="640" w:firstLineChars="200"/>
        <w:jc w:val="left"/>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为了公司危险废物能得到合规安全处置和资源化利用，进一步改善环境质量，保障环境安全、人民健康，根据《中华人民共和国环境保护法》《中华人民共和国固体废物污染环境防治法》等法律法规，编制本技术标要求。</w:t>
      </w:r>
    </w:p>
    <w:p w14:paraId="0CDB09F5">
      <w:pPr>
        <w:pStyle w:val="14"/>
        <w:numPr>
          <w:ilvl w:val="0"/>
          <w:numId w:val="29"/>
        </w:numPr>
        <w:spacing w:line="360" w:lineRule="auto"/>
        <w:jc w:val="left"/>
        <w:rPr>
          <w:rFonts w:hint="eastAsia" w:ascii="黑体" w:hAnsi="黑体" w:eastAsia="黑体" w:cs="Times New Roman"/>
          <w:kern w:val="2"/>
          <w:sz w:val="32"/>
          <w:szCs w:val="32"/>
          <w:highlight w:val="none"/>
          <w:lang w:val="en-US" w:eastAsia="zh-CN" w:bidi="ar-SA"/>
        </w:rPr>
      </w:pPr>
      <w:r>
        <w:rPr>
          <w:rFonts w:hint="eastAsia" w:ascii="黑体" w:hAnsi="黑体" w:eastAsia="黑体" w:cs="Times New Roman"/>
          <w:kern w:val="2"/>
          <w:sz w:val="32"/>
          <w:szCs w:val="32"/>
          <w:highlight w:val="none"/>
          <w:lang w:val="en-US" w:eastAsia="zh-CN" w:bidi="ar-SA"/>
        </w:rPr>
        <w:t>项目简介</w:t>
      </w:r>
    </w:p>
    <w:p w14:paraId="34C9E2C6">
      <w:pPr>
        <w:pStyle w:val="14"/>
        <w:numPr>
          <w:ilvl w:val="0"/>
          <w:numId w:val="0"/>
        </w:numPr>
        <w:spacing w:line="360" w:lineRule="auto"/>
        <w:ind w:firstLine="640" w:firstLineChars="200"/>
        <w:jc w:val="left"/>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公司属于汽车整车制造业，为重庆市及国家危险废物重点管理单位，在企业日常生产过程中将持续产生危险废物，产生的危险废物种类有废溶剂、漆渣、废水处理污泥等，本项目危险废物种类等具体情况见表1。</w:t>
      </w:r>
    </w:p>
    <w:p w14:paraId="69402A4F">
      <w:pPr>
        <w:pStyle w:val="14"/>
        <w:numPr>
          <w:ilvl w:val="0"/>
          <w:numId w:val="0"/>
        </w:numPr>
        <w:spacing w:line="360" w:lineRule="auto"/>
        <w:ind w:firstLine="480" w:firstLineChars="200"/>
        <w:jc w:val="left"/>
        <w:rPr>
          <w:rFonts w:hint="default" w:hAnsi="宋体"/>
          <w:sz w:val="24"/>
          <w:szCs w:val="24"/>
          <w:highlight w:val="none"/>
          <w:lang w:val="en-US" w:eastAsia="zh-CN"/>
        </w:rPr>
      </w:pPr>
      <w:r>
        <w:rPr>
          <w:rFonts w:hint="eastAsia" w:hAnsi="宋体"/>
          <w:sz w:val="24"/>
          <w:szCs w:val="24"/>
          <w:highlight w:val="none"/>
          <w:lang w:val="en-US" w:eastAsia="zh-CN"/>
        </w:rPr>
        <w:t>表1        2025年危险废物处置项目危险废物产生情况一览表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2248"/>
        <w:gridCol w:w="2376"/>
        <w:gridCol w:w="1414"/>
        <w:gridCol w:w="1306"/>
        <w:gridCol w:w="1306"/>
      </w:tblGrid>
      <w:tr w14:paraId="656C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171FBE6E">
            <w:pPr>
              <w:widowControl/>
              <w:adjustRightInd w:val="0"/>
              <w:snapToGrid w:val="0"/>
              <w:jc w:val="left"/>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序号</w:t>
            </w:r>
          </w:p>
        </w:tc>
        <w:tc>
          <w:tcPr>
            <w:tcW w:w="1210" w:type="pct"/>
            <w:noWrap w:val="0"/>
            <w:vAlign w:val="center"/>
          </w:tcPr>
          <w:p w14:paraId="741EE5F9">
            <w:pPr>
              <w:widowControl/>
              <w:adjustRightInd w:val="0"/>
              <w:snapToGrid w:val="0"/>
              <w:jc w:val="left"/>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危险废物名称</w:t>
            </w:r>
          </w:p>
        </w:tc>
        <w:tc>
          <w:tcPr>
            <w:tcW w:w="1279" w:type="pct"/>
            <w:noWrap w:val="0"/>
            <w:vAlign w:val="center"/>
          </w:tcPr>
          <w:p w14:paraId="7864389A">
            <w:pPr>
              <w:widowControl/>
              <w:adjustRightInd w:val="0"/>
              <w:snapToGrid w:val="0"/>
              <w:jc w:val="left"/>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危险废物类别</w:t>
            </w:r>
          </w:p>
        </w:tc>
        <w:tc>
          <w:tcPr>
            <w:tcW w:w="761" w:type="pct"/>
            <w:noWrap w:val="0"/>
            <w:vAlign w:val="center"/>
          </w:tcPr>
          <w:p w14:paraId="5CA41AC6">
            <w:pPr>
              <w:widowControl/>
              <w:adjustRightInd w:val="0"/>
              <w:snapToGrid w:val="0"/>
              <w:jc w:val="left"/>
              <w:textAlignment w:val="center"/>
              <w:rPr>
                <w:rFonts w:hint="eastAsia" w:ascii="宋体" w:hAnsi="宋体" w:cs="宋体"/>
                <w:b/>
                <w:bCs/>
                <w:color w:val="000000"/>
                <w:szCs w:val="21"/>
                <w:highlight w:val="none"/>
              </w:rPr>
            </w:pPr>
            <w:r>
              <w:rPr>
                <w:rFonts w:hint="eastAsia" w:ascii="宋体" w:hAnsi="宋体" w:cs="宋体"/>
                <w:b/>
                <w:bCs/>
                <w:color w:val="000000"/>
                <w:kern w:val="0"/>
                <w:szCs w:val="21"/>
                <w:highlight w:val="none"/>
                <w:lang w:bidi="ar"/>
              </w:rPr>
              <w:t>危险废物代码</w:t>
            </w:r>
          </w:p>
        </w:tc>
        <w:tc>
          <w:tcPr>
            <w:tcW w:w="703" w:type="pct"/>
            <w:noWrap w:val="0"/>
            <w:vAlign w:val="center"/>
          </w:tcPr>
          <w:p w14:paraId="4CB00132">
            <w:pPr>
              <w:widowControl/>
              <w:adjustRightInd w:val="0"/>
              <w:snapToGrid w:val="0"/>
              <w:jc w:val="left"/>
              <w:textAlignment w:val="center"/>
              <w:rPr>
                <w:rFonts w:hint="default" w:ascii="宋体" w:hAnsi="宋体" w:cs="宋体"/>
                <w:b/>
                <w:bCs/>
                <w:color w:val="000000"/>
                <w:kern w:val="0"/>
                <w:szCs w:val="21"/>
                <w:highlight w:val="none"/>
                <w:lang w:val="en-US" w:eastAsia="zh-CN" w:bidi="ar"/>
              </w:rPr>
            </w:pPr>
            <w:r>
              <w:rPr>
                <w:rFonts w:hint="eastAsia" w:ascii="宋体" w:hAnsi="宋体" w:cs="宋体"/>
                <w:b/>
                <w:bCs/>
                <w:color w:val="000000"/>
                <w:kern w:val="0"/>
                <w:szCs w:val="21"/>
                <w:highlight w:val="none"/>
                <w:lang w:val="en-US" w:eastAsia="zh-CN" w:bidi="ar"/>
              </w:rPr>
              <w:t>危险废物特性</w:t>
            </w:r>
          </w:p>
        </w:tc>
        <w:tc>
          <w:tcPr>
            <w:tcW w:w="703" w:type="pct"/>
            <w:noWrap w:val="0"/>
            <w:vAlign w:val="center"/>
          </w:tcPr>
          <w:p w14:paraId="15B8E21A">
            <w:pPr>
              <w:widowControl/>
              <w:adjustRightInd w:val="0"/>
              <w:snapToGrid w:val="0"/>
              <w:jc w:val="left"/>
              <w:textAlignment w:val="center"/>
              <w:rPr>
                <w:rFonts w:hint="default" w:ascii="宋体" w:hAnsi="宋体" w:eastAsia="宋体" w:cs="宋体"/>
                <w:b/>
                <w:bCs/>
                <w:color w:val="000000"/>
                <w:kern w:val="0"/>
                <w:szCs w:val="21"/>
                <w:highlight w:val="none"/>
                <w:lang w:val="en-US" w:eastAsia="zh-CN" w:bidi="ar"/>
              </w:rPr>
            </w:pPr>
            <w:r>
              <w:rPr>
                <w:rFonts w:hint="eastAsia" w:ascii="宋体" w:hAnsi="宋体" w:cs="宋体"/>
                <w:b/>
                <w:bCs/>
                <w:color w:val="000000"/>
                <w:kern w:val="0"/>
                <w:szCs w:val="21"/>
                <w:highlight w:val="none"/>
                <w:lang w:val="en-US" w:eastAsia="zh-CN" w:bidi="ar"/>
              </w:rPr>
              <w:t>2025年预估产量，t</w:t>
            </w:r>
          </w:p>
        </w:tc>
      </w:tr>
      <w:tr w14:paraId="64E9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63DB252B">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1</w:t>
            </w:r>
          </w:p>
        </w:tc>
        <w:tc>
          <w:tcPr>
            <w:tcW w:w="1210" w:type="pct"/>
            <w:noWrap w:val="0"/>
            <w:vAlign w:val="center"/>
          </w:tcPr>
          <w:p w14:paraId="57EB88BF">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废溶剂</w:t>
            </w:r>
          </w:p>
        </w:tc>
        <w:tc>
          <w:tcPr>
            <w:tcW w:w="1279" w:type="pct"/>
            <w:noWrap w:val="0"/>
            <w:vAlign w:val="center"/>
          </w:tcPr>
          <w:p w14:paraId="686687DD">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HW06废有机溶剂</w:t>
            </w:r>
          </w:p>
        </w:tc>
        <w:tc>
          <w:tcPr>
            <w:tcW w:w="761" w:type="pct"/>
            <w:noWrap w:val="0"/>
            <w:vAlign w:val="center"/>
          </w:tcPr>
          <w:p w14:paraId="28F7B62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900-402-06</w:t>
            </w:r>
          </w:p>
        </w:tc>
        <w:tc>
          <w:tcPr>
            <w:tcW w:w="703" w:type="pct"/>
            <w:noWrap w:val="0"/>
            <w:vAlign w:val="center"/>
          </w:tcPr>
          <w:p w14:paraId="74DD3508">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T，I，R</w:t>
            </w:r>
          </w:p>
        </w:tc>
        <w:tc>
          <w:tcPr>
            <w:tcW w:w="703" w:type="pct"/>
            <w:noWrap w:val="0"/>
            <w:vAlign w:val="center"/>
          </w:tcPr>
          <w:p w14:paraId="75A49BC6">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92</w:t>
            </w:r>
          </w:p>
        </w:tc>
      </w:tr>
      <w:tr w14:paraId="2DA5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2C6D9388">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2</w:t>
            </w:r>
          </w:p>
        </w:tc>
        <w:tc>
          <w:tcPr>
            <w:tcW w:w="1210" w:type="pct"/>
            <w:noWrap w:val="0"/>
            <w:vAlign w:val="center"/>
          </w:tcPr>
          <w:p w14:paraId="711E91A6">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油水混合物</w:t>
            </w:r>
          </w:p>
        </w:tc>
        <w:tc>
          <w:tcPr>
            <w:tcW w:w="1279" w:type="pct"/>
            <w:noWrap w:val="0"/>
            <w:vAlign w:val="center"/>
          </w:tcPr>
          <w:p w14:paraId="660D1B0C">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HW09油/水、烃/水混合物或乳化液</w:t>
            </w:r>
          </w:p>
        </w:tc>
        <w:tc>
          <w:tcPr>
            <w:tcW w:w="761" w:type="pct"/>
            <w:noWrap w:val="0"/>
            <w:vAlign w:val="center"/>
          </w:tcPr>
          <w:p w14:paraId="2472C743">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900-007-09</w:t>
            </w:r>
          </w:p>
        </w:tc>
        <w:tc>
          <w:tcPr>
            <w:tcW w:w="703" w:type="pct"/>
            <w:noWrap w:val="0"/>
            <w:vAlign w:val="center"/>
          </w:tcPr>
          <w:p w14:paraId="18674CD8">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w:t>
            </w:r>
          </w:p>
        </w:tc>
        <w:tc>
          <w:tcPr>
            <w:tcW w:w="703" w:type="pct"/>
            <w:noWrap w:val="0"/>
            <w:vAlign w:val="center"/>
          </w:tcPr>
          <w:p w14:paraId="669ABB6B">
            <w:pPr>
              <w:widowControl/>
              <w:adjustRightInd w:val="0"/>
              <w:snapToGrid w:val="0"/>
              <w:jc w:val="left"/>
              <w:textAlignment w:val="center"/>
              <w:rPr>
                <w:rFonts w:hint="eastAsia"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8</w:t>
            </w:r>
          </w:p>
        </w:tc>
      </w:tr>
      <w:tr w14:paraId="522C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7A0628C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3</w:t>
            </w:r>
          </w:p>
        </w:tc>
        <w:tc>
          <w:tcPr>
            <w:tcW w:w="1210" w:type="pct"/>
            <w:noWrap w:val="0"/>
            <w:vAlign w:val="center"/>
          </w:tcPr>
          <w:p w14:paraId="30B1B25D">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漆渣</w:t>
            </w:r>
          </w:p>
        </w:tc>
        <w:tc>
          <w:tcPr>
            <w:tcW w:w="1279" w:type="pct"/>
            <w:vMerge w:val="restart"/>
            <w:noWrap w:val="0"/>
            <w:vAlign w:val="center"/>
          </w:tcPr>
          <w:p w14:paraId="71738B0F">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HW12染料、涂料废物</w:t>
            </w:r>
          </w:p>
        </w:tc>
        <w:tc>
          <w:tcPr>
            <w:tcW w:w="761" w:type="pct"/>
            <w:noWrap w:val="0"/>
            <w:vAlign w:val="center"/>
          </w:tcPr>
          <w:p w14:paraId="4A5A2616">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900-252-12</w:t>
            </w:r>
          </w:p>
        </w:tc>
        <w:tc>
          <w:tcPr>
            <w:tcW w:w="703" w:type="pct"/>
            <w:noWrap w:val="0"/>
            <w:vAlign w:val="center"/>
          </w:tcPr>
          <w:p w14:paraId="54EEB55A">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T，I</w:t>
            </w:r>
          </w:p>
        </w:tc>
        <w:tc>
          <w:tcPr>
            <w:tcW w:w="703" w:type="pct"/>
            <w:noWrap w:val="0"/>
            <w:vAlign w:val="center"/>
          </w:tcPr>
          <w:p w14:paraId="341E4B88">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97</w:t>
            </w:r>
          </w:p>
        </w:tc>
      </w:tr>
      <w:tr w14:paraId="14F5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0"/>
            <w:vAlign w:val="center"/>
          </w:tcPr>
          <w:p w14:paraId="6A9E5C39">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4</w:t>
            </w:r>
          </w:p>
        </w:tc>
        <w:tc>
          <w:tcPr>
            <w:tcW w:w="1210" w:type="pct"/>
            <w:noWrap w:val="0"/>
            <w:vAlign w:val="center"/>
          </w:tcPr>
          <w:p w14:paraId="17C3CF8B">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废油漆</w:t>
            </w:r>
          </w:p>
        </w:tc>
        <w:tc>
          <w:tcPr>
            <w:tcW w:w="1279" w:type="pct"/>
            <w:vMerge w:val="continue"/>
            <w:noWrap w:val="0"/>
            <w:vAlign w:val="center"/>
          </w:tcPr>
          <w:p w14:paraId="49B7654E">
            <w:pPr>
              <w:adjustRightInd w:val="0"/>
              <w:snapToGrid w:val="0"/>
              <w:jc w:val="left"/>
              <w:rPr>
                <w:rFonts w:hint="eastAsia" w:ascii="宋体" w:hAnsi="宋体" w:cs="宋体"/>
                <w:color w:val="000000"/>
                <w:szCs w:val="21"/>
                <w:highlight w:val="none"/>
              </w:rPr>
            </w:pPr>
          </w:p>
        </w:tc>
        <w:tc>
          <w:tcPr>
            <w:tcW w:w="761" w:type="pct"/>
            <w:noWrap w:val="0"/>
            <w:vAlign w:val="center"/>
          </w:tcPr>
          <w:p w14:paraId="41EC7D0D">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900-299-12</w:t>
            </w:r>
          </w:p>
        </w:tc>
        <w:tc>
          <w:tcPr>
            <w:tcW w:w="703" w:type="pct"/>
            <w:noWrap w:val="0"/>
            <w:vAlign w:val="center"/>
          </w:tcPr>
          <w:p w14:paraId="0CA5CE90">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w:t>
            </w:r>
          </w:p>
        </w:tc>
        <w:tc>
          <w:tcPr>
            <w:tcW w:w="703" w:type="pct"/>
            <w:noWrap w:val="0"/>
            <w:vAlign w:val="center"/>
          </w:tcPr>
          <w:p w14:paraId="7EF28C55">
            <w:pPr>
              <w:widowControl/>
              <w:adjustRightInd w:val="0"/>
              <w:snapToGrid w:val="0"/>
              <w:jc w:val="left"/>
              <w:textAlignment w:val="center"/>
              <w:rPr>
                <w:rFonts w:hint="eastAsia"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5</w:t>
            </w:r>
          </w:p>
        </w:tc>
      </w:tr>
      <w:tr w14:paraId="29CB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0A37011B">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5</w:t>
            </w:r>
          </w:p>
        </w:tc>
        <w:tc>
          <w:tcPr>
            <w:tcW w:w="1210" w:type="pct"/>
            <w:noWrap w:val="0"/>
            <w:vAlign w:val="center"/>
          </w:tcPr>
          <w:p w14:paraId="16B0A66C">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废胶</w:t>
            </w:r>
          </w:p>
        </w:tc>
        <w:tc>
          <w:tcPr>
            <w:tcW w:w="1279" w:type="pct"/>
            <w:noWrap w:val="0"/>
            <w:vAlign w:val="center"/>
          </w:tcPr>
          <w:p w14:paraId="1D3670A6">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HW13有机树脂类废物</w:t>
            </w:r>
          </w:p>
        </w:tc>
        <w:tc>
          <w:tcPr>
            <w:tcW w:w="761" w:type="pct"/>
            <w:noWrap w:val="0"/>
            <w:vAlign w:val="center"/>
          </w:tcPr>
          <w:p w14:paraId="0FE05F36">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900-014-13</w:t>
            </w:r>
          </w:p>
        </w:tc>
        <w:tc>
          <w:tcPr>
            <w:tcW w:w="703" w:type="pct"/>
            <w:noWrap w:val="0"/>
            <w:vAlign w:val="center"/>
          </w:tcPr>
          <w:p w14:paraId="126B613A">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w:t>
            </w:r>
          </w:p>
        </w:tc>
        <w:tc>
          <w:tcPr>
            <w:tcW w:w="703" w:type="pct"/>
            <w:noWrap w:val="0"/>
            <w:vAlign w:val="center"/>
          </w:tcPr>
          <w:p w14:paraId="214EFD60">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10</w:t>
            </w:r>
          </w:p>
        </w:tc>
      </w:tr>
      <w:tr w14:paraId="5000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4B0AC084">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6</w:t>
            </w:r>
          </w:p>
        </w:tc>
        <w:tc>
          <w:tcPr>
            <w:tcW w:w="1210" w:type="pct"/>
            <w:noWrap w:val="0"/>
            <w:vAlign w:val="center"/>
          </w:tcPr>
          <w:p w14:paraId="0EB3CCF1">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磷化渣（含镍）、废槽渣、废槽液</w:t>
            </w:r>
          </w:p>
        </w:tc>
        <w:tc>
          <w:tcPr>
            <w:tcW w:w="1279" w:type="pct"/>
            <w:vMerge w:val="restart"/>
            <w:noWrap w:val="0"/>
            <w:vAlign w:val="center"/>
          </w:tcPr>
          <w:p w14:paraId="006D45A2">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HW17表面处理废物</w:t>
            </w:r>
          </w:p>
        </w:tc>
        <w:tc>
          <w:tcPr>
            <w:tcW w:w="761" w:type="pct"/>
            <w:noWrap w:val="0"/>
            <w:vAlign w:val="center"/>
          </w:tcPr>
          <w:p w14:paraId="7167E8F1">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336-064-17</w:t>
            </w:r>
          </w:p>
        </w:tc>
        <w:tc>
          <w:tcPr>
            <w:tcW w:w="703" w:type="pct"/>
            <w:noWrap w:val="0"/>
            <w:vAlign w:val="center"/>
          </w:tcPr>
          <w:p w14:paraId="480CE531">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T/C</w:t>
            </w:r>
          </w:p>
        </w:tc>
        <w:tc>
          <w:tcPr>
            <w:tcW w:w="703" w:type="pct"/>
            <w:noWrap w:val="0"/>
            <w:vAlign w:val="center"/>
          </w:tcPr>
          <w:p w14:paraId="7BAEDEF6">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40</w:t>
            </w:r>
          </w:p>
        </w:tc>
      </w:tr>
      <w:tr w14:paraId="78E2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533E5CD6">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7</w:t>
            </w:r>
          </w:p>
        </w:tc>
        <w:tc>
          <w:tcPr>
            <w:tcW w:w="1210" w:type="pct"/>
            <w:noWrap w:val="0"/>
            <w:vAlign w:val="center"/>
          </w:tcPr>
          <w:p w14:paraId="0F760F87">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废水处理污泥</w:t>
            </w:r>
          </w:p>
        </w:tc>
        <w:tc>
          <w:tcPr>
            <w:tcW w:w="1279" w:type="pct"/>
            <w:vMerge w:val="continue"/>
            <w:noWrap w:val="0"/>
            <w:vAlign w:val="center"/>
          </w:tcPr>
          <w:p w14:paraId="5838B430">
            <w:pPr>
              <w:adjustRightInd w:val="0"/>
              <w:snapToGrid w:val="0"/>
              <w:jc w:val="left"/>
              <w:rPr>
                <w:rFonts w:hint="eastAsia" w:ascii="宋体" w:hAnsi="宋体" w:cs="宋体"/>
                <w:color w:val="000000"/>
                <w:szCs w:val="21"/>
                <w:highlight w:val="none"/>
              </w:rPr>
            </w:pPr>
          </w:p>
        </w:tc>
        <w:tc>
          <w:tcPr>
            <w:tcW w:w="761" w:type="pct"/>
            <w:noWrap w:val="0"/>
            <w:vAlign w:val="center"/>
          </w:tcPr>
          <w:p w14:paraId="4B4A5F4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336-064-17</w:t>
            </w:r>
          </w:p>
        </w:tc>
        <w:tc>
          <w:tcPr>
            <w:tcW w:w="703" w:type="pct"/>
            <w:noWrap w:val="0"/>
            <w:vAlign w:val="center"/>
          </w:tcPr>
          <w:p w14:paraId="45A182BB">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T/C</w:t>
            </w:r>
          </w:p>
        </w:tc>
        <w:tc>
          <w:tcPr>
            <w:tcW w:w="703" w:type="pct"/>
            <w:noWrap w:val="0"/>
            <w:vAlign w:val="center"/>
          </w:tcPr>
          <w:p w14:paraId="7B4A8A07">
            <w:pPr>
              <w:widowControl/>
              <w:adjustRightInd w:val="0"/>
              <w:snapToGrid w:val="0"/>
              <w:jc w:val="left"/>
              <w:textAlignment w:val="center"/>
              <w:rPr>
                <w:rFonts w:hint="default"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17</w:t>
            </w:r>
          </w:p>
        </w:tc>
      </w:tr>
      <w:tr w14:paraId="137F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2C74D3D4">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8</w:t>
            </w:r>
          </w:p>
        </w:tc>
        <w:tc>
          <w:tcPr>
            <w:tcW w:w="1210" w:type="pct"/>
            <w:noWrap w:val="0"/>
            <w:vAlign w:val="center"/>
          </w:tcPr>
          <w:p w14:paraId="4EF6F4AA">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实验室废液</w:t>
            </w:r>
          </w:p>
        </w:tc>
        <w:tc>
          <w:tcPr>
            <w:tcW w:w="1279" w:type="pct"/>
            <w:vMerge w:val="restart"/>
            <w:noWrap w:val="0"/>
            <w:vAlign w:val="center"/>
          </w:tcPr>
          <w:p w14:paraId="7D150CF6">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HW49其他废物</w:t>
            </w:r>
          </w:p>
        </w:tc>
        <w:tc>
          <w:tcPr>
            <w:tcW w:w="761" w:type="pct"/>
            <w:noWrap w:val="0"/>
            <w:vAlign w:val="center"/>
          </w:tcPr>
          <w:p w14:paraId="4D6489D0">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900-047-49</w:t>
            </w:r>
          </w:p>
        </w:tc>
        <w:tc>
          <w:tcPr>
            <w:tcW w:w="703" w:type="pct"/>
            <w:noWrap w:val="0"/>
            <w:vAlign w:val="center"/>
          </w:tcPr>
          <w:p w14:paraId="40DEDBB5">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T/C/I/R</w:t>
            </w:r>
          </w:p>
        </w:tc>
        <w:tc>
          <w:tcPr>
            <w:tcW w:w="703" w:type="pct"/>
            <w:noWrap w:val="0"/>
            <w:vAlign w:val="center"/>
          </w:tcPr>
          <w:p w14:paraId="01BC4054">
            <w:pPr>
              <w:widowControl/>
              <w:adjustRightInd w:val="0"/>
              <w:snapToGrid w:val="0"/>
              <w:jc w:val="left"/>
              <w:textAlignment w:val="center"/>
              <w:rPr>
                <w:rFonts w:hint="eastAsia"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3</w:t>
            </w:r>
          </w:p>
        </w:tc>
      </w:tr>
      <w:tr w14:paraId="56E9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1" w:type="pct"/>
            <w:noWrap/>
            <w:vAlign w:val="center"/>
          </w:tcPr>
          <w:p w14:paraId="27C5CB83">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w:t>
            </w:r>
          </w:p>
        </w:tc>
        <w:tc>
          <w:tcPr>
            <w:tcW w:w="1210" w:type="pct"/>
            <w:noWrap w:val="0"/>
            <w:vAlign w:val="center"/>
          </w:tcPr>
          <w:p w14:paraId="6BCC1413">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废活性炭</w:t>
            </w:r>
          </w:p>
        </w:tc>
        <w:tc>
          <w:tcPr>
            <w:tcW w:w="1279" w:type="pct"/>
            <w:vMerge w:val="continue"/>
            <w:noWrap w:val="0"/>
            <w:vAlign w:val="center"/>
          </w:tcPr>
          <w:p w14:paraId="21552182">
            <w:pPr>
              <w:adjustRightInd w:val="0"/>
              <w:snapToGrid w:val="0"/>
              <w:jc w:val="left"/>
              <w:rPr>
                <w:rFonts w:hint="eastAsia" w:ascii="宋体" w:hAnsi="宋体" w:cs="宋体"/>
                <w:color w:val="000000"/>
                <w:szCs w:val="21"/>
                <w:highlight w:val="none"/>
              </w:rPr>
            </w:pPr>
          </w:p>
        </w:tc>
        <w:tc>
          <w:tcPr>
            <w:tcW w:w="761" w:type="pct"/>
            <w:noWrap w:val="0"/>
            <w:vAlign w:val="center"/>
          </w:tcPr>
          <w:p w14:paraId="3E473C92">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900-039-49</w:t>
            </w:r>
          </w:p>
        </w:tc>
        <w:tc>
          <w:tcPr>
            <w:tcW w:w="703" w:type="pct"/>
            <w:noWrap w:val="0"/>
            <w:vAlign w:val="center"/>
          </w:tcPr>
          <w:p w14:paraId="46129FD7">
            <w:pPr>
              <w:widowControl/>
              <w:adjustRightInd w:val="0"/>
              <w:snapToGrid w:val="0"/>
              <w:jc w:val="left"/>
              <w:textAlignment w:val="center"/>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T</w:t>
            </w:r>
          </w:p>
        </w:tc>
        <w:tc>
          <w:tcPr>
            <w:tcW w:w="703" w:type="pct"/>
            <w:noWrap w:val="0"/>
            <w:vAlign w:val="center"/>
          </w:tcPr>
          <w:p w14:paraId="54AE972F">
            <w:pPr>
              <w:widowControl/>
              <w:adjustRightInd w:val="0"/>
              <w:snapToGrid w:val="0"/>
              <w:jc w:val="left"/>
              <w:textAlignment w:val="center"/>
              <w:rPr>
                <w:rFonts w:hint="eastAsia" w:ascii="宋体" w:hAnsi="宋体" w:eastAsia="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4</w:t>
            </w:r>
          </w:p>
        </w:tc>
      </w:tr>
      <w:tr w14:paraId="38D6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 w:type="pct"/>
            <w:noWrap/>
            <w:vAlign w:val="center"/>
          </w:tcPr>
          <w:p w14:paraId="538620AA">
            <w:pPr>
              <w:adjustRightInd w:val="0"/>
              <w:snapToGrid w:val="0"/>
              <w:jc w:val="left"/>
              <w:rPr>
                <w:rFonts w:ascii="宋体" w:hAnsi="宋体" w:cs="宋体"/>
                <w:color w:val="000000"/>
                <w:szCs w:val="21"/>
                <w:highlight w:val="none"/>
              </w:rPr>
            </w:pPr>
            <w:r>
              <w:rPr>
                <w:rFonts w:hint="eastAsia" w:ascii="宋体" w:hAnsi="宋体" w:cs="宋体"/>
                <w:color w:val="000000"/>
                <w:szCs w:val="21"/>
                <w:highlight w:val="none"/>
              </w:rPr>
              <w:t>10</w:t>
            </w:r>
          </w:p>
        </w:tc>
        <w:tc>
          <w:tcPr>
            <w:tcW w:w="1210" w:type="pct"/>
            <w:noWrap w:val="0"/>
            <w:vAlign w:val="center"/>
          </w:tcPr>
          <w:p w14:paraId="218E7E34">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沾染物（废抹布和废劳保用品、沾染危险化学品等的废包装物、废遮蔽物</w:t>
            </w:r>
            <w:r>
              <w:rPr>
                <w:rFonts w:hint="eastAsia" w:ascii="宋体" w:hAnsi="宋体" w:cs="宋体"/>
                <w:color w:val="000000"/>
                <w:kern w:val="0"/>
                <w:szCs w:val="21"/>
                <w:highlight w:val="none"/>
                <w:lang w:eastAsia="zh-CN" w:bidi="ar"/>
              </w:rPr>
              <w:t>、</w:t>
            </w:r>
            <w:r>
              <w:rPr>
                <w:rFonts w:hint="eastAsia" w:ascii="宋体" w:hAnsi="宋体" w:cs="宋体"/>
                <w:color w:val="000000"/>
                <w:kern w:val="0"/>
                <w:szCs w:val="21"/>
                <w:highlight w:val="none"/>
                <w:lang w:bidi="ar"/>
              </w:rPr>
              <w:t>废过滤棉等）</w:t>
            </w:r>
          </w:p>
        </w:tc>
        <w:tc>
          <w:tcPr>
            <w:tcW w:w="1279" w:type="pct"/>
            <w:vMerge w:val="continue"/>
            <w:noWrap w:val="0"/>
            <w:vAlign w:val="center"/>
          </w:tcPr>
          <w:p w14:paraId="2266666C">
            <w:pPr>
              <w:adjustRightInd w:val="0"/>
              <w:snapToGrid w:val="0"/>
              <w:jc w:val="left"/>
              <w:rPr>
                <w:rFonts w:hint="eastAsia" w:ascii="宋体" w:hAnsi="宋体" w:cs="宋体"/>
                <w:color w:val="000000"/>
                <w:szCs w:val="21"/>
                <w:highlight w:val="none"/>
              </w:rPr>
            </w:pPr>
          </w:p>
        </w:tc>
        <w:tc>
          <w:tcPr>
            <w:tcW w:w="761" w:type="pct"/>
            <w:noWrap w:val="0"/>
            <w:vAlign w:val="center"/>
          </w:tcPr>
          <w:p w14:paraId="2E08F5FB">
            <w:pPr>
              <w:widowControl/>
              <w:adjustRightInd w:val="0"/>
              <w:snapToGrid w:val="0"/>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900-041-49</w:t>
            </w:r>
          </w:p>
        </w:tc>
        <w:tc>
          <w:tcPr>
            <w:tcW w:w="703" w:type="pct"/>
            <w:noWrap w:val="0"/>
            <w:vAlign w:val="center"/>
          </w:tcPr>
          <w:p w14:paraId="20912453">
            <w:pPr>
              <w:widowControl/>
              <w:adjustRightInd w:val="0"/>
              <w:snapToGrid w:val="0"/>
              <w:jc w:val="left"/>
              <w:textAlignment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T</w:t>
            </w:r>
          </w:p>
        </w:tc>
        <w:tc>
          <w:tcPr>
            <w:tcW w:w="703" w:type="pct"/>
            <w:noWrap w:val="0"/>
            <w:vAlign w:val="center"/>
          </w:tcPr>
          <w:p w14:paraId="1CFE6475">
            <w:pPr>
              <w:widowControl/>
              <w:adjustRightInd w:val="0"/>
              <w:snapToGrid w:val="0"/>
              <w:jc w:val="left"/>
              <w:textAlignment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20</w:t>
            </w:r>
          </w:p>
        </w:tc>
      </w:tr>
    </w:tbl>
    <w:p w14:paraId="1B165512">
      <w:pPr>
        <w:pStyle w:val="14"/>
        <w:numPr>
          <w:ilvl w:val="0"/>
          <w:numId w:val="0"/>
        </w:numPr>
        <w:spacing w:line="360" w:lineRule="auto"/>
        <w:jc w:val="left"/>
        <w:rPr>
          <w:rFonts w:hint="default" w:hAnsi="宋体"/>
          <w:szCs w:val="21"/>
          <w:highlight w:val="none"/>
          <w:lang w:val="en-US" w:eastAsia="zh-CN"/>
        </w:rPr>
      </w:pPr>
      <w:r>
        <w:rPr>
          <w:rFonts w:hint="eastAsia" w:hAnsi="宋体"/>
          <w:szCs w:val="21"/>
          <w:highlight w:val="none"/>
          <w:lang w:val="en-US" w:eastAsia="zh-CN"/>
        </w:rPr>
        <w:t>备注：1、本表中危险废物类别均为需要委外付费处置危险废物，不包括废矿物油、废铅蓄电池等可售卖以及废包装桶、废含汞荧光灯管等需要单一委托具备相应资质的第三方处置的危险废物。</w:t>
      </w:r>
    </w:p>
    <w:p w14:paraId="7B776B1B">
      <w:pPr>
        <w:pStyle w:val="14"/>
        <w:numPr>
          <w:ilvl w:val="0"/>
          <w:numId w:val="0"/>
        </w:numPr>
        <w:spacing w:line="360" w:lineRule="auto"/>
        <w:jc w:val="left"/>
        <w:rPr>
          <w:rFonts w:hint="default" w:hAnsi="宋体"/>
          <w:szCs w:val="21"/>
          <w:highlight w:val="none"/>
          <w:lang w:val="en-US" w:eastAsia="zh-CN"/>
        </w:rPr>
      </w:pPr>
      <w:r>
        <w:rPr>
          <w:rFonts w:hint="eastAsia" w:hAnsi="宋体"/>
          <w:szCs w:val="21"/>
          <w:highlight w:val="none"/>
          <w:lang w:val="en-US" w:eastAsia="zh-CN"/>
        </w:rPr>
        <w:t>2、2025年预估产量按照2025年计划生产产量和2024年单车危险废物产生量进行预估。</w:t>
      </w:r>
    </w:p>
    <w:p w14:paraId="6E9CC84F">
      <w:pPr>
        <w:pStyle w:val="14"/>
        <w:numPr>
          <w:ilvl w:val="0"/>
          <w:numId w:val="0"/>
        </w:numPr>
        <w:spacing w:line="360" w:lineRule="auto"/>
        <w:jc w:val="left"/>
        <w:rPr>
          <w:rFonts w:hint="eastAsia" w:hAnsi="宋体"/>
          <w:szCs w:val="21"/>
          <w:highlight w:val="none"/>
          <w:lang w:val="en-US" w:eastAsia="zh-CN"/>
        </w:rPr>
      </w:pPr>
    </w:p>
    <w:p w14:paraId="10461C14">
      <w:pPr>
        <w:pStyle w:val="14"/>
        <w:numPr>
          <w:ilvl w:val="0"/>
          <w:numId w:val="29"/>
        </w:numPr>
        <w:spacing w:line="360" w:lineRule="auto"/>
        <w:jc w:val="left"/>
        <w:rPr>
          <w:rFonts w:hint="default" w:ascii="黑体" w:hAnsi="黑体" w:eastAsia="黑体" w:cs="Times New Roman"/>
          <w:kern w:val="2"/>
          <w:sz w:val="32"/>
          <w:szCs w:val="32"/>
          <w:highlight w:val="none"/>
          <w:lang w:val="en-US" w:eastAsia="zh-CN" w:bidi="ar-SA"/>
        </w:rPr>
      </w:pPr>
      <w:r>
        <w:rPr>
          <w:rFonts w:hint="eastAsia" w:ascii="黑体" w:hAnsi="黑体" w:eastAsia="黑体" w:cs="Times New Roman"/>
          <w:kern w:val="2"/>
          <w:sz w:val="32"/>
          <w:szCs w:val="32"/>
          <w:highlight w:val="none"/>
          <w:lang w:val="en-US" w:eastAsia="zh-CN" w:bidi="ar-SA"/>
        </w:rPr>
        <w:t>技术要求</w:t>
      </w:r>
    </w:p>
    <w:p w14:paraId="06D86AE4">
      <w:pPr>
        <w:pStyle w:val="14"/>
        <w:spacing w:line="360" w:lineRule="auto"/>
        <w:ind w:left="364" w:leftChars="-228" w:hanging="843" w:hangingChars="400"/>
        <w:rPr>
          <w:rFonts w:hint="eastAsia" w:hAnsi="宋体"/>
          <w:b/>
          <w:highlight w:val="none"/>
        </w:rPr>
      </w:pPr>
      <w:r>
        <w:rPr>
          <w:rFonts w:hAnsi="宋体"/>
          <w:b/>
          <w:highlight w:val="none"/>
        </w:rPr>
        <w:t xml:space="preserve">       </w:t>
      </w:r>
      <w:r>
        <w:rPr>
          <w:rFonts w:hint="eastAsia" w:hAnsi="宋体"/>
          <w:b/>
          <w:highlight w:val="none"/>
          <w:lang w:val="en-US" w:eastAsia="zh-CN"/>
        </w:rPr>
        <w:t xml:space="preserve">  </w:t>
      </w:r>
      <w:r>
        <w:rPr>
          <w:rFonts w:hint="eastAsia" w:ascii="楷体_GB2312" w:hAnsi="楷体" w:eastAsia="楷体_GB2312" w:cs="Times New Roman"/>
          <w:kern w:val="2"/>
          <w:sz w:val="32"/>
          <w:szCs w:val="32"/>
          <w:highlight w:val="none"/>
          <w:lang w:val="en-US" w:eastAsia="zh-CN" w:bidi="ar-SA"/>
        </w:rPr>
        <w:t>（一）资质要求：</w:t>
      </w:r>
    </w:p>
    <w:p w14:paraId="4D5CC458">
      <w:pPr>
        <w:pStyle w:val="14"/>
        <w:spacing w:line="360" w:lineRule="auto"/>
        <w:ind w:firstLine="640" w:firstLineChars="200"/>
        <w:jc w:val="left"/>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供应商持有当地生态环境局(厅)核发的正式危险废物经营许可证（增项变更换证除外），并严格按照危险废物经营许可证所批准的经营危险废物类别及规模范围进行危险废物转移运输及处置，且经营资质范围必须满足公司委托处置的危险废物类别范围。</w:t>
      </w:r>
    </w:p>
    <w:p w14:paraId="6755B589">
      <w:pPr>
        <w:pStyle w:val="14"/>
        <w:spacing w:line="360" w:lineRule="auto"/>
        <w:ind w:firstLine="640" w:firstLineChars="200"/>
        <w:rPr>
          <w:rFonts w:hint="eastAsia" w:ascii="楷体_GB2312" w:hAnsi="楷体" w:eastAsia="楷体_GB2312" w:cs="Times New Roman"/>
          <w:kern w:val="2"/>
          <w:sz w:val="32"/>
          <w:szCs w:val="32"/>
          <w:highlight w:val="none"/>
          <w:lang w:val="en-US" w:eastAsia="zh-CN" w:bidi="ar-SA"/>
        </w:rPr>
      </w:pPr>
      <w:r>
        <w:rPr>
          <w:rFonts w:hint="eastAsia" w:ascii="楷体_GB2312" w:hAnsi="楷体" w:eastAsia="楷体_GB2312" w:cs="Times New Roman"/>
          <w:kern w:val="2"/>
          <w:sz w:val="32"/>
          <w:szCs w:val="32"/>
          <w:highlight w:val="none"/>
          <w:lang w:val="en-US" w:eastAsia="zh-CN" w:bidi="ar-SA"/>
        </w:rPr>
        <w:t>（二）装卸</w:t>
      </w:r>
    </w:p>
    <w:p w14:paraId="7E9D60C6">
      <w:pPr>
        <w:pStyle w:val="14"/>
        <w:spacing w:line="360" w:lineRule="auto"/>
        <w:ind w:firstLine="640" w:firstLineChars="200"/>
        <w:jc w:val="left"/>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1）供应商负责危险废物转移运输期间的装卸车活动（公司负责提供叉车等机械设备并配备叉车司机）。危险废物在我方指定地点装车后的风险由供应商承担，如因我方原因造成泄漏、污染事故责任由我方承担。</w:t>
      </w:r>
    </w:p>
    <w:p w14:paraId="035638A4">
      <w:pPr>
        <w:pStyle w:val="14"/>
        <w:spacing w:line="360" w:lineRule="auto"/>
        <w:ind w:firstLine="640" w:firstLineChars="200"/>
        <w:jc w:val="left"/>
        <w:rPr>
          <w:rFonts w:hint="default"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（2）</w:t>
      </w:r>
      <w:r>
        <w:rPr>
          <w:rFonts w:hint="default" w:ascii="仿宋_GB2312" w:hAnsi="仿宋" w:eastAsia="仿宋_GB2312" w:cs="Times New Roman"/>
          <w:kern w:val="2"/>
          <w:sz w:val="32"/>
          <w:szCs w:val="32"/>
          <w:highlight w:val="none"/>
          <w:lang w:val="en-US" w:eastAsia="zh-CN" w:bidi="ar-SA"/>
        </w:rPr>
        <w:t>在</w:t>
      </w:r>
      <w:r>
        <w:rPr>
          <w:rFonts w:hint="eastAsia" w:ascii="仿宋_GB2312" w:hAnsi="仿宋" w:eastAsia="仿宋_GB2312" w:cs="Times New Roman"/>
          <w:kern w:val="2"/>
          <w:sz w:val="32"/>
          <w:szCs w:val="32"/>
          <w:highlight w:val="none"/>
          <w:lang w:val="en-US" w:eastAsia="zh-CN" w:bidi="ar-SA"/>
        </w:rPr>
        <w:t>我方</w:t>
      </w:r>
      <w:r>
        <w:rPr>
          <w:rFonts w:hint="default" w:ascii="仿宋_GB2312" w:hAnsi="仿宋" w:eastAsia="仿宋_GB2312" w:cs="Times New Roman"/>
          <w:kern w:val="2"/>
          <w:sz w:val="32"/>
          <w:szCs w:val="32"/>
          <w:highlight w:val="none"/>
          <w:lang w:val="en-US" w:eastAsia="zh-CN" w:bidi="ar-SA"/>
        </w:rPr>
        <w:t>转移危险废物的人员和设施设备须符合厂区内相关管理要求，并按</w:t>
      </w:r>
      <w:r>
        <w:rPr>
          <w:rFonts w:hint="eastAsia" w:ascii="仿宋_GB2312" w:hAnsi="仿宋" w:eastAsia="仿宋_GB2312" w:cs="Times New Roman"/>
          <w:kern w:val="2"/>
          <w:sz w:val="32"/>
          <w:szCs w:val="32"/>
          <w:highlight w:val="none"/>
          <w:lang w:val="en-US" w:eastAsia="zh-CN" w:bidi="ar-SA"/>
        </w:rPr>
        <w:t>我方</w:t>
      </w:r>
      <w:r>
        <w:rPr>
          <w:rFonts w:hint="default" w:ascii="仿宋_GB2312" w:hAnsi="仿宋" w:eastAsia="仿宋_GB2312" w:cs="Times New Roman"/>
          <w:kern w:val="2"/>
          <w:sz w:val="32"/>
          <w:szCs w:val="32"/>
          <w:highlight w:val="none"/>
          <w:lang w:val="en-US" w:eastAsia="zh-CN" w:bidi="ar-SA"/>
        </w:rPr>
        <w:t>要求签订相关方职业健康、安全、环境保护协议，承担相应的责任。</w:t>
      </w:r>
    </w:p>
    <w:p w14:paraId="487F2E35">
      <w:pPr>
        <w:pStyle w:val="14"/>
        <w:spacing w:line="360" w:lineRule="auto"/>
        <w:ind w:firstLine="640" w:firstLineChars="200"/>
        <w:jc w:val="left"/>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（3）在我方指定地点装车，装车过程中供应商应杜绝危险废物抛洒现象，装车后供应商负责场地的清理工作。</w:t>
      </w:r>
    </w:p>
    <w:p w14:paraId="4D3A5969">
      <w:pPr>
        <w:pStyle w:val="14"/>
        <w:spacing w:line="360" w:lineRule="auto"/>
        <w:ind w:firstLine="640" w:firstLineChars="200"/>
        <w:jc w:val="left"/>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（4）在清运危险废物过程中不得影响我方的正常生产运营工作，如若对生产运营造成影响并由此产生的一切后果均由供应商承担。</w:t>
      </w:r>
    </w:p>
    <w:p w14:paraId="3E70A00E">
      <w:pPr>
        <w:tabs>
          <w:tab w:val="left" w:pos="622"/>
        </w:tabs>
        <w:autoSpaceDE w:val="0"/>
        <w:autoSpaceDN w:val="0"/>
        <w:adjustRightInd w:val="0"/>
        <w:spacing w:line="360" w:lineRule="auto"/>
        <w:ind w:firstLine="640" w:firstLineChars="200"/>
        <w:jc w:val="left"/>
        <w:rPr>
          <w:rFonts w:hint="eastAsia" w:ascii="楷体_GB2312" w:hAnsi="楷体" w:eastAsia="楷体_GB2312" w:cs="Times New Roman"/>
          <w:kern w:val="2"/>
          <w:sz w:val="32"/>
          <w:szCs w:val="32"/>
          <w:highlight w:val="none"/>
          <w:lang w:val="en-US" w:eastAsia="zh-CN" w:bidi="ar-SA"/>
        </w:rPr>
      </w:pPr>
      <w:r>
        <w:rPr>
          <w:rFonts w:hint="eastAsia" w:ascii="楷体_GB2312" w:hAnsi="楷体" w:eastAsia="楷体_GB2312" w:cs="Times New Roman"/>
          <w:kern w:val="2"/>
          <w:sz w:val="32"/>
          <w:szCs w:val="32"/>
          <w:highlight w:val="none"/>
          <w:lang w:val="en-US" w:eastAsia="zh-CN" w:bidi="ar-SA"/>
        </w:rPr>
        <w:t>（三）运输</w:t>
      </w:r>
    </w:p>
    <w:p w14:paraId="060AA5EB">
      <w:pPr>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1</w:t>
      </w:r>
      <w:r>
        <w:rPr>
          <w:rFonts w:hint="eastAsia" w:ascii="仿宋_GB2312" w:hAnsi="仿宋" w:eastAsia="仿宋_GB2312"/>
          <w:sz w:val="32"/>
          <w:szCs w:val="32"/>
          <w:highlight w:val="none"/>
          <w:lang w:eastAsia="zh-CN"/>
        </w:rPr>
        <w:t>）供应商</w:t>
      </w:r>
      <w:r>
        <w:rPr>
          <w:rFonts w:hint="eastAsia" w:ascii="仿宋_GB2312" w:hAnsi="仿宋" w:eastAsia="仿宋_GB2312"/>
          <w:sz w:val="32"/>
          <w:szCs w:val="32"/>
          <w:highlight w:val="none"/>
        </w:rPr>
        <w:t>可自行运输或委托有危险废物道路运输资质的公司负责运输危险废物，运输车辆驶出</w:t>
      </w:r>
      <w:r>
        <w:rPr>
          <w:rFonts w:hint="eastAsia" w:ascii="仿宋_GB2312" w:hAnsi="仿宋" w:eastAsia="仿宋_GB2312" w:cs="Times New Roman"/>
          <w:kern w:val="2"/>
          <w:sz w:val="32"/>
          <w:szCs w:val="32"/>
          <w:highlight w:val="none"/>
          <w:lang w:val="en-US" w:eastAsia="zh-CN" w:bidi="ar-SA"/>
        </w:rPr>
        <w:t>我方</w:t>
      </w:r>
      <w:r>
        <w:rPr>
          <w:rFonts w:hint="eastAsia" w:ascii="仿宋_GB2312" w:hAnsi="仿宋" w:eastAsia="仿宋_GB2312"/>
          <w:sz w:val="32"/>
          <w:szCs w:val="32"/>
          <w:highlight w:val="none"/>
        </w:rPr>
        <w:t>厂区的所发生的任何运输风险由</w:t>
      </w:r>
      <w:r>
        <w:rPr>
          <w:rFonts w:hint="eastAsia" w:ascii="仿宋_GB2312" w:hAnsi="仿宋" w:eastAsia="仿宋_GB2312"/>
          <w:sz w:val="32"/>
          <w:szCs w:val="32"/>
          <w:highlight w:val="none"/>
          <w:lang w:eastAsia="zh-CN"/>
        </w:rPr>
        <w:t>供应商</w:t>
      </w:r>
      <w:r>
        <w:rPr>
          <w:rFonts w:hint="eastAsia" w:ascii="仿宋_GB2312" w:hAnsi="仿宋" w:eastAsia="仿宋_GB2312"/>
          <w:sz w:val="32"/>
          <w:szCs w:val="32"/>
          <w:highlight w:val="none"/>
        </w:rPr>
        <w:t>承担；</w:t>
      </w:r>
    </w:p>
    <w:p w14:paraId="01CB10D0">
      <w:pPr>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危险废物运输过程中保证密封包装，捆扎结实，确保装车、运输过程中无泄露；</w:t>
      </w:r>
    </w:p>
    <w:p w14:paraId="407730EF">
      <w:pPr>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3</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必须由持有危险货物运输车辆驾驶及押运资格证的人员负责运输</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运输车辆和运送人员必须满足国家有关安全、环保及其他相关规定。</w:t>
      </w:r>
    </w:p>
    <w:p w14:paraId="267E837F">
      <w:pPr>
        <w:autoSpaceDE w:val="0"/>
        <w:autoSpaceDN w:val="0"/>
        <w:adjustRightInd w:val="0"/>
        <w:spacing w:line="360" w:lineRule="auto"/>
        <w:ind w:firstLine="640" w:firstLineChars="200"/>
        <w:jc w:val="left"/>
        <w:rPr>
          <w:rFonts w:hint="eastAsia" w:ascii="楷体_GB2312" w:hAnsi="楷体" w:eastAsia="楷体_GB2312" w:cs="Times New Roman"/>
          <w:kern w:val="2"/>
          <w:sz w:val="32"/>
          <w:szCs w:val="32"/>
          <w:highlight w:val="none"/>
          <w:lang w:val="en-US" w:eastAsia="zh-CN" w:bidi="ar-SA"/>
        </w:rPr>
      </w:pPr>
      <w:r>
        <w:rPr>
          <w:rFonts w:hint="eastAsia" w:ascii="楷体_GB2312" w:hAnsi="楷体" w:eastAsia="楷体_GB2312" w:cs="Times New Roman"/>
          <w:kern w:val="2"/>
          <w:sz w:val="32"/>
          <w:szCs w:val="32"/>
          <w:highlight w:val="none"/>
          <w:lang w:val="en-US" w:eastAsia="zh-CN" w:bidi="ar-SA"/>
        </w:rPr>
        <w:t>（四）转移期限</w:t>
      </w:r>
    </w:p>
    <w:p w14:paraId="455B28F3">
      <w:pPr>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1</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按照合同规定时间内到达产生单位进行转移运输。</w:t>
      </w:r>
    </w:p>
    <w:p w14:paraId="7AFDC2A0">
      <w:pPr>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lang w:val="en-US" w:eastAsia="zh-CN"/>
        </w:rPr>
        <w:t>我方</w:t>
      </w:r>
      <w:r>
        <w:rPr>
          <w:rFonts w:hint="eastAsia" w:ascii="仿宋_GB2312" w:hAnsi="仿宋" w:eastAsia="仿宋_GB2312"/>
          <w:sz w:val="32"/>
          <w:szCs w:val="32"/>
          <w:highlight w:val="none"/>
        </w:rPr>
        <w:t>有权指定具体运输处理时间，并提前三天</w:t>
      </w:r>
      <w:r>
        <w:rPr>
          <w:rFonts w:hint="eastAsia" w:ascii="仿宋_GB2312" w:hAnsi="仿宋" w:eastAsia="仿宋_GB2312"/>
          <w:sz w:val="32"/>
          <w:szCs w:val="32"/>
          <w:highlight w:val="none"/>
          <w:lang w:val="en-US" w:eastAsia="zh-CN"/>
        </w:rPr>
        <w:t>及</w:t>
      </w:r>
      <w:r>
        <w:rPr>
          <w:rFonts w:hint="eastAsia" w:ascii="仿宋_GB2312" w:hAnsi="仿宋" w:eastAsia="仿宋_GB2312"/>
          <w:sz w:val="32"/>
          <w:szCs w:val="32"/>
          <w:highlight w:val="none"/>
        </w:rPr>
        <w:t>以上通知乙方。乙方在接到</w:t>
      </w:r>
      <w:r>
        <w:rPr>
          <w:rFonts w:hint="eastAsia" w:ascii="仿宋_GB2312" w:hAnsi="仿宋" w:eastAsia="仿宋_GB2312"/>
          <w:sz w:val="32"/>
          <w:szCs w:val="32"/>
          <w:highlight w:val="none"/>
          <w:lang w:val="en-US" w:eastAsia="zh-CN"/>
        </w:rPr>
        <w:t>我</w:t>
      </w:r>
      <w:r>
        <w:rPr>
          <w:rFonts w:hint="eastAsia" w:ascii="仿宋_GB2312" w:hAnsi="仿宋" w:eastAsia="仿宋_GB2312"/>
          <w:sz w:val="32"/>
          <w:szCs w:val="32"/>
          <w:highlight w:val="none"/>
        </w:rPr>
        <w:t>方通知后3日内必须按</w:t>
      </w:r>
      <w:r>
        <w:rPr>
          <w:rFonts w:hint="eastAsia" w:ascii="仿宋_GB2312" w:hAnsi="仿宋" w:eastAsia="仿宋_GB2312"/>
          <w:sz w:val="32"/>
          <w:szCs w:val="32"/>
          <w:highlight w:val="none"/>
          <w:lang w:val="en-US" w:eastAsia="zh-CN"/>
        </w:rPr>
        <w:t>我</w:t>
      </w:r>
      <w:r>
        <w:rPr>
          <w:rFonts w:hint="eastAsia" w:ascii="仿宋_GB2312" w:hAnsi="仿宋" w:eastAsia="仿宋_GB2312"/>
          <w:sz w:val="32"/>
          <w:szCs w:val="32"/>
          <w:highlight w:val="none"/>
        </w:rPr>
        <w:t>方指定的处理时间派遣运输车辆至</w:t>
      </w:r>
      <w:r>
        <w:rPr>
          <w:rFonts w:hint="eastAsia" w:ascii="仿宋_GB2312" w:hAnsi="仿宋" w:eastAsia="仿宋_GB2312"/>
          <w:sz w:val="32"/>
          <w:szCs w:val="32"/>
          <w:highlight w:val="none"/>
          <w:lang w:val="en-US" w:eastAsia="zh-CN"/>
        </w:rPr>
        <w:t>我</w:t>
      </w:r>
      <w:r>
        <w:rPr>
          <w:rFonts w:hint="eastAsia" w:ascii="仿宋_GB2312" w:hAnsi="仿宋" w:eastAsia="仿宋_GB2312"/>
          <w:sz w:val="32"/>
          <w:szCs w:val="32"/>
          <w:highlight w:val="none"/>
        </w:rPr>
        <w:t>方所在地转移危险废物。</w:t>
      </w:r>
    </w:p>
    <w:p w14:paraId="12D52336">
      <w:pPr>
        <w:ind w:firstLine="640"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lang w:val="en-US" w:eastAsia="zh-CN"/>
        </w:rPr>
        <w:t>2</w:t>
      </w:r>
      <w:r>
        <w:rPr>
          <w:rFonts w:hint="eastAsia" w:ascii="仿宋_GB2312" w:hAnsi="仿宋" w:eastAsia="仿宋_GB2312"/>
          <w:sz w:val="32"/>
          <w:szCs w:val="32"/>
          <w:highlight w:val="none"/>
          <w:lang w:eastAsia="zh-CN"/>
        </w:rPr>
        <w:t>）</w:t>
      </w:r>
      <w:r>
        <w:rPr>
          <w:rFonts w:hint="eastAsia" w:ascii="仿宋_GB2312" w:hAnsi="仿宋" w:eastAsia="仿宋_GB2312"/>
          <w:sz w:val="32"/>
          <w:szCs w:val="32"/>
          <w:highlight w:val="none"/>
        </w:rPr>
        <w:t>不得以任何理由拒绝、拖延转移处置合同约定范围内的各类危险废物。</w:t>
      </w:r>
    </w:p>
    <w:p w14:paraId="7C6522AB">
      <w:pPr>
        <w:pStyle w:val="14"/>
        <w:spacing w:line="360" w:lineRule="auto"/>
        <w:ind w:left="801" w:leftChars="229" w:hanging="320" w:hangingChars="100"/>
        <w:rPr>
          <w:rFonts w:hint="eastAsia" w:ascii="楷体_GB2312" w:hAnsi="楷体" w:eastAsia="楷体_GB2312" w:cs="Times New Roman"/>
          <w:kern w:val="2"/>
          <w:sz w:val="32"/>
          <w:szCs w:val="32"/>
          <w:highlight w:val="none"/>
          <w:lang w:val="en-US" w:eastAsia="zh-CN" w:bidi="ar-SA"/>
        </w:rPr>
      </w:pPr>
      <w:r>
        <w:rPr>
          <w:rFonts w:hint="eastAsia" w:ascii="楷体_GB2312" w:hAnsi="楷体" w:eastAsia="楷体_GB2312" w:cs="Times New Roman"/>
          <w:kern w:val="2"/>
          <w:sz w:val="32"/>
          <w:szCs w:val="32"/>
          <w:highlight w:val="none"/>
          <w:lang w:val="en-US" w:eastAsia="zh-CN" w:bidi="ar-SA"/>
        </w:rPr>
        <w:t>（五）处理处置要求</w:t>
      </w:r>
    </w:p>
    <w:p w14:paraId="31D87A1B">
      <w:pPr>
        <w:pStyle w:val="14"/>
        <w:spacing w:line="360" w:lineRule="auto"/>
        <w:ind w:firstLine="640" w:firstLineChars="200"/>
        <w:jc w:val="left"/>
        <w:rPr>
          <w:rFonts w:hint="default"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供应商</w:t>
      </w:r>
      <w:r>
        <w:rPr>
          <w:rFonts w:hint="default" w:ascii="仿宋_GB2312" w:hAnsi="仿宋" w:eastAsia="仿宋_GB2312" w:cs="Times New Roman"/>
          <w:kern w:val="2"/>
          <w:sz w:val="32"/>
          <w:szCs w:val="32"/>
          <w:highlight w:val="none"/>
          <w:lang w:val="en-US" w:eastAsia="zh-CN" w:bidi="ar-SA"/>
        </w:rPr>
        <w:t>必须按国家相关规定要求处理/处置</w:t>
      </w:r>
      <w:r>
        <w:rPr>
          <w:rFonts w:hint="eastAsia" w:ascii="仿宋_GB2312" w:hAnsi="仿宋" w:eastAsia="仿宋_GB2312" w:cs="Times New Roman"/>
          <w:kern w:val="2"/>
          <w:sz w:val="32"/>
          <w:szCs w:val="32"/>
          <w:highlight w:val="none"/>
          <w:lang w:val="en-US" w:eastAsia="zh-CN" w:bidi="ar-SA"/>
        </w:rPr>
        <w:t>公司</w:t>
      </w:r>
      <w:r>
        <w:rPr>
          <w:rFonts w:hint="default" w:ascii="仿宋_GB2312" w:hAnsi="仿宋" w:eastAsia="仿宋_GB2312" w:cs="Times New Roman"/>
          <w:kern w:val="2"/>
          <w:sz w:val="32"/>
          <w:szCs w:val="32"/>
          <w:highlight w:val="none"/>
          <w:lang w:val="en-US" w:eastAsia="zh-CN" w:bidi="ar-SA"/>
        </w:rPr>
        <w:t>委托的危险废物，</w:t>
      </w:r>
      <w:r>
        <w:rPr>
          <w:rFonts w:hint="eastAsia" w:ascii="仿宋_GB2312" w:hAnsi="仿宋" w:eastAsia="仿宋_GB2312" w:cs="Times New Roman"/>
          <w:kern w:val="2"/>
          <w:sz w:val="32"/>
          <w:szCs w:val="32"/>
          <w:highlight w:val="none"/>
          <w:lang w:val="en-US" w:eastAsia="zh-CN" w:bidi="ar-SA"/>
        </w:rPr>
        <w:t>处置过程尽可能资源化利用危险废物。</w:t>
      </w:r>
    </w:p>
    <w:p w14:paraId="53FD8A44">
      <w:pPr>
        <w:pStyle w:val="14"/>
        <w:spacing w:line="360" w:lineRule="auto"/>
        <w:ind w:firstLine="640" w:firstLineChars="200"/>
        <w:jc w:val="left"/>
        <w:rPr>
          <w:rFonts w:hint="default"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危险废物处置工艺优先考虑资源化利用、协同处置等方式，不得采用填埋处置方式。</w:t>
      </w:r>
    </w:p>
    <w:p w14:paraId="3A219054">
      <w:pPr>
        <w:pStyle w:val="14"/>
        <w:spacing w:line="360" w:lineRule="auto"/>
        <w:ind w:left="801" w:leftChars="229" w:hanging="320" w:hangingChars="100"/>
        <w:rPr>
          <w:rFonts w:hint="eastAsia" w:ascii="楷体_GB2312" w:hAnsi="楷体" w:eastAsia="楷体_GB2312" w:cs="Times New Roman"/>
          <w:kern w:val="2"/>
          <w:sz w:val="32"/>
          <w:szCs w:val="32"/>
          <w:highlight w:val="none"/>
          <w:lang w:val="en-US" w:eastAsia="zh-CN" w:bidi="ar-SA"/>
        </w:rPr>
      </w:pPr>
      <w:r>
        <w:rPr>
          <w:rFonts w:hint="eastAsia" w:ascii="楷体_GB2312" w:hAnsi="楷体" w:eastAsia="楷体_GB2312" w:cs="Times New Roman"/>
          <w:kern w:val="2"/>
          <w:sz w:val="32"/>
          <w:szCs w:val="32"/>
          <w:highlight w:val="none"/>
          <w:lang w:val="en-US" w:eastAsia="zh-CN" w:bidi="ar-SA"/>
        </w:rPr>
        <w:t>（六）综合服务</w:t>
      </w:r>
    </w:p>
    <w:p w14:paraId="663357D9">
      <w:pPr>
        <w:pStyle w:val="14"/>
        <w:spacing w:line="360" w:lineRule="auto"/>
        <w:ind w:firstLine="640" w:firstLineChars="200"/>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（1）供应商应协助招标人办理危险废物处置相关环保手续。</w:t>
      </w:r>
    </w:p>
    <w:p w14:paraId="74A0EAE9">
      <w:pPr>
        <w:pStyle w:val="14"/>
        <w:spacing w:line="360" w:lineRule="auto"/>
        <w:ind w:firstLine="640" w:firstLineChars="200"/>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（2）供应商不得以产生量小、起运重量不够等任何理由拒绝、拖延转移招标人产生的危险废物。</w:t>
      </w:r>
    </w:p>
    <w:p w14:paraId="71858037">
      <w:pPr>
        <w:pStyle w:val="14"/>
        <w:spacing w:line="360" w:lineRule="auto"/>
        <w:ind w:firstLine="640" w:firstLineChars="200"/>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（3）本项目供应商合同履约保证金5000元（人民币伍仟元），根据合同或协议针对拉运处置投诉问题进行经济考核。</w:t>
      </w:r>
    </w:p>
    <w:p w14:paraId="3247FCDB">
      <w:pPr>
        <w:pStyle w:val="14"/>
        <w:spacing w:line="360" w:lineRule="auto"/>
        <w:rPr>
          <w:rFonts w:hint="eastAsia" w:ascii="黑体" w:hAnsi="黑体" w:eastAsia="黑体" w:cs="Times New Roman"/>
          <w:kern w:val="2"/>
          <w:sz w:val="32"/>
          <w:szCs w:val="32"/>
          <w:highlight w:val="none"/>
          <w:lang w:val="en-US" w:eastAsia="zh-CN" w:bidi="ar-SA"/>
        </w:rPr>
      </w:pPr>
      <w:r>
        <w:rPr>
          <w:rFonts w:hint="eastAsia" w:ascii="黑体" w:hAnsi="黑体" w:eastAsia="黑体" w:cs="Times New Roman"/>
          <w:kern w:val="2"/>
          <w:sz w:val="32"/>
          <w:szCs w:val="32"/>
          <w:highlight w:val="none"/>
          <w:lang w:val="en-US" w:eastAsia="zh-CN" w:bidi="ar-SA"/>
        </w:rPr>
        <w:t>四、其他</w:t>
      </w:r>
    </w:p>
    <w:p w14:paraId="6C4BB5BB">
      <w:pPr>
        <w:pStyle w:val="14"/>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1、危险废物包装、运输、装卸、检验、暂存、处置及相关服务等，最终以合同约定为准。</w:t>
      </w:r>
    </w:p>
    <w:p w14:paraId="769D444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2、按重量计价，以招标人磅称称重重量为准。</w:t>
      </w:r>
    </w:p>
    <w:p w14:paraId="0E6D24F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hint="eastAsia" w:ascii="仿宋_GB2312" w:hAnsi="仿宋" w:eastAsia="仿宋_GB2312" w:cs="Times New Roman"/>
          <w:kern w:val="2"/>
          <w:sz w:val="32"/>
          <w:szCs w:val="32"/>
          <w:highlight w:val="none"/>
          <w:lang w:val="en-US" w:eastAsia="zh-CN" w:bidi="ar-SA"/>
        </w:rPr>
      </w:pPr>
      <w:r>
        <w:rPr>
          <w:rFonts w:hint="eastAsia" w:ascii="仿宋_GB2312" w:hAnsi="仿宋" w:eastAsia="仿宋_GB2312" w:cs="Times New Roman"/>
          <w:kern w:val="2"/>
          <w:sz w:val="32"/>
          <w:szCs w:val="32"/>
          <w:highlight w:val="none"/>
          <w:lang w:val="en-US" w:eastAsia="zh-CN" w:bidi="ar-SA"/>
        </w:rPr>
        <w:t>3、因供应商原因未能及时完成项目的，或因乙方其他原因造成损失的，应赔偿由此给我司造成的损失。</w:t>
      </w:r>
    </w:p>
    <w:p w14:paraId="55E54AC2">
      <w:r>
        <w:rPr>
          <w:b/>
          <w:bCs/>
        </w:rPr>
        <w:br w:type="page"/>
      </w:r>
    </w:p>
    <w:p w14:paraId="5871DF53">
      <w:pPr>
        <w:pStyle w:val="71"/>
      </w:pPr>
      <w:bookmarkStart w:id="23" w:name="_Toc20595"/>
      <w:bookmarkStart w:id="24" w:name="_Toc47976609"/>
      <w:r>
        <w:rPr>
          <w:rFonts w:hint="eastAsia"/>
        </w:rPr>
        <w:t>第三部分　合同主要条款</w:t>
      </w:r>
      <w:bookmarkEnd w:id="23"/>
      <w:bookmarkEnd w:id="24"/>
    </w:p>
    <w:p w14:paraId="23914DBE">
      <w:pPr>
        <w:pStyle w:val="72"/>
        <w:numPr>
          <w:ilvl w:val="0"/>
          <w:numId w:val="30"/>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lang w:val="en-US" w:eastAsia="zh-CN"/>
        </w:rPr>
        <w:t>投标文件附件</w:t>
      </w:r>
      <w:bookmarkEnd w:id="31"/>
    </w:p>
    <w:p w14:paraId="600DE1DD">
      <w:pPr>
        <w:pStyle w:val="71"/>
        <w:jc w:val="left"/>
        <w:rPr>
          <w:rFonts w:hint="eastAsia" w:ascii="宋体" w:hAnsi="宋体" w:eastAsia="宋体" w:cs="宋体"/>
          <w:sz w:val="32"/>
          <w:szCs w:val="32"/>
          <w:highlight w:val="yellow"/>
          <w:lang w:eastAsia="zh-CN"/>
        </w:rPr>
      </w:pPr>
      <w:bookmarkStart w:id="32" w:name="_Toc4225"/>
      <w:bookmarkStart w:id="33" w:name="_Toc47976616"/>
      <w:r>
        <w:rPr>
          <w:rFonts w:hint="eastAsia" w:ascii="宋体" w:hAnsi="宋体" w:eastAsia="宋体" w:cs="宋体"/>
          <w:sz w:val="32"/>
          <w:szCs w:val="32"/>
          <w:highlight w:val="yellow"/>
        </w:rPr>
        <w:t>附件</w:t>
      </w:r>
      <w:bookmarkEnd w:id="32"/>
      <w:bookmarkEnd w:id="33"/>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4" w:name="_Toc47976618"/>
      <w:bookmarkStart w:id="35" w:name="_Toc29366869"/>
      <w:bookmarkStart w:id="36" w:name="_Toc29366865"/>
      <w:r>
        <w:rPr>
          <w:rFonts w:hint="eastAsia" w:ascii="宋体" w:hAnsi="宋体" w:eastAsia="宋体" w:cs="宋体"/>
          <w:sz w:val="32"/>
          <w:szCs w:val="32"/>
          <w:highlight w:val="yellow"/>
          <w:lang w:val="en-US" w:eastAsia="zh-CN"/>
        </w:rPr>
        <w:t>附件2</w:t>
      </w:r>
    </w:p>
    <w:bookmarkEnd w:id="34"/>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5"/>
    <w:bookmarkEnd w:id="36"/>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rPr>
          <w:rFonts w:hint="default" w:hAnsi="宋体"/>
          <w:sz w:val="24"/>
          <w:lang w:val="en-US"/>
        </w:rPr>
      </w:pPr>
      <w:r>
        <w:rPr>
          <w:rFonts w:hint="default" w:hAnsi="宋体"/>
          <w:sz w:val="24"/>
          <w:lang w:val="en-US"/>
        </w:rPr>
        <w:br w:type="page"/>
      </w:r>
    </w:p>
    <w:p w14:paraId="3E479304">
      <w:pPr>
        <w:pStyle w:val="14"/>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1343B1A6">
      <w:pPr>
        <w:pStyle w:val="14"/>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4"/>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56FE2A54">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0463576">
      <w:pPr>
        <w:pStyle w:val="14"/>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7D5E1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服务 / 危废处理”，业务主管部门为“安全环保部”。</w:t>
      </w:r>
      <w:r>
        <w:rPr>
          <w:rFonts w:hint="eastAsia" w:ascii="宋体" w:hAnsi="宋体" w:eastAsia="宋体" w:cs="宋体"/>
          <w:b/>
          <w:bCs/>
          <w:color w:val="000000"/>
          <w:sz w:val="24"/>
          <w:szCs w:val="24"/>
        </w:rPr>
        <w:br w:type="page"/>
      </w:r>
    </w:p>
    <w:p w14:paraId="3AC93FE3">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7"/>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7"/>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C4E4B8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0154E251">
      <w:pPr>
        <w:pStyle w:val="14"/>
        <w:rPr>
          <w:rFonts w:hAnsi="宋体" w:eastAsia="宋体" w:cs="Times New Roman"/>
          <w:b/>
          <w:color w:val="000000"/>
          <w:sz w:val="24"/>
          <w:szCs w:val="24"/>
        </w:rPr>
      </w:pPr>
    </w:p>
    <w:p w14:paraId="2E603337">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8CD44E4"/>
    <w:multiLevelType w:val="singleLevel"/>
    <w:tmpl w:val="B8CD44E4"/>
    <w:lvl w:ilvl="0" w:tentative="0">
      <w:start w:val="2"/>
      <w:numFmt w:val="chineseCounting"/>
      <w:suff w:val="nothing"/>
      <w:lvlText w:val="%1、"/>
      <w:lvlJc w:val="left"/>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2"/>
  </w:num>
  <w:num w:numId="6">
    <w:abstractNumId w:val="14"/>
  </w:num>
  <w:num w:numId="7">
    <w:abstractNumId w:val="15"/>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8"/>
  </w:num>
  <w:num w:numId="15">
    <w:abstractNumId w:val="5"/>
  </w:num>
  <w:num w:numId="16">
    <w:abstractNumId w:val="0"/>
  </w:num>
  <w:num w:numId="17">
    <w:abstractNumId w:val="3"/>
  </w:num>
  <w:num w:numId="18">
    <w:abstractNumId w:val="24"/>
  </w:num>
  <w:num w:numId="19">
    <w:abstractNumId w:val="26"/>
  </w:num>
  <w:num w:numId="20">
    <w:abstractNumId w:val="16"/>
  </w:num>
  <w:num w:numId="21">
    <w:abstractNumId w:val="10"/>
  </w:num>
  <w:num w:numId="22">
    <w:abstractNumId w:val="9"/>
  </w:num>
  <w:num w:numId="23">
    <w:abstractNumId w:val="4"/>
  </w:num>
  <w:num w:numId="24">
    <w:abstractNumId w:val="1"/>
  </w:num>
  <w:num w:numId="25">
    <w:abstractNumId w:val="6"/>
  </w:num>
  <w:num w:numId="26">
    <w:abstractNumId w:val="11"/>
  </w:num>
  <w:num w:numId="27">
    <w:abstractNumId w:val="19"/>
  </w:num>
  <w:num w:numId="28">
    <w:abstractNumId w:val="17"/>
  </w:num>
  <w:num w:numId="29">
    <w:abstractNumId w:val="7"/>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0B73A7"/>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1234049"/>
    <w:rsid w:val="52274B10"/>
    <w:rsid w:val="52B9239A"/>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3"/>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1"/>
    <w:semiHidden/>
    <w:qFormat/>
    <w:uiPriority w:val="98"/>
    <w:rPr>
      <w:rFonts w:ascii="仿宋_GB2312" w:eastAsia="仿宋_GB2312"/>
      <w:sz w:val="32"/>
    </w:rPr>
  </w:style>
  <w:style w:type="paragraph" w:styleId="3">
    <w:name w:val="Body Text Indent"/>
    <w:basedOn w:val="1"/>
    <w:link w:val="48"/>
    <w:semiHidden/>
    <w:qFormat/>
    <w:uiPriority w:val="0"/>
    <w:pPr>
      <w:spacing w:after="120"/>
      <w:ind w:left="420" w:leftChars="200"/>
    </w:pPr>
    <w:rPr>
      <w:rFonts w:ascii="Calibri" w:hAnsi="Calibri"/>
      <w:szCs w:val="22"/>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5"/>
    <w:qFormat/>
    <w:uiPriority w:val="99"/>
    <w:pPr>
      <w:jc w:val="left"/>
    </w:p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2"/>
    <w:next w:val="12"/>
    <w:link w:val="53"/>
    <w:semiHidden/>
    <w:qFormat/>
    <w:uiPriority w:val="98"/>
    <w:rPr>
      <w:b/>
      <w:bCs/>
    </w:rPr>
  </w:style>
  <w:style w:type="paragraph" w:styleId="29">
    <w:name w:val="Body Text First Indent 2"/>
    <w:basedOn w:val="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6"/>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2"/>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4"/>
    <w:semiHidden/>
    <w:qFormat/>
    <w:uiPriority w:val="0"/>
    <w:rPr>
      <w:b/>
      <w:bCs/>
      <w:kern w:val="44"/>
      <w:sz w:val="44"/>
      <w:szCs w:val="44"/>
    </w:rPr>
  </w:style>
  <w:style w:type="paragraph" w:customStyle="1" w:styleId="68">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7"/>
    <w:semiHidden/>
    <w:qFormat/>
    <w:uiPriority w:val="0"/>
    <w:rPr>
      <w:rFonts w:ascii="Arial" w:hAnsi="Arial"/>
      <w:b/>
      <w:bCs/>
      <w:kern w:val="2"/>
      <w:sz w:val="21"/>
      <w:szCs w:val="28"/>
    </w:rPr>
  </w:style>
  <w:style w:type="character" w:customStyle="1" w:styleId="78">
    <w:name w:val="标题 5 字符"/>
    <w:basedOn w:val="32"/>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7534</Words>
  <Characters>7825</Characters>
  <Lines>127</Lines>
  <Paragraphs>35</Paragraphs>
  <TotalTime>1</TotalTime>
  <ScaleCrop>false</ScaleCrop>
  <LinksUpToDate>false</LinksUpToDate>
  <CharactersWithSpaces>8597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2025-10-13T03:39:03Z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F625847F33B7475AABCD501F1795CC31_13</vt:lpwstr>
  </property>
  <property fmtid="{D5CDD505-2E9C-101B-9397-08002B2CF9AE}" pid="4" name="KSOTemplateDocerSaveRecord">
    <vt:lpwstr>eyJoZGlkIjoiNGVmYjYwMTVkYTcwNzlmYzkyYzZmMzIwZTI3ZGZlNjgiLCJ1c2VySWQiOiIxMDYzNzE1ODkzIn0=</vt:lpwstr>
  </property>
</Properties>
</file>