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中国重汽集团大同齿轮有限公司东风柳汽仓储服务项目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FSCZB2025090126</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10</w:t>
      </w:r>
      <w:r>
        <w:rPr>
          <w:rFonts w:hint="eastAsia" w:ascii="宋体" w:hAnsi="宋体"/>
          <w:b/>
          <w:bCs/>
          <w:sz w:val="28"/>
          <w:szCs w:val="28"/>
          <w:u w:val="single"/>
        </w:rPr>
        <w:t>月</w:t>
      </w:r>
    </w:p>
    <w:p w14:paraId="582BF911">
      <w:pPr>
        <w:pStyle w:val="16"/>
        <w:tabs>
          <w:tab w:val="left" w:pos="2940"/>
        </w:tabs>
        <w:spacing w:line="360" w:lineRule="auto"/>
      </w:pPr>
      <w:r>
        <w:tab/>
      </w:r>
    </w:p>
    <w:p w14:paraId="29FEE1FC">
      <w:pPr>
        <w:pStyle w:val="16"/>
        <w:spacing w:line="360" w:lineRule="auto"/>
        <w:jc w:val="center"/>
      </w:pPr>
    </w:p>
    <w:p w14:paraId="298FB9AC">
      <w:pPr>
        <w:pStyle w:val="16"/>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pPr>
      <w:bookmarkStart w:id="0" w:name="_Toc47976587"/>
      <w:bookmarkStart w:id="1" w:name="_Toc7104"/>
      <w:r>
        <w:rPr>
          <w:rFonts w:hint="eastAsia"/>
        </w:rPr>
        <w:t>招标公告</w:t>
      </w:r>
      <w:bookmarkEnd w:id="0"/>
      <w:bookmarkEnd w:id="1"/>
    </w:p>
    <w:p w14:paraId="22C6BEDA">
      <w:pPr>
        <w:pStyle w:val="72"/>
        <w:rPr>
          <w:rFonts w:hint="eastAsia"/>
          <w:highlight w:val="cyan"/>
          <w:u w:val="single"/>
          <w:lang w:val="en-US" w:eastAsia="zh-CN"/>
        </w:rPr>
      </w:pPr>
      <w:bookmarkStart w:id="2" w:name="_Toc32474"/>
      <w:r>
        <w:rPr>
          <w:rFonts w:hint="eastAsia"/>
          <w:sz w:val="28"/>
          <w:lang w:val="en-US" w:eastAsia="zh-CN"/>
        </w:rPr>
        <w:t>中国重汽集团</w:t>
      </w:r>
      <w:r>
        <w:rPr>
          <w:rFonts w:hint="eastAsia"/>
          <w:sz w:val="28"/>
          <w:lang w:eastAsia="zh-CN"/>
        </w:rPr>
        <w:t>东风柳汽仓储服务项目</w:t>
      </w:r>
      <w:r>
        <w:rPr>
          <w:rFonts w:hint="eastAsia"/>
          <w:sz w:val="28"/>
        </w:rPr>
        <w:t>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val="en-US" w:eastAsia="zh-CN"/>
        </w:rPr>
        <w:t>东风柳汽仓储服务项目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FSCZB2025090126</w:t>
      </w:r>
    </w:p>
    <w:p w14:paraId="09C2DB2D">
      <w:pPr>
        <w:pStyle w:val="77"/>
        <w:numPr>
          <w:ilvl w:val="0"/>
          <w:numId w:val="10"/>
        </w:numPr>
        <w:ind w:left="425" w:leftChars="0" w:hanging="425" w:firstLineChars="0"/>
        <w:rPr>
          <w:rFonts w:hint="eastAsia" w:cs="Times New Roman"/>
          <w:highlight w:val="none"/>
          <w:lang w:val="en-US" w:eastAsia="zh-CN"/>
        </w:rPr>
      </w:pPr>
      <w:r>
        <w:rPr>
          <w:rFonts w:hint="eastAsia"/>
          <w:b/>
          <w:bCs/>
        </w:rPr>
        <w:t>招标形式</w:t>
      </w:r>
      <w:r>
        <w:rPr>
          <w:rFonts w:hint="eastAsia"/>
        </w:rPr>
        <w:t>：</w:t>
      </w:r>
      <w:bookmarkStart w:id="4" w:name="_Toc47112482"/>
      <w:r>
        <w:rPr>
          <w:rFonts w:hint="eastAsia"/>
          <w:lang w:val="en-US" w:eastAsia="zh-CN"/>
        </w:rPr>
        <w:t>公开招标</w:t>
      </w:r>
    </w:p>
    <w:p w14:paraId="218D8651">
      <w:pPr>
        <w:pStyle w:val="77"/>
        <w:numPr>
          <w:ilvl w:val="0"/>
          <w:numId w:val="10"/>
        </w:numPr>
        <w:ind w:left="425" w:leftChars="0" w:hanging="425" w:firstLineChars="0"/>
        <w:rPr>
          <w:rFonts w:hint="eastAsia" w:cs="Times New Roman"/>
          <w:highlight w:val="none"/>
          <w:lang w:val="en-US" w:eastAsia="zh-CN"/>
        </w:rPr>
      </w:pPr>
      <w:r>
        <w:rPr>
          <w:rFonts w:hint="eastAsia"/>
          <w:b/>
          <w:bCs/>
          <w:lang w:val="en-US" w:eastAsia="zh-CN"/>
        </w:rPr>
        <w:t>项目概况</w:t>
      </w:r>
      <w:r>
        <w:rPr>
          <w:rFonts w:hint="eastAsia"/>
          <w:lang w:val="en-US" w:eastAsia="zh-CN"/>
        </w:rPr>
        <w:t>：东风柳州汽车有限公司供货的仓储服务，主要服务于东风柳州汽车有限公司内柳州地区各主机厂变速箱总成订单上线前产品的暂存保管、按主机厂要求更换包装并配送至指定地点、保管装卸工位器具、配件的临时接收暂存等工作。</w:t>
      </w: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3C8DE851">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none"/>
          <w:u w:val="single"/>
          <w:lang w:val="en-US" w:eastAsia="zh-CN"/>
        </w:rPr>
        <w:t>10</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none"/>
          <w:u w:val="single"/>
          <w:lang w:val="en-US" w:eastAsia="zh-CN"/>
        </w:rPr>
        <w:t xml:space="preserve"> </w:t>
      </w:r>
      <w:r>
        <w:rPr>
          <w:rFonts w:hint="eastAsia" w:cs="Times New Roman"/>
          <w:b w:val="0"/>
          <w:bCs/>
          <w:strike w:val="0"/>
          <w:dstrike w:val="0"/>
          <w:highlight w:val="none"/>
          <w:u w:val="single"/>
          <w:lang w:val="en-US" w:eastAsia="zh-CN"/>
        </w:rPr>
        <w:t>3</w:t>
      </w:r>
      <w:r>
        <w:rPr>
          <w:rFonts w:hint="eastAsia" w:ascii="宋体" w:hAnsi="Courier New" w:eastAsia="宋体" w:cs="Times New Roman"/>
          <w:b w:val="0"/>
          <w:bCs/>
          <w:strike w:val="0"/>
          <w:dstrike w:val="0"/>
          <w:highlight w:val="none"/>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4"/>
        <w:keepNext w:val="0"/>
        <w:keepLines w:val="0"/>
        <w:pageBreakBefore w:val="0"/>
        <w:widowControl w:val="0"/>
        <w:numPr>
          <w:ilvl w:val="0"/>
          <w:numId w:val="11"/>
        </w:numPr>
        <w:kinsoku/>
        <w:wordWrap/>
        <w:overflowPunct/>
        <w:topLinePunct w:val="0"/>
        <w:autoSpaceDE/>
        <w:autoSpaceDN/>
        <w:bidi w:val="0"/>
        <w:adjustRightInd/>
        <w:snapToGrid/>
        <w:ind w:left="0" w:firstLine="420" w:firstLineChars="200"/>
        <w:textAlignment w:val="auto"/>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4"/>
        <w:keepNext w:val="0"/>
        <w:keepLines w:val="0"/>
        <w:pageBreakBefore w:val="0"/>
        <w:widowControl w:val="0"/>
        <w:numPr>
          <w:ilvl w:val="0"/>
          <w:numId w:val="11"/>
        </w:numPr>
        <w:kinsoku/>
        <w:wordWrap/>
        <w:overflowPunct/>
        <w:topLinePunct w:val="0"/>
        <w:autoSpaceDE/>
        <w:autoSpaceDN/>
        <w:bidi w:val="0"/>
        <w:adjustRightInd/>
        <w:snapToGrid/>
        <w:ind w:left="0" w:firstLine="420" w:firstLineChars="200"/>
        <w:textAlignment w:val="auto"/>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4"/>
        <w:keepNext w:val="0"/>
        <w:keepLines w:val="0"/>
        <w:pageBreakBefore w:val="0"/>
        <w:widowControl w:val="0"/>
        <w:numPr>
          <w:ilvl w:val="0"/>
          <w:numId w:val="11"/>
        </w:numPr>
        <w:kinsoku/>
        <w:wordWrap/>
        <w:overflowPunct/>
        <w:topLinePunct w:val="0"/>
        <w:autoSpaceDE/>
        <w:autoSpaceDN/>
        <w:bidi w:val="0"/>
        <w:adjustRightInd/>
        <w:snapToGrid/>
        <w:ind w:left="0" w:leftChars="0" w:firstLine="420" w:firstLineChars="20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67055C8C">
      <w:pPr>
        <w:keepNext w:val="0"/>
        <w:keepLines w:val="0"/>
        <w:pageBreakBefore w:val="0"/>
        <w:widowControl w:val="0"/>
        <w:kinsoku/>
        <w:wordWrap/>
        <w:overflowPunct/>
        <w:topLinePunct w:val="0"/>
        <w:autoSpaceDE/>
        <w:autoSpaceDN/>
        <w:bidi w:val="0"/>
        <w:adjustRightInd/>
        <w:snapToGrid/>
        <w:ind w:firstLine="420" w:firstLineChars="200"/>
        <w:textAlignment w:val="auto"/>
        <w:rPr>
          <w:rFonts w:hint="default" w:eastAsia="宋体"/>
          <w:b w:val="0"/>
          <w:bCs/>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w:t>
      </w:r>
      <w:r>
        <w:rPr>
          <w:rFonts w:hint="eastAsia"/>
          <w:b w:val="0"/>
          <w:bCs/>
          <w:strike w:val="0"/>
          <w:dstrike w:val="0"/>
          <w:highlight w:val="none"/>
          <w:lang w:val="en-US" w:eastAsia="zh-CN"/>
        </w:rPr>
        <w:t>服务</w:t>
      </w:r>
      <w:r>
        <w:rPr>
          <w:rFonts w:hint="eastAsia"/>
          <w:b w:val="0"/>
          <w:bCs/>
          <w:strike w:val="0"/>
          <w:dstrike w:val="0"/>
          <w:highlight w:val="none"/>
        </w:rPr>
        <w:t>的</w:t>
      </w:r>
      <w:r>
        <w:rPr>
          <w:rFonts w:hint="eastAsia"/>
          <w:b w:val="0"/>
          <w:bCs/>
          <w:strike w:val="0"/>
          <w:dstrike w:val="0"/>
          <w:highlight w:val="none"/>
          <w:lang w:val="en-US" w:eastAsia="zh-CN"/>
        </w:rPr>
        <w:t>直接提供者，不接受代理投标。</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14</w:t>
      </w:r>
      <w:r>
        <w:rPr>
          <w:rFonts w:hint="eastAsia" w:ascii="宋体" w:hAnsi="Courier New" w:eastAsia="宋体" w:cs="Times New Roman"/>
          <w:highlight w:val="none"/>
          <w:lang w:val="en-US" w:eastAsia="zh-CN"/>
        </w:rPr>
        <w:t>日</w:t>
      </w:r>
    </w:p>
    <w:p w14:paraId="04ACA6F8">
      <w:pPr>
        <w:pStyle w:val="77"/>
        <w:numPr>
          <w:ilvl w:val="0"/>
          <w:numId w:val="12"/>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发标方式</w:t>
      </w:r>
      <w:r>
        <w:rPr>
          <w:rFonts w:hint="eastAsia" w:ascii="宋体" w:hAnsi="Courier New" w:eastAsia="宋体" w:cs="Times New Roman"/>
          <w:highlight w:val="none"/>
          <w:lang w:val="en-US" w:eastAsia="zh-CN"/>
        </w:rPr>
        <w:t>：中国重汽官网</w:t>
      </w:r>
    </w:p>
    <w:p w14:paraId="7AB51490">
      <w:pPr>
        <w:pStyle w:val="77"/>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2"/>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20</w:t>
      </w:r>
      <w:bookmarkStart w:id="11" w:name="_GoBack"/>
      <w:bookmarkEnd w:id="11"/>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default" w:ascii="宋体" w:hAnsi="Courier New" w:eastAsia="宋体" w:cs="Times New Roman"/>
          <w:highlight w:val="none"/>
          <w:lang w:val="en-US" w:eastAsia="zh-CN"/>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0"/>
        </w:numPr>
        <w:ind w:leftChars="0"/>
        <w:rPr>
          <w:b w:val="0"/>
          <w:bCs/>
          <w:highlight w:val="none"/>
        </w:rPr>
      </w:pPr>
      <w:r>
        <w:rPr>
          <w:rFonts w:hint="eastAsia"/>
          <w:b/>
          <w:bCs w:val="0"/>
          <w:highlight w:val="none"/>
        </w:rPr>
        <w:t>资质文件</w:t>
      </w:r>
      <w:r>
        <w:rPr>
          <w:rFonts w:hint="eastAsia"/>
          <w:b w:val="0"/>
          <w:bCs/>
          <w:highlight w:val="none"/>
        </w:rPr>
        <w:t>：</w:t>
      </w:r>
    </w:p>
    <w:p w14:paraId="0B30A19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bookmarkStart w:id="6" w:name="_Toc47976601"/>
      <w:r>
        <w:rPr>
          <w:rFonts w:hint="eastAsia"/>
          <w:b w:val="0"/>
          <w:bCs/>
        </w:rPr>
        <w:t>1.1营业执照副本复印件（需加盖公章）；</w:t>
      </w:r>
    </w:p>
    <w:p w14:paraId="63B4423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1.2投标函；</w:t>
      </w:r>
    </w:p>
    <w:p w14:paraId="155E58A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1.3法定代表人授权书；法定代表人参加投标的，提供法人身份证明文件即可；被授权人参加投标的，需提供法定代表人授权委托书（含法人身份证和被授权人身份证正反面复印件）和被授权人近6个月及以上在授权单位的社保缴纳证明；</w:t>
      </w:r>
    </w:p>
    <w:p w14:paraId="614B6AF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1.4出具近</w:t>
      </w:r>
      <w:r>
        <w:rPr>
          <w:rFonts w:hint="eastAsia"/>
          <w:b w:val="0"/>
          <w:bCs/>
          <w:lang w:val="en-US" w:eastAsia="zh-CN"/>
        </w:rPr>
        <w:t>三</w:t>
      </w:r>
      <w:r>
        <w:rPr>
          <w:rFonts w:hint="eastAsia"/>
          <w:b w:val="0"/>
          <w:bCs/>
        </w:rPr>
        <w:t>年的财务审计报告，并加盖公章，包括但不限于报告页、经审计的资产负债表、利润表、现金流量表</w:t>
      </w:r>
      <w:r>
        <w:rPr>
          <w:rFonts w:hint="eastAsia"/>
          <w:b w:val="0"/>
          <w:bCs/>
          <w:lang w:eastAsia="zh-CN"/>
        </w:rPr>
        <w:t>。</w:t>
      </w:r>
      <w:r>
        <w:rPr>
          <w:rFonts w:hint="eastAsia"/>
          <w:b w:val="0"/>
          <w:bCs/>
        </w:rPr>
        <w:t>（如投标人公司没有经审计的财务报告，可提供加盖公章的近</w:t>
      </w:r>
      <w:r>
        <w:rPr>
          <w:rFonts w:hint="eastAsia"/>
          <w:b w:val="0"/>
          <w:bCs/>
          <w:lang w:val="en-US" w:eastAsia="zh-CN"/>
        </w:rPr>
        <w:t>三</w:t>
      </w:r>
      <w:r>
        <w:rPr>
          <w:rFonts w:hint="eastAsia"/>
          <w:b w:val="0"/>
          <w:bCs/>
        </w:rPr>
        <w:t>年财务报表，包括但不限于资产负债表、利润表、现金流量表）</w:t>
      </w:r>
      <w:r>
        <w:rPr>
          <w:rFonts w:hint="eastAsia"/>
          <w:b w:val="0"/>
          <w:bCs/>
          <w:lang w:eastAsia="zh-CN"/>
        </w:rPr>
        <w:t>，</w:t>
      </w:r>
      <w:r>
        <w:rPr>
          <w:rFonts w:hint="eastAsia"/>
          <w:b w:val="0"/>
          <w:bCs/>
        </w:rPr>
        <w:t>必须连续</w:t>
      </w:r>
      <w:r>
        <w:rPr>
          <w:rFonts w:hint="eastAsia"/>
          <w:b w:val="0"/>
          <w:bCs/>
          <w:lang w:eastAsia="zh-CN"/>
        </w:rPr>
        <w:t>；</w:t>
      </w:r>
    </w:p>
    <w:p w14:paraId="3385DBD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1.5近三年内在经营活动中无与本项目有关的违法及重大违规行为的声明；</w:t>
      </w:r>
    </w:p>
    <w:p w14:paraId="3E0884D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1.6投标人在国家企业信用信息公示系统中无与本项目有关的行政处罚、经营异常和失信信息的声明；</w:t>
      </w:r>
    </w:p>
    <w:p w14:paraId="475108B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1.7企业对外担保说明（写明贵单位对外有无对外担保和质押业务，需加盖公章）；</w:t>
      </w:r>
    </w:p>
    <w:p w14:paraId="572AE4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b w:val="0"/>
          <w:bCs/>
        </w:rPr>
      </w:pPr>
      <w:r>
        <w:rPr>
          <w:rFonts w:hint="eastAsia"/>
          <w:b w:val="0"/>
          <w:bCs/>
        </w:rPr>
        <w:t>1.</w:t>
      </w:r>
      <w:r>
        <w:rPr>
          <w:rFonts w:hint="eastAsia"/>
          <w:b w:val="0"/>
          <w:bCs/>
          <w:lang w:val="en-US" w:eastAsia="zh-CN"/>
        </w:rPr>
        <w:t>8</w:t>
      </w:r>
      <w:r>
        <w:rPr>
          <w:rFonts w:hint="eastAsia"/>
          <w:b w:val="0"/>
          <w:bCs/>
        </w:rPr>
        <w:t>企业最近半年的完税证明，并附年度纳税信用评价信息（可从电子税务局查询截图）；</w:t>
      </w:r>
    </w:p>
    <w:p w14:paraId="409C95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highlight w:val="yellow"/>
          <w:lang w:val="en-US" w:eastAsia="zh-CN" w:bidi="ar-SA"/>
        </w:rPr>
      </w:pPr>
      <w:r>
        <w:rPr>
          <w:rFonts w:hint="eastAsia"/>
          <w:b w:val="0"/>
          <w:bCs/>
        </w:rPr>
        <w:t>1.</w:t>
      </w:r>
      <w:r>
        <w:rPr>
          <w:rFonts w:hint="eastAsia"/>
          <w:b w:val="0"/>
          <w:bCs/>
          <w:lang w:val="en-US" w:eastAsia="zh-CN"/>
        </w:rPr>
        <w:t>9</w:t>
      </w:r>
      <w:r>
        <w:rPr>
          <w:rFonts w:hint="eastAsia"/>
          <w:b w:val="0"/>
          <w:bCs/>
        </w:rPr>
        <w:t xml:space="preserve"> 202</w:t>
      </w:r>
      <w:r>
        <w:rPr>
          <w:rFonts w:hint="eastAsia"/>
          <w:b w:val="0"/>
          <w:bCs/>
          <w:lang w:val="en-US" w:eastAsia="zh-CN"/>
        </w:rPr>
        <w:t>2</w:t>
      </w:r>
      <w:r>
        <w:rPr>
          <w:rFonts w:hint="eastAsia"/>
          <w:b w:val="0"/>
          <w:bCs/>
        </w:rPr>
        <w:t>年1月1日至今，企业近三年同类项目业绩证明，须提供用户清单、采购合同复印件；</w:t>
      </w:r>
    </w:p>
    <w:bookmarkEnd w:id="6"/>
    <w:p w14:paraId="5880241B">
      <w:pPr>
        <w:pStyle w:val="73"/>
        <w:rPr>
          <w:rFonts w:ascii="宋体" w:hAnsi="宋体" w:cs="宋体"/>
          <w:sz w:val="24"/>
          <w:szCs w:val="24"/>
        </w:rPr>
      </w:pPr>
      <w:r>
        <w:rPr>
          <w:rFonts w:hint="eastAsia"/>
          <w:lang w:val="en-US" w:eastAsia="zh-CN"/>
        </w:rPr>
        <w:t>交货及付款</w:t>
      </w:r>
    </w:p>
    <w:p w14:paraId="7B8C9C44">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bCs/>
          <w:kern w:val="2"/>
          <w:sz w:val="21"/>
          <w:szCs w:val="21"/>
          <w:highlight w:val="none"/>
          <w:lang w:val="en-US" w:eastAsia="zh-CN" w:bidi="ar-SA"/>
        </w:rPr>
        <w:t>1、交货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：中国重汽集团大同齿轮有限公司</w:t>
      </w:r>
    </w:p>
    <w:p w14:paraId="43B83927">
      <w:pPr>
        <w:pStyle w:val="16"/>
        <w:numPr>
          <w:ilvl w:val="0"/>
          <w:numId w:val="0"/>
        </w:numPr>
        <w:spacing w:line="360" w:lineRule="auto"/>
        <w:ind w:firstLine="422" w:firstLineChars="200"/>
        <w:rPr>
          <w:rFonts w:hint="eastAsia" w:ascii="Calibri" w:hAnsi="Calibri" w:eastAsia="宋体"/>
          <w:highlight w:val="none"/>
          <w:lang w:eastAsia="zh-CN"/>
        </w:rPr>
      </w:pPr>
      <w:r>
        <w:rPr>
          <w:rFonts w:hint="eastAsia" w:hAnsi="宋体" w:cs="宋体"/>
          <w:b/>
          <w:bCs/>
          <w:sz w:val="21"/>
          <w:szCs w:val="21"/>
          <w:highlight w:val="none"/>
          <w:lang w:val="en-US" w:eastAsia="zh-CN"/>
        </w:rPr>
        <w:t>2、</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Calibri" w:hAnsi="Calibri"/>
          <w:b/>
          <w:bCs/>
          <w:highlight w:val="none"/>
        </w:rPr>
        <w:t>付款结算方法：</w:t>
      </w:r>
      <w:r>
        <w:rPr>
          <w:rFonts w:hint="eastAsia" w:ascii="Calibri" w:hAnsi="Calibri"/>
          <w:highlight w:val="none"/>
          <w:u w:val="single"/>
          <w:lang w:val="en-US" w:eastAsia="zh-CN"/>
        </w:rPr>
        <w:t>转账</w:t>
      </w:r>
    </w:p>
    <w:p w14:paraId="34F1853B">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ascii="Calibri" w:hAnsi="Calibri" w:eastAsia="宋体" w:cs="Times New Roman"/>
          <w:b w:val="0"/>
          <w:bCs w:val="0"/>
          <w:kern w:val="2"/>
          <w:sz w:val="21"/>
          <w:highlight w:val="none"/>
          <w:u w:val="single"/>
          <w:lang w:val="en-US" w:eastAsia="zh-CN" w:bidi="ar-SA"/>
        </w:rPr>
      </w:pPr>
      <w:r>
        <w:rPr>
          <w:rFonts w:hint="eastAsia" w:ascii="Calibri" w:hAnsi="Calibri" w:eastAsia="宋体" w:cs="Times New Roman"/>
          <w:b w:val="0"/>
          <w:bCs w:val="0"/>
          <w:kern w:val="2"/>
          <w:sz w:val="21"/>
          <w:highlight w:val="none"/>
          <w:u w:val="single"/>
          <w:lang w:val="en-US" w:eastAsia="zh-CN" w:bidi="ar-SA"/>
        </w:rPr>
        <w:t>乙方完成甲方的需求，乙方开具合同价款100%的收据并增值税专用发票，经甲方核对无误后支付。</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23E75332">
      <w:pPr>
        <w:rPr>
          <w:rFonts w:hint="default" w:hAnsi="宋体"/>
          <w:sz w:val="24"/>
          <w:lang w:val="en-US"/>
        </w:rPr>
      </w:pPr>
      <w:r>
        <w:rPr>
          <w:rFonts w:hint="default" w:hAnsi="宋体"/>
          <w:sz w:val="24"/>
          <w:lang w:val="en-US"/>
        </w:rPr>
        <w:br w:type="page"/>
      </w:r>
    </w:p>
    <w:p w14:paraId="56A6EBFD">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7" w:name="_Toc25811"/>
      <w:bookmarkStart w:id="8" w:name="_Toc639004"/>
      <w:bookmarkStart w:id="9" w:name="_Toc353881012"/>
      <w:bookmarkStart w:id="10" w:name="_Toc212369550"/>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7"/>
      <w:bookmarkEnd w:id="8"/>
      <w:bookmarkEnd w:id="9"/>
      <w:bookmarkEnd w:id="10"/>
    </w:p>
    <w:p w14:paraId="6E4810B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295EF46">
      <w:pPr>
        <w:spacing w:line="360" w:lineRule="auto"/>
        <w:ind w:firstLine="480" w:firstLineChars="200"/>
        <w:rPr>
          <w:rFonts w:hint="eastAsia" w:ascii="宋体" w:hAnsi="宋体" w:eastAsia="宋体" w:cs="Times New Roman"/>
          <w:color w:val="000000"/>
          <w:sz w:val="24"/>
          <w:szCs w:val="24"/>
          <w:lang w:eastAsia="zh-CN"/>
        </w:rPr>
      </w:pPr>
      <w:r>
        <w:rPr>
          <w:rFonts w:hint="eastAsia" w:ascii="宋体" w:hAnsi="宋体" w:eastAsia="宋体" w:cs="Times New Roman"/>
          <w:color w:val="000000"/>
          <w:sz w:val="24"/>
          <w:szCs w:val="24"/>
        </w:rPr>
        <w:t>根据贵方</w:t>
      </w:r>
      <w:r>
        <w:rPr>
          <w:rFonts w:hint="eastAsia" w:ascii="宋体" w:hAnsi="宋体" w:cs="宋体"/>
          <w:b/>
          <w:bCs/>
          <w:sz w:val="24"/>
          <w:szCs w:val="24"/>
          <w:highlight w:val="none"/>
          <w:u w:val="single"/>
          <w:lang w:val="en-US" w:eastAsia="zh-CN"/>
        </w:rPr>
        <w:t>东风柳汽仓储服务项目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bCs/>
          <w:snapToGrid w:val="0"/>
          <w:color w:val="000000"/>
          <w:kern w:val="0"/>
          <w:sz w:val="24"/>
          <w:szCs w:val="24"/>
          <w:lang w:eastAsia="zh-CN"/>
        </w:rPr>
        <w:t>，</w:t>
      </w:r>
      <w:r>
        <w:rPr>
          <w:rFonts w:hint="eastAsia" w:ascii="宋体" w:hAnsi="宋体" w:cs="Times New Roman"/>
          <w:bCs/>
          <w:snapToGrid w:val="0"/>
          <w:color w:val="000000"/>
          <w:kern w:val="0"/>
          <w:sz w:val="24"/>
          <w:szCs w:val="24"/>
          <w:u w:val="single"/>
          <w:lang w:val="en-US" w:eastAsia="zh-CN"/>
        </w:rPr>
        <w:t xml:space="preserve">    </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提交投标文件：资质证明文件、商务文件和技术文件</w:t>
      </w:r>
      <w:r>
        <w:rPr>
          <w:rFonts w:hint="eastAsia" w:ascii="宋体" w:hAnsi="宋体" w:eastAsia="宋体" w:cs="Times New Roman"/>
          <w:color w:val="000000"/>
          <w:sz w:val="24"/>
          <w:szCs w:val="24"/>
          <w:lang w:eastAsia="zh-CN"/>
        </w:rPr>
        <w:t>。</w:t>
      </w:r>
    </w:p>
    <w:p w14:paraId="471EB92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2DEF39A6">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D2EEC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480640A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7046ACF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1761ED67">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29630F84">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7F4C498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35031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0496EBF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339A2CFF">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5E3B7A8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43CDA597">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5B9FF45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685795E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3B9632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82FE251">
      <w:pPr>
        <w:rPr>
          <w:rFonts w:ascii="黑体" w:hAnsi="Calibri" w:eastAsia="黑体" w:cs="Times New Roman"/>
          <w:color w:val="000000"/>
          <w:sz w:val="24"/>
          <w:szCs w:val="24"/>
        </w:rPr>
      </w:pPr>
    </w:p>
    <w:p w14:paraId="7CADBD8E">
      <w:pPr>
        <w:pStyle w:val="16"/>
        <w:rPr>
          <w:rFonts w:ascii="黑体" w:hAnsi="Calibri" w:eastAsia="黑体" w:cs="Times New Roman"/>
          <w:color w:val="000000"/>
          <w:sz w:val="24"/>
          <w:szCs w:val="24"/>
        </w:rPr>
      </w:pPr>
    </w:p>
    <w:p w14:paraId="4CA7A370">
      <w:pPr>
        <w:pStyle w:val="16"/>
        <w:rPr>
          <w:rFonts w:ascii="黑体" w:hAnsi="Calibri" w:eastAsia="黑体" w:cs="Times New Roman"/>
          <w:color w:val="000000"/>
          <w:sz w:val="24"/>
          <w:szCs w:val="24"/>
        </w:rPr>
      </w:pPr>
    </w:p>
    <w:p w14:paraId="28AE6C52">
      <w:pPr>
        <w:pStyle w:val="16"/>
        <w:rPr>
          <w:rFonts w:ascii="黑体" w:hAnsi="Calibri" w:eastAsia="黑体" w:cs="Times New Roman"/>
          <w:color w:val="000000"/>
          <w:sz w:val="24"/>
          <w:szCs w:val="24"/>
        </w:rPr>
      </w:pPr>
    </w:p>
    <w:p w14:paraId="44A19F45">
      <w:pPr>
        <w:pStyle w:val="16"/>
        <w:rPr>
          <w:rFonts w:ascii="黑体" w:hAnsi="Calibri" w:eastAsia="黑体" w:cs="Times New Roman"/>
          <w:color w:val="000000"/>
          <w:sz w:val="24"/>
          <w:szCs w:val="24"/>
        </w:rPr>
      </w:pPr>
    </w:p>
    <w:p w14:paraId="7F655D9A">
      <w:pPr>
        <w:rPr>
          <w:rFonts w:ascii="黑体" w:hAnsi="Calibri" w:eastAsia="黑体" w:cs="Times New Roman"/>
          <w:color w:val="000000"/>
          <w:sz w:val="24"/>
          <w:szCs w:val="24"/>
        </w:rPr>
      </w:pPr>
    </w:p>
    <w:p w14:paraId="3C938287">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D1A60D8">
      <w:pPr>
        <w:adjustRightInd w:val="0"/>
        <w:snapToGrid w:val="0"/>
        <w:spacing w:before="93" w:beforeLines="30" w:line="240" w:lineRule="exact"/>
        <w:jc w:val="center"/>
        <w:rPr>
          <w:rFonts w:ascii="宋体" w:hAnsi="Calibri" w:eastAsia="宋体" w:cs="Times New Roman"/>
          <w:sz w:val="24"/>
          <w:szCs w:val="20"/>
        </w:rPr>
      </w:pPr>
    </w:p>
    <w:p w14:paraId="430A164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宋体"/>
          <w:b/>
          <w:bCs/>
          <w:sz w:val="24"/>
          <w:szCs w:val="24"/>
          <w:highlight w:val="none"/>
          <w:u w:val="single"/>
          <w:lang w:val="en-US" w:eastAsia="zh-CN"/>
        </w:rPr>
        <w:t>东风柳汽仓储服务项目</w:t>
      </w:r>
      <w:r>
        <w:rPr>
          <w:rFonts w:hint="eastAsia" w:ascii="宋体" w:hAnsi="宋体" w:eastAsia="宋体" w:cs="Times New Roman"/>
          <w:b/>
          <w:bCs/>
          <w:color w:val="000000"/>
          <w:sz w:val="24"/>
          <w:szCs w:val="24"/>
          <w:u w:val="single"/>
          <w:lang w:eastAsia="zh-CN"/>
        </w:rPr>
        <w:t>（</w:t>
      </w:r>
      <w:r>
        <w:rPr>
          <w:rFonts w:hint="eastAsia" w:ascii="宋体" w:hAnsi="宋体" w:cs="宋体"/>
          <w:b/>
          <w:bCs/>
          <w:sz w:val="24"/>
          <w:szCs w:val="24"/>
          <w:highlight w:val="none"/>
          <w:lang w:val="en-US" w:eastAsia="zh-CN"/>
        </w:rPr>
        <w:t>FSCZB2025090126</w:t>
      </w:r>
      <w:r>
        <w:rPr>
          <w:rFonts w:hint="eastAsia" w:ascii="宋体" w:hAnsi="宋体" w:eastAsia="宋体" w:cs="Times New Roman"/>
          <w:b/>
          <w:bCs/>
          <w:color w:val="000000"/>
          <w:sz w:val="24"/>
          <w:szCs w:val="24"/>
          <w:u w:val="single"/>
          <w:lang w:eastAsia="zh-CN"/>
        </w:rPr>
        <w:t>）</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24430C2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D6BEDA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57E4DF9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sz w:val="24"/>
                <w:szCs w:val="20"/>
              </w:rPr>
              <w:t>正反面）</w:t>
            </w:r>
          </w:p>
          <w:p w14:paraId="23DC1A6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5B7E48C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114C084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72159C3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7C91A2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2450F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35E602C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365BA077">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36DB774">
      <w:pPr>
        <w:rPr>
          <w:rFonts w:ascii="Calibri" w:hAnsi="Calibri" w:eastAsia="黑体" w:cs="Times New Roman"/>
          <w:b/>
          <w:bCs/>
          <w:color w:val="000000"/>
          <w:sz w:val="28"/>
          <w:szCs w:val="20"/>
        </w:rPr>
      </w:pPr>
    </w:p>
    <w:p w14:paraId="348B0F2C">
      <w:pPr>
        <w:pStyle w:val="16"/>
        <w:rPr>
          <w:rFonts w:ascii="Calibri" w:hAnsi="Calibri" w:eastAsia="黑体" w:cs="Times New Roman"/>
          <w:b/>
          <w:bCs/>
          <w:color w:val="000000"/>
          <w:sz w:val="28"/>
          <w:szCs w:val="20"/>
        </w:rPr>
        <w:sectPr>
          <w:footerReference r:id="rId8" w:type="first"/>
          <w:headerReference r:id="rId6" w:type="default"/>
          <w:footerReference r:id="rId7" w:type="default"/>
          <w:pgSz w:w="11906" w:h="16838"/>
          <w:pgMar w:top="1588" w:right="1418" w:bottom="1134" w:left="1418" w:header="851" w:footer="992" w:gutter="0"/>
          <w:cols w:space="720" w:num="1"/>
          <w:titlePg/>
          <w:docGrid w:type="lines" w:linePitch="312" w:charSpace="0"/>
        </w:sectPr>
      </w:pPr>
    </w:p>
    <w:p w14:paraId="396A5D81">
      <w:pPr>
        <w:keepNext/>
        <w:keepLines/>
        <w:outlineLvl w:val="2"/>
        <w:rPr>
          <w:rFonts w:hint="eastAsia" w:ascii="宋体" w:hAnsi="宋体" w:eastAsia="宋体" w:cs="宋体"/>
          <w:b w:val="0"/>
          <w:bCs w:val="0"/>
          <w:spacing w:val="-9"/>
          <w:sz w:val="24"/>
          <w:szCs w:val="24"/>
          <w14:textOutline w14:w="4356" w14:cap="flat" w14:cmpd="sng">
            <w14:solidFill>
              <w14:srgbClr w14:val="000000"/>
            </w14:solidFill>
            <w14:prstDash w14:val="solid"/>
            <w14:miter w14:val="0"/>
          </w14:textOutline>
        </w:rPr>
      </w:pP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附</w:t>
      </w:r>
      <w:r>
        <w:rPr>
          <w:rFonts w:hint="eastAsia" w:ascii="宋体" w:hAnsi="宋体" w:eastAsia="宋体" w:cs="宋体"/>
          <w:b w:val="0"/>
          <w:bCs w:val="0"/>
          <w:spacing w:val="-14"/>
          <w:sz w:val="24"/>
          <w:szCs w:val="24"/>
          <w14:textOutline w14:w="4356" w14:cap="sq" w14:cmpd="sng">
            <w14:solidFill>
              <w14:srgbClr w14:val="000000"/>
            </w14:solidFill>
            <w14:prstDash w14:val="solid"/>
            <w14:bevel/>
          </w14:textOutline>
        </w:rPr>
        <w:t>件</w:t>
      </w:r>
      <w:r>
        <w:rPr>
          <w:rFonts w:hint="eastAsia" w:ascii="宋体" w:hAnsi="宋体" w:eastAsia="宋体" w:cs="宋体"/>
          <w:b w:val="0"/>
          <w:bCs w:val="0"/>
          <w:spacing w:val="-17"/>
          <w:sz w:val="24"/>
          <w:szCs w:val="24"/>
          <w14:textOutline w14:w="4356" w14:cap="sq" w14:cmpd="sng">
            <w14:solidFill>
              <w14:srgbClr w14:val="000000"/>
            </w14:solidFill>
            <w14:prstDash w14:val="solid"/>
            <w14:bevel/>
          </w14:textOutline>
        </w:rPr>
        <w:t xml:space="preserve">3 </w:t>
      </w:r>
      <w:r>
        <w:rPr>
          <w:rFonts w:hint="eastAsia" w:ascii="宋体" w:hAnsi="宋体" w:eastAsia="宋体" w:cs="宋体"/>
          <w:b w:val="0"/>
          <w:bCs w:val="0"/>
          <w:spacing w:val="15"/>
          <w:position w:val="3"/>
          <w:sz w:val="24"/>
          <w:szCs w:val="24"/>
          <w14:textOutline w14:w="4356" w14:cap="sq" w14:cmpd="sng">
            <w14:solidFill>
              <w14:srgbClr w14:val="000000"/>
            </w14:solidFill>
            <w14:prstDash w14:val="solid"/>
            <w14:bevel/>
          </w14:textOutline>
        </w:rPr>
        <w:t>投</w:t>
      </w:r>
      <w:r>
        <w:rPr>
          <w:rFonts w:hint="eastAsia" w:ascii="宋体" w:hAnsi="宋体" w:eastAsia="宋体" w:cs="宋体"/>
          <w:b w:val="0"/>
          <w:bCs w:val="0"/>
          <w:spacing w:val="8"/>
          <w:position w:val="3"/>
          <w:sz w:val="24"/>
          <w:szCs w:val="24"/>
          <w14:textOutline w14:w="4356" w14:cap="sq" w14:cmpd="sng">
            <w14:solidFill>
              <w14:srgbClr w14:val="000000"/>
            </w14:solidFill>
            <w14:prstDash w14:val="solid"/>
            <w14:bevel/>
          </w14:textOutline>
        </w:rPr>
        <w:t>标人基本情况及</w:t>
      </w:r>
      <w:r>
        <w:rPr>
          <w:rFonts w:hint="eastAsia" w:ascii="宋体" w:hAnsi="宋体" w:eastAsia="宋体" w:cs="宋体"/>
          <w:b w:val="0"/>
          <w:bCs w:val="0"/>
          <w:spacing w:val="8"/>
          <w:sz w:val="24"/>
          <w:szCs w:val="24"/>
          <w14:textOutline w14:w="4356" w14:cap="sq" w14:cmpd="sng">
            <w14:solidFill>
              <w14:srgbClr w14:val="000000"/>
            </w14:solidFill>
            <w14:prstDash w14:val="solid"/>
            <w14:bevel/>
          </w14:textOutline>
        </w:rPr>
        <w:t>资产情况汇总</w:t>
      </w:r>
      <w:r>
        <w:rPr>
          <w:rFonts w:hint="eastAsia" w:ascii="宋体" w:hAnsi="宋体" w:eastAsia="宋体" w:cs="宋体"/>
          <w:b w:val="0"/>
          <w:bCs w:val="0"/>
          <w:spacing w:val="7"/>
          <w:sz w:val="24"/>
          <w:szCs w:val="24"/>
          <w14:textOutline w14:w="4356" w14:cap="sq" w14:cmpd="sng">
            <w14:solidFill>
              <w14:srgbClr w14:val="000000"/>
            </w14:solidFill>
            <w14:prstDash w14:val="solid"/>
            <w14:bevel/>
          </w14:textOutline>
        </w:rPr>
        <w:t>表</w:t>
      </w:r>
    </w:p>
    <w:p w14:paraId="0144CA54">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1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4DE0039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467A997E">
            <w:pPr>
              <w:pStyle w:val="112"/>
              <w:spacing w:before="114"/>
              <w:ind w:left="720"/>
            </w:pPr>
            <w:r>
              <w:t xml:space="preserve">企业名称 </w:t>
            </w:r>
          </w:p>
        </w:tc>
        <w:tc>
          <w:tcPr>
            <w:tcW w:w="4680" w:type="dxa"/>
            <w:gridSpan w:val="4"/>
            <w:vAlign w:val="center"/>
          </w:tcPr>
          <w:p w14:paraId="095B8201">
            <w:pPr>
              <w:widowControl/>
              <w:jc w:val="center"/>
              <w:textAlignment w:val="center"/>
              <w:rPr>
                <w:rFonts w:ascii="宋体" w:hAnsi="宋体" w:eastAsia="宋体" w:cs="宋体"/>
                <w:color w:val="000000"/>
              </w:rPr>
            </w:pPr>
          </w:p>
        </w:tc>
        <w:tc>
          <w:tcPr>
            <w:tcW w:w="1310" w:type="dxa"/>
          </w:tcPr>
          <w:p w14:paraId="57DCA48F">
            <w:pPr>
              <w:pStyle w:val="112"/>
              <w:spacing w:before="106"/>
              <w:ind w:left="154" w:right="26"/>
              <w:jc w:val="center"/>
              <w:rPr>
                <w:color w:val="000000"/>
              </w:rPr>
            </w:pPr>
            <w:r>
              <w:rPr>
                <w:color w:val="000000"/>
              </w:rPr>
              <w:t xml:space="preserve">联系人 </w:t>
            </w:r>
          </w:p>
        </w:tc>
        <w:tc>
          <w:tcPr>
            <w:tcW w:w="1510" w:type="dxa"/>
            <w:vAlign w:val="center"/>
          </w:tcPr>
          <w:p w14:paraId="4819903C">
            <w:pPr>
              <w:widowControl/>
              <w:jc w:val="center"/>
              <w:textAlignment w:val="center"/>
              <w:rPr>
                <w:rFonts w:ascii="宋体" w:hAnsi="宋体" w:eastAsia="宋体" w:cs="宋体"/>
                <w:color w:val="000000"/>
                <w:szCs w:val="21"/>
              </w:rPr>
            </w:pPr>
          </w:p>
        </w:tc>
      </w:tr>
      <w:tr w14:paraId="54F0B9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1A13248D">
            <w:pPr>
              <w:pStyle w:val="112"/>
              <w:spacing w:before="114"/>
              <w:ind w:left="720"/>
            </w:pPr>
            <w:r>
              <w:t xml:space="preserve">企业地址 </w:t>
            </w:r>
          </w:p>
        </w:tc>
        <w:tc>
          <w:tcPr>
            <w:tcW w:w="4680" w:type="dxa"/>
            <w:gridSpan w:val="4"/>
            <w:vAlign w:val="center"/>
          </w:tcPr>
          <w:p w14:paraId="4009A84D">
            <w:pPr>
              <w:widowControl/>
              <w:jc w:val="center"/>
              <w:textAlignment w:val="center"/>
              <w:rPr>
                <w:rFonts w:ascii="宋体" w:hAnsi="宋体" w:eastAsia="宋体" w:cs="宋体"/>
                <w:color w:val="000000"/>
              </w:rPr>
            </w:pPr>
          </w:p>
        </w:tc>
        <w:tc>
          <w:tcPr>
            <w:tcW w:w="1310" w:type="dxa"/>
          </w:tcPr>
          <w:p w14:paraId="0BA48AC5">
            <w:pPr>
              <w:pStyle w:val="112"/>
              <w:spacing w:before="106"/>
              <w:ind w:left="154" w:right="26"/>
              <w:jc w:val="center"/>
              <w:rPr>
                <w:color w:val="000000"/>
              </w:rPr>
            </w:pPr>
            <w:r>
              <w:rPr>
                <w:color w:val="000000"/>
              </w:rPr>
              <w:t xml:space="preserve">联系人电话 </w:t>
            </w:r>
          </w:p>
        </w:tc>
        <w:tc>
          <w:tcPr>
            <w:tcW w:w="1510" w:type="dxa"/>
            <w:vAlign w:val="center"/>
          </w:tcPr>
          <w:p w14:paraId="7E3EEDA2">
            <w:pPr>
              <w:widowControl/>
              <w:jc w:val="center"/>
              <w:textAlignment w:val="center"/>
              <w:rPr>
                <w:rFonts w:ascii="宋体" w:hAnsi="宋体" w:eastAsia="宋体" w:cs="宋体"/>
                <w:color w:val="000000"/>
                <w:szCs w:val="21"/>
              </w:rPr>
            </w:pPr>
          </w:p>
        </w:tc>
      </w:tr>
      <w:tr w14:paraId="16B4E57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551FB39">
            <w:pPr>
              <w:pStyle w:val="112"/>
              <w:spacing w:before="111"/>
              <w:ind w:left="720"/>
            </w:pPr>
            <w:r>
              <w:t xml:space="preserve">企业性质 </w:t>
            </w:r>
          </w:p>
        </w:tc>
        <w:tc>
          <w:tcPr>
            <w:tcW w:w="4680" w:type="dxa"/>
            <w:gridSpan w:val="4"/>
            <w:vAlign w:val="center"/>
          </w:tcPr>
          <w:p w14:paraId="5B648FE9">
            <w:pPr>
              <w:widowControl/>
              <w:jc w:val="center"/>
              <w:textAlignment w:val="center"/>
              <w:rPr>
                <w:rFonts w:ascii="宋体" w:hAnsi="宋体" w:eastAsia="宋体" w:cs="宋体"/>
                <w:color w:val="000000"/>
              </w:rPr>
            </w:pPr>
          </w:p>
        </w:tc>
        <w:tc>
          <w:tcPr>
            <w:tcW w:w="1310" w:type="dxa"/>
          </w:tcPr>
          <w:p w14:paraId="022012E2">
            <w:pPr>
              <w:pStyle w:val="112"/>
              <w:spacing w:before="103"/>
              <w:ind w:left="154" w:right="26"/>
              <w:jc w:val="center"/>
              <w:rPr>
                <w:color w:val="000000"/>
              </w:rPr>
            </w:pPr>
            <w:r>
              <w:rPr>
                <w:rFonts w:hint="eastAsia"/>
                <w:color w:val="000000"/>
              </w:rPr>
              <w:t>注册时间</w:t>
            </w:r>
            <w:r>
              <w:rPr>
                <w:color w:val="000000"/>
              </w:rPr>
              <w:t xml:space="preserve"> </w:t>
            </w:r>
          </w:p>
        </w:tc>
        <w:tc>
          <w:tcPr>
            <w:tcW w:w="1510" w:type="dxa"/>
            <w:vAlign w:val="center"/>
          </w:tcPr>
          <w:p w14:paraId="3FA7830C">
            <w:pPr>
              <w:widowControl/>
              <w:jc w:val="center"/>
              <w:textAlignment w:val="center"/>
              <w:rPr>
                <w:rFonts w:ascii="宋体" w:hAnsi="宋体" w:eastAsia="宋体" w:cs="宋体"/>
                <w:color w:val="000000"/>
                <w:szCs w:val="21"/>
              </w:rPr>
            </w:pPr>
          </w:p>
        </w:tc>
      </w:tr>
      <w:tr w14:paraId="7E91A3D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17C1A7A9">
            <w:pPr>
              <w:pStyle w:val="112"/>
              <w:spacing w:before="111"/>
              <w:ind w:left="509"/>
              <w:rPr>
                <w:highlight w:val="yellow"/>
              </w:rPr>
            </w:pPr>
            <w:r>
              <w:t xml:space="preserve">企业法人代表  </w:t>
            </w:r>
          </w:p>
        </w:tc>
        <w:tc>
          <w:tcPr>
            <w:tcW w:w="4680" w:type="dxa"/>
            <w:gridSpan w:val="4"/>
          </w:tcPr>
          <w:p w14:paraId="4B5F8599">
            <w:pPr>
              <w:pStyle w:val="4"/>
              <w:keepNext w:val="0"/>
              <w:keepLines w:val="0"/>
              <w:widowControl/>
              <w:shd w:val="clear" w:color="auto" w:fill="FFFFFF"/>
              <w:spacing w:before="0" w:after="0" w:line="450" w:lineRule="atLeast"/>
              <w:rPr>
                <w:rFonts w:ascii="宋体" w:hAnsi="宋体" w:cs="宋体"/>
                <w:color w:val="000000"/>
              </w:rPr>
            </w:pPr>
          </w:p>
        </w:tc>
        <w:tc>
          <w:tcPr>
            <w:tcW w:w="1310" w:type="dxa"/>
          </w:tcPr>
          <w:p w14:paraId="6D04B196">
            <w:pPr>
              <w:pStyle w:val="112"/>
              <w:spacing w:before="103"/>
              <w:ind w:right="26"/>
              <w:jc w:val="center"/>
              <w:rPr>
                <w:color w:val="000000"/>
              </w:rPr>
            </w:pPr>
            <w:r>
              <w:rPr>
                <w:color w:val="000000"/>
              </w:rPr>
              <w:t>企业资质</w:t>
            </w:r>
          </w:p>
        </w:tc>
        <w:tc>
          <w:tcPr>
            <w:tcW w:w="1510" w:type="dxa"/>
            <w:vAlign w:val="center"/>
          </w:tcPr>
          <w:p w14:paraId="475B8BC0">
            <w:pPr>
              <w:widowControl/>
              <w:jc w:val="center"/>
              <w:textAlignment w:val="center"/>
              <w:rPr>
                <w:rFonts w:ascii="宋体" w:hAnsi="宋体" w:eastAsia="宋体" w:cs="宋体"/>
                <w:color w:val="000000"/>
                <w:szCs w:val="21"/>
              </w:rPr>
            </w:pPr>
          </w:p>
        </w:tc>
      </w:tr>
      <w:tr w14:paraId="55A7F6A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3619303D">
            <w:pPr>
              <w:pStyle w:val="112"/>
              <w:spacing w:before="114"/>
              <w:ind w:left="720"/>
            </w:pPr>
            <w:r>
              <w:t xml:space="preserve">品牌区分 </w:t>
            </w:r>
          </w:p>
        </w:tc>
        <w:tc>
          <w:tcPr>
            <w:tcW w:w="7500" w:type="dxa"/>
            <w:gridSpan w:val="6"/>
          </w:tcPr>
          <w:p w14:paraId="3BAE0FF2">
            <w:pPr>
              <w:pStyle w:val="112"/>
              <w:spacing w:before="106"/>
              <w:ind w:left="401"/>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1E4532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7D05C8BF">
            <w:pPr>
              <w:pStyle w:val="112"/>
              <w:spacing w:before="178"/>
              <w:ind w:left="720"/>
            </w:pPr>
            <w:r>
              <w:t xml:space="preserve">品牌名称 </w:t>
            </w:r>
          </w:p>
        </w:tc>
        <w:tc>
          <w:tcPr>
            <w:tcW w:w="3583" w:type="dxa"/>
            <w:gridSpan w:val="3"/>
            <w:vAlign w:val="center"/>
          </w:tcPr>
          <w:p w14:paraId="454E744B">
            <w:pPr>
              <w:widowControl/>
              <w:rPr>
                <w:rFonts w:ascii="宋体" w:hAnsi="宋体" w:eastAsia="仿宋_GB2312"/>
                <w:kern w:val="0"/>
                <w:szCs w:val="21"/>
              </w:rPr>
            </w:pPr>
          </w:p>
        </w:tc>
        <w:tc>
          <w:tcPr>
            <w:tcW w:w="1097" w:type="dxa"/>
          </w:tcPr>
          <w:p w14:paraId="089ADBEF">
            <w:pPr>
              <w:pStyle w:val="112"/>
              <w:spacing w:before="15"/>
              <w:ind w:left="279"/>
            </w:pPr>
            <w:r>
              <w:rPr>
                <w:spacing w:val="-2"/>
              </w:rPr>
              <w:t>质量</w:t>
            </w:r>
            <w:r>
              <w:t xml:space="preserve"> </w:t>
            </w:r>
          </w:p>
          <w:p w14:paraId="38F7D920">
            <w:pPr>
              <w:pStyle w:val="112"/>
              <w:spacing w:before="30" w:line="277" w:lineRule="exact"/>
              <w:ind w:left="279"/>
            </w:pPr>
            <w:r>
              <w:rPr>
                <w:rFonts w:hint="eastAsia"/>
              </w:rPr>
              <w:t>体系</w:t>
            </w:r>
          </w:p>
        </w:tc>
        <w:tc>
          <w:tcPr>
            <w:tcW w:w="2820" w:type="dxa"/>
            <w:gridSpan w:val="2"/>
          </w:tcPr>
          <w:p w14:paraId="53E9DAB1">
            <w:pPr>
              <w:pStyle w:val="112"/>
              <w:spacing w:before="158"/>
              <w:jc w:val="center"/>
              <w:rPr>
                <w:sz w:val="24"/>
              </w:rPr>
            </w:pPr>
          </w:p>
        </w:tc>
      </w:tr>
      <w:tr w14:paraId="335D32C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0063BA57">
            <w:pPr>
              <w:pStyle w:val="112"/>
              <w:spacing w:before="149"/>
              <w:ind w:left="3345" w:right="3223"/>
              <w:jc w:val="center"/>
            </w:pPr>
            <w:r>
              <w:rPr>
                <w:rFonts w:hint="eastAsia"/>
                <w:szCs w:val="21"/>
              </w:rPr>
              <w:t>单位概况</w:t>
            </w:r>
          </w:p>
        </w:tc>
      </w:tr>
      <w:tr w14:paraId="6ECE50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A7F5E61">
            <w:pPr>
              <w:widowControl/>
              <w:jc w:val="center"/>
              <w:textAlignment w:val="center"/>
              <w:rPr>
                <w:rFonts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16C369F">
            <w:pPr>
              <w:widowControl/>
              <w:textAlignment w:val="center"/>
              <w:rPr>
                <w:rFonts w:ascii="宋体" w:hAnsi="宋体" w:eastAsia="宋体" w:cs="宋体"/>
                <w:szCs w:val="21"/>
              </w:rPr>
            </w:pPr>
          </w:p>
        </w:tc>
        <w:tc>
          <w:tcPr>
            <w:tcW w:w="1530" w:type="dxa"/>
            <w:vAlign w:val="center"/>
          </w:tcPr>
          <w:p w14:paraId="4DE1BDA9">
            <w:pPr>
              <w:widowControl/>
              <w:jc w:val="center"/>
              <w:textAlignment w:val="center"/>
              <w:rPr>
                <w:rFonts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90EE67E">
            <w:pPr>
              <w:widowControl/>
              <w:jc w:val="center"/>
              <w:textAlignment w:val="center"/>
              <w:rPr>
                <w:rFonts w:ascii="宋体" w:hAnsi="宋体" w:eastAsia="宋体" w:cs="宋体"/>
                <w:szCs w:val="21"/>
              </w:rPr>
            </w:pPr>
          </w:p>
        </w:tc>
        <w:tc>
          <w:tcPr>
            <w:tcW w:w="1097" w:type="dxa"/>
            <w:vAlign w:val="center"/>
          </w:tcPr>
          <w:p w14:paraId="7957444F">
            <w:pPr>
              <w:widowControl/>
              <w:textAlignment w:val="center"/>
              <w:rPr>
                <w:rFonts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4637678A">
            <w:pPr>
              <w:widowControl/>
              <w:jc w:val="center"/>
              <w:textAlignment w:val="center"/>
              <w:rPr>
                <w:rFonts w:ascii="宋体" w:hAnsi="宋体" w:eastAsia="宋体" w:cs="宋体"/>
                <w:szCs w:val="21"/>
              </w:rPr>
            </w:pPr>
          </w:p>
        </w:tc>
      </w:tr>
      <w:tr w14:paraId="45DD23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A1B389F">
            <w:pPr>
              <w:widowControl/>
              <w:jc w:val="center"/>
              <w:textAlignment w:val="center"/>
              <w:rPr>
                <w:rFonts w:ascii="宋体" w:hAnsi="宋体" w:eastAsia="宋体" w:cs="宋体"/>
                <w:szCs w:val="21"/>
              </w:rPr>
            </w:pPr>
            <w:r>
              <w:rPr>
                <w:rFonts w:hint="eastAsia" w:ascii="宋体" w:hAnsi="宋体" w:eastAsia="宋体" w:cs="宋体"/>
                <w:kern w:val="0"/>
                <w:szCs w:val="21"/>
              </w:rPr>
              <w:t>企业优势、关键产品特点</w:t>
            </w:r>
          </w:p>
        </w:tc>
        <w:tc>
          <w:tcPr>
            <w:tcW w:w="7500" w:type="dxa"/>
            <w:gridSpan w:val="6"/>
            <w:vAlign w:val="center"/>
          </w:tcPr>
          <w:p w14:paraId="0DDABFCC">
            <w:pPr>
              <w:widowControl/>
              <w:jc w:val="left"/>
              <w:rPr>
                <w:rFonts w:ascii="宋体" w:hAnsi="宋体" w:eastAsia="宋体" w:cs="宋体"/>
                <w:szCs w:val="21"/>
              </w:rPr>
            </w:pPr>
            <w:r>
              <w:rPr>
                <w:rFonts w:hint="eastAsia" w:ascii="宋体" w:hAnsi="宋体" w:eastAsia="宋体" w:cs="宋体"/>
                <w:kern w:val="0"/>
                <w:szCs w:val="21"/>
              </w:rPr>
              <w:t>　</w:t>
            </w:r>
          </w:p>
        </w:tc>
      </w:tr>
      <w:tr w14:paraId="14197E1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60569FD2">
            <w:pPr>
              <w:widowControl/>
              <w:jc w:val="center"/>
              <w:textAlignment w:val="center"/>
              <w:rPr>
                <w:rFonts w:ascii="宋体" w:hAnsi="宋体" w:eastAsia="宋体" w:cs="宋体"/>
                <w:szCs w:val="21"/>
              </w:rPr>
            </w:pPr>
            <w:r>
              <w:rPr>
                <w:rFonts w:hint="eastAsia" w:ascii="宋体" w:hAnsi="宋体" w:eastAsia="宋体" w:cs="宋体"/>
                <w:color w:val="000000"/>
                <w:kern w:val="0"/>
                <w:szCs w:val="21"/>
              </w:rPr>
              <w:t>企业行业水平及行业口碑</w:t>
            </w:r>
          </w:p>
        </w:tc>
        <w:tc>
          <w:tcPr>
            <w:tcW w:w="7500" w:type="dxa"/>
            <w:gridSpan w:val="6"/>
            <w:vAlign w:val="center"/>
          </w:tcPr>
          <w:p w14:paraId="2D9B58CA">
            <w:pPr>
              <w:widowControl/>
              <w:jc w:val="left"/>
              <w:rPr>
                <w:rFonts w:ascii="宋体" w:hAnsi="宋体" w:eastAsia="宋体" w:cs="宋体"/>
                <w:szCs w:val="21"/>
              </w:rPr>
            </w:pPr>
            <w:r>
              <w:rPr>
                <w:rFonts w:hint="eastAsia" w:ascii="宋体" w:hAnsi="宋体" w:eastAsia="宋体" w:cs="宋体"/>
                <w:kern w:val="0"/>
                <w:szCs w:val="21"/>
              </w:rPr>
              <w:t>　</w:t>
            </w:r>
          </w:p>
        </w:tc>
      </w:tr>
      <w:tr w14:paraId="0FE723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1B730ABC">
            <w:pPr>
              <w:widowControl/>
              <w:jc w:val="center"/>
              <w:textAlignment w:val="center"/>
              <w:rPr>
                <w:rFonts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1C36C38C">
            <w:pPr>
              <w:widowControl/>
              <w:jc w:val="left"/>
              <w:rPr>
                <w:rFonts w:ascii="宋体" w:hAnsi="宋体" w:eastAsia="宋体" w:cs="宋体"/>
                <w:szCs w:val="21"/>
              </w:rPr>
            </w:pPr>
            <w:r>
              <w:rPr>
                <w:rFonts w:hint="eastAsia" w:ascii="宋体" w:hAnsi="宋体" w:eastAsia="宋体" w:cs="宋体"/>
                <w:kern w:val="0"/>
                <w:szCs w:val="21"/>
              </w:rPr>
              <w:t>　</w:t>
            </w:r>
          </w:p>
        </w:tc>
      </w:tr>
      <w:tr w14:paraId="27D5CB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5E0FED42">
            <w:pPr>
              <w:widowControl/>
              <w:jc w:val="center"/>
              <w:textAlignment w:val="center"/>
              <w:rPr>
                <w:rFonts w:ascii="宋体" w:hAnsi="宋体" w:eastAsia="宋体" w:cs="宋体"/>
                <w:szCs w:val="21"/>
              </w:rPr>
            </w:pPr>
            <w:r>
              <w:rPr>
                <w:rFonts w:hint="eastAsia" w:ascii="宋体" w:hAnsi="宋体" w:eastAsia="宋体" w:cs="宋体"/>
                <w:kern w:val="0"/>
                <w:szCs w:val="21"/>
              </w:rPr>
              <w:t>近三或五年企业类似业绩及履约情况</w:t>
            </w:r>
          </w:p>
        </w:tc>
        <w:tc>
          <w:tcPr>
            <w:tcW w:w="7500" w:type="dxa"/>
            <w:gridSpan w:val="6"/>
            <w:vAlign w:val="center"/>
          </w:tcPr>
          <w:p w14:paraId="37D8D7C4">
            <w:pPr>
              <w:widowControl/>
              <w:jc w:val="left"/>
              <w:rPr>
                <w:rFonts w:ascii="宋体" w:hAnsi="宋体" w:eastAsia="宋体" w:cs="宋体"/>
                <w:szCs w:val="21"/>
              </w:rPr>
            </w:pPr>
            <w:r>
              <w:rPr>
                <w:rFonts w:hint="eastAsia" w:ascii="宋体" w:hAnsi="宋体" w:eastAsia="宋体" w:cs="宋体"/>
                <w:kern w:val="0"/>
                <w:szCs w:val="21"/>
              </w:rPr>
              <w:t>　</w:t>
            </w:r>
          </w:p>
        </w:tc>
      </w:tr>
      <w:tr w14:paraId="65BFB2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062E87F0">
            <w:pPr>
              <w:widowControl/>
              <w:jc w:val="center"/>
              <w:textAlignment w:val="center"/>
              <w:rPr>
                <w:rFonts w:ascii="宋体" w:hAnsi="宋体" w:eastAsia="宋体" w:cs="宋体"/>
                <w:szCs w:val="21"/>
              </w:rPr>
            </w:pPr>
            <w:r>
              <w:rPr>
                <w:rFonts w:hint="eastAsia" w:ascii="宋体" w:hAnsi="宋体" w:eastAsia="宋体" w:cs="宋体"/>
                <w:kern w:val="0"/>
                <w:szCs w:val="21"/>
              </w:rPr>
              <w:t>售后服务及质量</w:t>
            </w:r>
          </w:p>
        </w:tc>
        <w:tc>
          <w:tcPr>
            <w:tcW w:w="7500" w:type="dxa"/>
            <w:gridSpan w:val="6"/>
            <w:vAlign w:val="center"/>
          </w:tcPr>
          <w:p w14:paraId="2F1DFF56">
            <w:pPr>
              <w:widowControl/>
              <w:jc w:val="left"/>
              <w:rPr>
                <w:rFonts w:ascii="宋体" w:hAnsi="宋体" w:eastAsia="宋体" w:cs="宋体"/>
                <w:szCs w:val="21"/>
              </w:rPr>
            </w:pPr>
            <w:r>
              <w:rPr>
                <w:rFonts w:hint="eastAsia" w:ascii="宋体" w:hAnsi="宋体" w:eastAsia="宋体" w:cs="宋体"/>
                <w:kern w:val="0"/>
                <w:szCs w:val="21"/>
              </w:rPr>
              <w:t>　</w:t>
            </w:r>
          </w:p>
        </w:tc>
      </w:tr>
      <w:tr w14:paraId="4516097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21206BEF">
            <w:pPr>
              <w:widowControl/>
              <w:textAlignment w:val="center"/>
              <w:rPr>
                <w:rFonts w:ascii="宋体" w:hAnsi="宋体" w:eastAsia="宋体" w:cs="宋体"/>
                <w:kern w:val="0"/>
                <w:szCs w:val="21"/>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4107F0DC">
            <w:pPr>
              <w:widowControl/>
              <w:jc w:val="left"/>
              <w:rPr>
                <w:rFonts w:ascii="宋体" w:hAnsi="宋体" w:eastAsia="宋体" w:cs="宋体"/>
                <w:kern w:val="0"/>
                <w:szCs w:val="21"/>
              </w:rPr>
            </w:pPr>
          </w:p>
        </w:tc>
      </w:tr>
    </w:tbl>
    <w:p w14:paraId="108F8C63">
      <w:pPr>
        <w:pStyle w:val="16"/>
        <w:rPr>
          <w:rFonts w:ascii="Times New Roman" w:hAnsi="Times New Roman" w:eastAsia="宋体" w:cs="Times New Roman"/>
          <w:b/>
          <w:bCs/>
          <w:color w:val="000000"/>
          <w:sz w:val="24"/>
          <w:szCs w:val="24"/>
        </w:rPr>
      </w:pPr>
    </w:p>
    <w:p w14:paraId="37100778">
      <w:pPr>
        <w:pStyle w:val="16"/>
        <w:rPr>
          <w:rFonts w:ascii="Times New Roman" w:hAnsi="Times New Roman" w:eastAsia="宋体" w:cs="Times New Roman"/>
          <w:b/>
          <w:bCs/>
          <w:color w:val="000000"/>
          <w:sz w:val="24"/>
          <w:szCs w:val="24"/>
        </w:rPr>
      </w:pPr>
    </w:p>
    <w:p w14:paraId="39756F36">
      <w:pPr>
        <w:pStyle w:val="16"/>
        <w:rPr>
          <w:rFonts w:ascii="Times New Roman" w:hAnsi="Times New Roman" w:eastAsia="宋体" w:cs="Times New Roman"/>
          <w:b/>
          <w:bCs/>
          <w:color w:val="000000"/>
          <w:sz w:val="24"/>
          <w:szCs w:val="24"/>
        </w:rPr>
      </w:pPr>
    </w:p>
    <w:p w14:paraId="73D8D3DE">
      <w:pPr>
        <w:pStyle w:val="16"/>
        <w:rPr>
          <w:rFonts w:ascii="Times New Roman" w:hAnsi="Times New Roman" w:eastAsia="宋体" w:cs="Times New Roman"/>
          <w:b/>
          <w:bCs/>
          <w:color w:val="000000"/>
          <w:sz w:val="24"/>
          <w:szCs w:val="24"/>
        </w:rPr>
      </w:pPr>
    </w:p>
    <w:p w14:paraId="527F4C72">
      <w:pPr>
        <w:pStyle w:val="16"/>
        <w:rPr>
          <w:rFonts w:ascii="Times New Roman" w:hAnsi="Times New Roman" w:eastAsia="宋体" w:cs="Times New Roman"/>
          <w:b/>
          <w:bCs/>
          <w:color w:val="000000"/>
          <w:sz w:val="24"/>
          <w:szCs w:val="24"/>
        </w:rPr>
      </w:pPr>
    </w:p>
    <w:p w14:paraId="792B9788">
      <w:pPr>
        <w:pStyle w:val="16"/>
        <w:rPr>
          <w:rFonts w:ascii="Times New Roman" w:hAnsi="Times New Roman" w:eastAsia="宋体" w:cs="Times New Roman"/>
          <w:b/>
          <w:bCs/>
          <w:color w:val="000000"/>
          <w:sz w:val="24"/>
          <w:szCs w:val="24"/>
        </w:rPr>
      </w:pPr>
    </w:p>
    <w:p w14:paraId="0561AF60">
      <w:pPr>
        <w:pStyle w:val="16"/>
        <w:rPr>
          <w:rFonts w:ascii="Times New Roman" w:hAnsi="Times New Roman" w:eastAsia="宋体" w:cs="Times New Roman"/>
          <w:b/>
          <w:bCs/>
          <w:color w:val="000000"/>
          <w:sz w:val="24"/>
          <w:szCs w:val="24"/>
        </w:rPr>
      </w:pPr>
    </w:p>
    <w:p w14:paraId="78F0A321">
      <w:pPr>
        <w:pStyle w:val="16"/>
        <w:rPr>
          <w:rFonts w:ascii="Times New Roman" w:hAnsi="Times New Roman" w:eastAsia="宋体" w:cs="Times New Roman"/>
          <w:b/>
          <w:bCs/>
          <w:color w:val="000000"/>
          <w:sz w:val="24"/>
          <w:szCs w:val="24"/>
        </w:rPr>
      </w:pPr>
    </w:p>
    <w:p w14:paraId="54D6387F">
      <w:pPr>
        <w:pStyle w:val="16"/>
        <w:outlineLvl w:val="3"/>
        <w:rPr>
          <w:rFonts w:hint="eastAsia"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solidFill>
              <w14:srgbClr w14:val="000000"/>
            </w14:solidFill>
            <w14:prstDash w14:val="solid"/>
            <w14:miter w14:val="0"/>
          </w14:textOutline>
        </w:rPr>
        <w:t>2</w:t>
      </w:r>
      <w:r>
        <w:rPr>
          <w:rFonts w:hint="eastAsia" w:hAnsi="宋体" w:eastAsia="宋体" w:cs="宋体"/>
          <w:spacing w:val="-7"/>
          <w:sz w:val="24"/>
          <w:szCs w:val="24"/>
          <w14:textOutline w14:w="4356" w14:cap="flat" w14:cmpd="sng">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14:paraId="14935736">
      <w:pPr>
        <w:pStyle w:val="16"/>
        <w:outlineLvl w:val="3"/>
        <w:rPr>
          <w:rFonts w:hint="eastAsia" w:ascii="Times New Roman" w:hAnsi="Times New Roman" w:eastAsia="宋体" w:cs="Times New Roman"/>
          <w:b/>
          <w:bCs/>
          <w:color w:val="000000"/>
          <w:sz w:val="24"/>
          <w:szCs w:val="24"/>
        </w:rPr>
      </w:pP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14:paraId="29288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14:paraId="36F67D10">
            <w:pPr>
              <w:spacing w:line="440" w:lineRule="exact"/>
              <w:jc w:val="center"/>
              <w:rPr>
                <w:rFonts w:ascii="宋体" w:hAnsi="宋体"/>
                <w:szCs w:val="24"/>
                <w:highlight w:val="none"/>
              </w:rPr>
            </w:pPr>
            <w:r>
              <w:rPr>
                <w:rFonts w:ascii="宋体" w:hAnsi="宋体" w:eastAsia="宋体"/>
                <w:color w:val="000000"/>
                <w:sz w:val="24"/>
                <w:szCs w:val="24"/>
                <w:highlight w:val="none"/>
                <w:u w:val="single"/>
              </w:rPr>
              <w:t xml:space="preserve">                   </w:t>
            </w:r>
            <w:r>
              <w:rPr>
                <w:rFonts w:hint="eastAsia" w:ascii="宋体" w:hAnsi="宋体" w:eastAsia="宋体"/>
                <w:color w:val="000000"/>
                <w:sz w:val="24"/>
                <w:szCs w:val="24"/>
                <w:highlight w:val="none"/>
              </w:rPr>
              <w:t>公司资产情况汇总表</w:t>
            </w:r>
          </w:p>
        </w:tc>
      </w:tr>
      <w:tr w14:paraId="727B7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13AD9074">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注册资金（万元）</w:t>
            </w:r>
          </w:p>
        </w:tc>
        <w:tc>
          <w:tcPr>
            <w:tcW w:w="3865" w:type="dxa"/>
            <w:gridSpan w:val="3"/>
          </w:tcPr>
          <w:p w14:paraId="048B63AC">
            <w:pPr>
              <w:spacing w:line="440" w:lineRule="exact"/>
              <w:jc w:val="center"/>
              <w:rPr>
                <w:rFonts w:ascii="宋体" w:hAnsi="宋体"/>
                <w:color w:val="000000"/>
                <w:sz w:val="24"/>
                <w:szCs w:val="24"/>
                <w:highlight w:val="none"/>
              </w:rPr>
            </w:pPr>
          </w:p>
        </w:tc>
      </w:tr>
      <w:tr w14:paraId="1271D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05083AC6">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实收资金（万元）</w:t>
            </w:r>
          </w:p>
        </w:tc>
        <w:tc>
          <w:tcPr>
            <w:tcW w:w="3865" w:type="dxa"/>
            <w:gridSpan w:val="3"/>
          </w:tcPr>
          <w:p w14:paraId="27C3827E">
            <w:pPr>
              <w:spacing w:line="440" w:lineRule="exact"/>
              <w:jc w:val="center"/>
              <w:rPr>
                <w:rFonts w:ascii="宋体" w:hAnsi="宋体"/>
                <w:color w:val="000000"/>
                <w:sz w:val="24"/>
                <w:szCs w:val="24"/>
                <w:highlight w:val="none"/>
              </w:rPr>
            </w:pPr>
          </w:p>
        </w:tc>
      </w:tr>
      <w:tr w14:paraId="4390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3450AE9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年度资产情况</w:t>
            </w:r>
          </w:p>
        </w:tc>
        <w:tc>
          <w:tcPr>
            <w:tcW w:w="1287" w:type="dxa"/>
            <w:vAlign w:val="center"/>
          </w:tcPr>
          <w:p w14:paraId="164720DD">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2</w:t>
            </w:r>
            <w:r>
              <w:rPr>
                <w:rFonts w:hint="eastAsia" w:ascii="宋体" w:hAnsi="宋体" w:eastAsia="宋体"/>
                <w:color w:val="000000"/>
                <w:sz w:val="24"/>
                <w:szCs w:val="24"/>
                <w:highlight w:val="none"/>
              </w:rPr>
              <w:t>年</w:t>
            </w:r>
          </w:p>
        </w:tc>
        <w:tc>
          <w:tcPr>
            <w:tcW w:w="1288" w:type="dxa"/>
            <w:vAlign w:val="center"/>
          </w:tcPr>
          <w:p w14:paraId="41C48CB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3</w:t>
            </w:r>
            <w:r>
              <w:rPr>
                <w:rFonts w:hint="eastAsia" w:ascii="宋体" w:hAnsi="宋体" w:eastAsia="宋体"/>
                <w:color w:val="000000"/>
                <w:sz w:val="24"/>
                <w:szCs w:val="24"/>
                <w:highlight w:val="none"/>
              </w:rPr>
              <w:t>年</w:t>
            </w:r>
          </w:p>
        </w:tc>
        <w:tc>
          <w:tcPr>
            <w:tcW w:w="1288" w:type="dxa"/>
            <w:vAlign w:val="center"/>
          </w:tcPr>
          <w:p w14:paraId="2C57E8F5">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202</w:t>
            </w:r>
            <w:r>
              <w:rPr>
                <w:rFonts w:hint="eastAsia" w:ascii="宋体" w:hAnsi="宋体" w:eastAsia="宋体"/>
                <w:color w:val="000000"/>
                <w:sz w:val="24"/>
                <w:szCs w:val="24"/>
                <w:highlight w:val="none"/>
                <w:lang w:val="en-US" w:eastAsia="zh-CN"/>
              </w:rPr>
              <w:t>4</w:t>
            </w:r>
            <w:r>
              <w:rPr>
                <w:rFonts w:hint="eastAsia" w:ascii="宋体" w:hAnsi="宋体" w:eastAsia="宋体"/>
                <w:color w:val="000000"/>
                <w:sz w:val="24"/>
                <w:szCs w:val="24"/>
                <w:highlight w:val="none"/>
              </w:rPr>
              <w:t>年</w:t>
            </w:r>
          </w:p>
        </w:tc>
      </w:tr>
      <w:tr w14:paraId="08B3DB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2ED956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流动资产（万元）</w:t>
            </w:r>
          </w:p>
        </w:tc>
        <w:tc>
          <w:tcPr>
            <w:tcW w:w="1287" w:type="dxa"/>
          </w:tcPr>
          <w:p w14:paraId="0F8980BD">
            <w:pPr>
              <w:spacing w:line="440" w:lineRule="exact"/>
              <w:jc w:val="center"/>
              <w:rPr>
                <w:rFonts w:ascii="宋体" w:hAnsi="宋体"/>
                <w:color w:val="000000"/>
                <w:sz w:val="24"/>
                <w:szCs w:val="24"/>
                <w:highlight w:val="none"/>
              </w:rPr>
            </w:pPr>
          </w:p>
        </w:tc>
        <w:tc>
          <w:tcPr>
            <w:tcW w:w="1288" w:type="dxa"/>
          </w:tcPr>
          <w:p w14:paraId="291C90DA">
            <w:pPr>
              <w:spacing w:line="440" w:lineRule="exact"/>
              <w:jc w:val="center"/>
              <w:rPr>
                <w:rFonts w:ascii="宋体" w:hAnsi="宋体"/>
                <w:color w:val="000000"/>
                <w:sz w:val="24"/>
                <w:szCs w:val="24"/>
                <w:highlight w:val="none"/>
              </w:rPr>
            </w:pPr>
          </w:p>
        </w:tc>
        <w:tc>
          <w:tcPr>
            <w:tcW w:w="1288" w:type="dxa"/>
          </w:tcPr>
          <w:p w14:paraId="47EDCBE5">
            <w:pPr>
              <w:spacing w:line="440" w:lineRule="exact"/>
              <w:jc w:val="center"/>
              <w:rPr>
                <w:rFonts w:ascii="宋体" w:hAnsi="宋体"/>
                <w:color w:val="000000"/>
                <w:sz w:val="24"/>
                <w:szCs w:val="24"/>
                <w:highlight w:val="none"/>
              </w:rPr>
            </w:pPr>
          </w:p>
        </w:tc>
      </w:tr>
      <w:tr w14:paraId="7D7D46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700FF47">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非流动资产（万元）</w:t>
            </w:r>
          </w:p>
        </w:tc>
        <w:tc>
          <w:tcPr>
            <w:tcW w:w="1287" w:type="dxa"/>
          </w:tcPr>
          <w:p w14:paraId="7C4E3409">
            <w:pPr>
              <w:spacing w:line="440" w:lineRule="exact"/>
              <w:jc w:val="center"/>
              <w:rPr>
                <w:rFonts w:ascii="宋体" w:hAnsi="宋体"/>
                <w:color w:val="000000"/>
                <w:sz w:val="24"/>
                <w:szCs w:val="24"/>
                <w:highlight w:val="none"/>
              </w:rPr>
            </w:pPr>
          </w:p>
        </w:tc>
        <w:tc>
          <w:tcPr>
            <w:tcW w:w="1288" w:type="dxa"/>
          </w:tcPr>
          <w:p w14:paraId="5F2F372D">
            <w:pPr>
              <w:spacing w:line="440" w:lineRule="exact"/>
              <w:jc w:val="center"/>
              <w:rPr>
                <w:rFonts w:ascii="宋体" w:hAnsi="宋体"/>
                <w:color w:val="000000"/>
                <w:sz w:val="24"/>
                <w:szCs w:val="24"/>
                <w:highlight w:val="none"/>
              </w:rPr>
            </w:pPr>
          </w:p>
        </w:tc>
        <w:tc>
          <w:tcPr>
            <w:tcW w:w="1288" w:type="dxa"/>
          </w:tcPr>
          <w:p w14:paraId="3164A792">
            <w:pPr>
              <w:spacing w:line="440" w:lineRule="exact"/>
              <w:jc w:val="center"/>
              <w:rPr>
                <w:rFonts w:ascii="宋体" w:hAnsi="宋体"/>
                <w:color w:val="000000"/>
                <w:sz w:val="24"/>
                <w:szCs w:val="24"/>
                <w:highlight w:val="none"/>
              </w:rPr>
            </w:pPr>
          </w:p>
        </w:tc>
      </w:tr>
      <w:tr w14:paraId="3784E2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A170FD2">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营业收入（万元）</w:t>
            </w:r>
          </w:p>
        </w:tc>
        <w:tc>
          <w:tcPr>
            <w:tcW w:w="1287" w:type="dxa"/>
          </w:tcPr>
          <w:p w14:paraId="71C6D2C3">
            <w:pPr>
              <w:spacing w:line="440" w:lineRule="exact"/>
              <w:jc w:val="center"/>
              <w:rPr>
                <w:rFonts w:ascii="宋体" w:hAnsi="宋体"/>
                <w:color w:val="000000"/>
                <w:sz w:val="24"/>
                <w:szCs w:val="24"/>
                <w:highlight w:val="none"/>
              </w:rPr>
            </w:pPr>
          </w:p>
        </w:tc>
        <w:tc>
          <w:tcPr>
            <w:tcW w:w="1288" w:type="dxa"/>
          </w:tcPr>
          <w:p w14:paraId="73907D1F">
            <w:pPr>
              <w:spacing w:line="440" w:lineRule="exact"/>
              <w:jc w:val="center"/>
              <w:rPr>
                <w:rFonts w:ascii="宋体" w:hAnsi="宋体"/>
                <w:color w:val="000000"/>
                <w:sz w:val="24"/>
                <w:szCs w:val="24"/>
                <w:highlight w:val="none"/>
              </w:rPr>
            </w:pPr>
          </w:p>
        </w:tc>
        <w:tc>
          <w:tcPr>
            <w:tcW w:w="1288" w:type="dxa"/>
          </w:tcPr>
          <w:p w14:paraId="091CF8E3">
            <w:pPr>
              <w:spacing w:line="440" w:lineRule="exact"/>
              <w:jc w:val="center"/>
              <w:rPr>
                <w:rFonts w:ascii="宋体" w:hAnsi="宋体"/>
                <w:color w:val="000000"/>
                <w:sz w:val="24"/>
                <w:szCs w:val="24"/>
                <w:highlight w:val="none"/>
              </w:rPr>
            </w:pPr>
          </w:p>
        </w:tc>
      </w:tr>
      <w:tr w14:paraId="429482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7FE782AA">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年底资产总值（万元）</w:t>
            </w:r>
          </w:p>
        </w:tc>
        <w:tc>
          <w:tcPr>
            <w:tcW w:w="1287" w:type="dxa"/>
          </w:tcPr>
          <w:p w14:paraId="6F8CAB6A">
            <w:pPr>
              <w:spacing w:line="440" w:lineRule="exact"/>
              <w:jc w:val="center"/>
              <w:rPr>
                <w:rFonts w:ascii="宋体" w:hAnsi="宋体"/>
                <w:color w:val="000000"/>
                <w:sz w:val="24"/>
                <w:szCs w:val="24"/>
                <w:highlight w:val="none"/>
              </w:rPr>
            </w:pPr>
          </w:p>
        </w:tc>
        <w:tc>
          <w:tcPr>
            <w:tcW w:w="1288" w:type="dxa"/>
          </w:tcPr>
          <w:p w14:paraId="029904DC">
            <w:pPr>
              <w:spacing w:line="440" w:lineRule="exact"/>
              <w:jc w:val="center"/>
              <w:rPr>
                <w:rFonts w:ascii="宋体" w:hAnsi="宋体"/>
                <w:color w:val="000000"/>
                <w:sz w:val="24"/>
                <w:szCs w:val="24"/>
                <w:highlight w:val="none"/>
              </w:rPr>
            </w:pPr>
          </w:p>
        </w:tc>
        <w:tc>
          <w:tcPr>
            <w:tcW w:w="1288" w:type="dxa"/>
          </w:tcPr>
          <w:p w14:paraId="435C2F6F">
            <w:pPr>
              <w:spacing w:line="440" w:lineRule="exact"/>
              <w:jc w:val="center"/>
              <w:rPr>
                <w:rFonts w:ascii="宋体" w:hAnsi="宋体"/>
                <w:color w:val="000000"/>
                <w:sz w:val="24"/>
                <w:szCs w:val="24"/>
                <w:highlight w:val="none"/>
              </w:rPr>
            </w:pPr>
          </w:p>
        </w:tc>
      </w:tr>
      <w:tr w14:paraId="078DE0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64E1D90">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年底负债总值（万元）</w:t>
            </w:r>
          </w:p>
        </w:tc>
        <w:tc>
          <w:tcPr>
            <w:tcW w:w="1287" w:type="dxa"/>
          </w:tcPr>
          <w:p w14:paraId="0DD10C49">
            <w:pPr>
              <w:spacing w:line="440" w:lineRule="exact"/>
              <w:jc w:val="center"/>
              <w:rPr>
                <w:rFonts w:ascii="宋体" w:hAnsi="宋体"/>
                <w:color w:val="000000"/>
                <w:sz w:val="24"/>
                <w:szCs w:val="24"/>
                <w:highlight w:val="none"/>
              </w:rPr>
            </w:pPr>
          </w:p>
        </w:tc>
        <w:tc>
          <w:tcPr>
            <w:tcW w:w="1288" w:type="dxa"/>
          </w:tcPr>
          <w:p w14:paraId="27D1005F">
            <w:pPr>
              <w:spacing w:line="440" w:lineRule="exact"/>
              <w:jc w:val="center"/>
              <w:rPr>
                <w:rFonts w:ascii="宋体" w:hAnsi="宋体"/>
                <w:color w:val="000000"/>
                <w:sz w:val="24"/>
                <w:szCs w:val="24"/>
                <w:highlight w:val="none"/>
              </w:rPr>
            </w:pPr>
          </w:p>
        </w:tc>
        <w:tc>
          <w:tcPr>
            <w:tcW w:w="1288" w:type="dxa"/>
          </w:tcPr>
          <w:p w14:paraId="18080AAA">
            <w:pPr>
              <w:spacing w:line="440" w:lineRule="exact"/>
              <w:jc w:val="center"/>
              <w:rPr>
                <w:rFonts w:ascii="宋体" w:hAnsi="宋体"/>
                <w:color w:val="000000"/>
                <w:sz w:val="24"/>
                <w:szCs w:val="24"/>
                <w:highlight w:val="none"/>
              </w:rPr>
            </w:pPr>
          </w:p>
        </w:tc>
      </w:tr>
      <w:tr w14:paraId="6AE33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68EC0498">
            <w:pPr>
              <w:spacing w:line="440" w:lineRule="exact"/>
              <w:jc w:val="center"/>
              <w:rPr>
                <w:rFonts w:ascii="宋体" w:hAnsi="宋体"/>
                <w:color w:val="000000"/>
                <w:sz w:val="24"/>
                <w:szCs w:val="24"/>
                <w:highlight w:val="none"/>
              </w:rPr>
            </w:pPr>
            <w:r>
              <w:rPr>
                <w:rFonts w:ascii="宋体" w:hAnsi="宋体" w:eastAsia="宋体"/>
                <w:color w:val="000000"/>
                <w:sz w:val="24"/>
                <w:szCs w:val="24"/>
                <w:highlight w:val="none"/>
              </w:rPr>
              <w:t>资产负债率</w:t>
            </w:r>
            <w:r>
              <w:rPr>
                <w:rFonts w:hint="eastAsia" w:ascii="宋体" w:hAnsi="宋体" w:eastAsia="宋体"/>
                <w:color w:val="000000"/>
                <w:sz w:val="24"/>
                <w:szCs w:val="24"/>
                <w:highlight w:val="none"/>
              </w:rPr>
              <w:t>（  %）</w:t>
            </w:r>
          </w:p>
        </w:tc>
        <w:tc>
          <w:tcPr>
            <w:tcW w:w="1287" w:type="dxa"/>
          </w:tcPr>
          <w:p w14:paraId="41791BBA">
            <w:pPr>
              <w:spacing w:line="440" w:lineRule="exact"/>
              <w:jc w:val="center"/>
              <w:rPr>
                <w:rFonts w:ascii="宋体" w:hAnsi="宋体"/>
                <w:color w:val="000000"/>
                <w:sz w:val="24"/>
                <w:szCs w:val="24"/>
                <w:highlight w:val="none"/>
              </w:rPr>
            </w:pPr>
          </w:p>
        </w:tc>
        <w:tc>
          <w:tcPr>
            <w:tcW w:w="1288" w:type="dxa"/>
          </w:tcPr>
          <w:p w14:paraId="5E29869C">
            <w:pPr>
              <w:spacing w:line="440" w:lineRule="exact"/>
              <w:jc w:val="center"/>
              <w:rPr>
                <w:rFonts w:ascii="宋体" w:hAnsi="宋体"/>
                <w:color w:val="000000"/>
                <w:sz w:val="24"/>
                <w:szCs w:val="24"/>
                <w:highlight w:val="none"/>
              </w:rPr>
            </w:pPr>
          </w:p>
        </w:tc>
        <w:tc>
          <w:tcPr>
            <w:tcW w:w="1288" w:type="dxa"/>
          </w:tcPr>
          <w:p w14:paraId="7A1DF8EB">
            <w:pPr>
              <w:spacing w:line="440" w:lineRule="exact"/>
              <w:jc w:val="center"/>
              <w:rPr>
                <w:rFonts w:ascii="宋体" w:hAnsi="宋体"/>
                <w:color w:val="000000"/>
                <w:sz w:val="24"/>
                <w:szCs w:val="24"/>
                <w:highlight w:val="none"/>
              </w:rPr>
            </w:pPr>
          </w:p>
        </w:tc>
      </w:tr>
      <w:tr w14:paraId="6A65B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AF268DC">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净利润（万元）</w:t>
            </w:r>
          </w:p>
        </w:tc>
        <w:tc>
          <w:tcPr>
            <w:tcW w:w="1287" w:type="dxa"/>
          </w:tcPr>
          <w:p w14:paraId="30AD9A83">
            <w:pPr>
              <w:spacing w:line="440" w:lineRule="exact"/>
              <w:jc w:val="center"/>
              <w:rPr>
                <w:rFonts w:ascii="宋体" w:hAnsi="宋体"/>
                <w:color w:val="000000"/>
                <w:sz w:val="24"/>
                <w:szCs w:val="24"/>
                <w:highlight w:val="none"/>
              </w:rPr>
            </w:pPr>
          </w:p>
        </w:tc>
        <w:tc>
          <w:tcPr>
            <w:tcW w:w="1288" w:type="dxa"/>
          </w:tcPr>
          <w:p w14:paraId="0F0D5E39">
            <w:pPr>
              <w:spacing w:line="440" w:lineRule="exact"/>
              <w:jc w:val="center"/>
              <w:rPr>
                <w:rFonts w:ascii="宋体" w:hAnsi="宋体"/>
                <w:color w:val="000000"/>
                <w:sz w:val="24"/>
                <w:szCs w:val="24"/>
                <w:highlight w:val="none"/>
              </w:rPr>
            </w:pPr>
          </w:p>
        </w:tc>
        <w:tc>
          <w:tcPr>
            <w:tcW w:w="1288" w:type="dxa"/>
          </w:tcPr>
          <w:p w14:paraId="0EE460E4">
            <w:pPr>
              <w:spacing w:line="440" w:lineRule="exact"/>
              <w:jc w:val="center"/>
              <w:rPr>
                <w:rFonts w:ascii="宋体" w:hAnsi="宋体"/>
                <w:color w:val="000000"/>
                <w:sz w:val="24"/>
                <w:szCs w:val="24"/>
                <w:highlight w:val="none"/>
              </w:rPr>
            </w:pPr>
          </w:p>
        </w:tc>
      </w:tr>
      <w:tr w14:paraId="0A60FA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5B14B596">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未分配利润（万元）</w:t>
            </w:r>
          </w:p>
        </w:tc>
        <w:tc>
          <w:tcPr>
            <w:tcW w:w="1287" w:type="dxa"/>
          </w:tcPr>
          <w:p w14:paraId="44871F99">
            <w:pPr>
              <w:spacing w:line="440" w:lineRule="exact"/>
              <w:jc w:val="center"/>
              <w:rPr>
                <w:rFonts w:ascii="宋体" w:hAnsi="宋体"/>
                <w:color w:val="000000"/>
                <w:sz w:val="24"/>
                <w:szCs w:val="24"/>
                <w:highlight w:val="none"/>
              </w:rPr>
            </w:pPr>
          </w:p>
        </w:tc>
        <w:tc>
          <w:tcPr>
            <w:tcW w:w="1288" w:type="dxa"/>
          </w:tcPr>
          <w:p w14:paraId="0ED3FDD6">
            <w:pPr>
              <w:spacing w:line="440" w:lineRule="exact"/>
              <w:jc w:val="center"/>
              <w:rPr>
                <w:rFonts w:ascii="宋体" w:hAnsi="宋体"/>
                <w:color w:val="000000"/>
                <w:sz w:val="24"/>
                <w:szCs w:val="24"/>
                <w:highlight w:val="none"/>
              </w:rPr>
            </w:pPr>
          </w:p>
        </w:tc>
        <w:tc>
          <w:tcPr>
            <w:tcW w:w="1288" w:type="dxa"/>
          </w:tcPr>
          <w:p w14:paraId="75BDB8A1">
            <w:pPr>
              <w:spacing w:line="440" w:lineRule="exact"/>
              <w:jc w:val="center"/>
              <w:rPr>
                <w:rFonts w:ascii="宋体" w:hAnsi="宋体"/>
                <w:color w:val="000000"/>
                <w:sz w:val="24"/>
                <w:szCs w:val="24"/>
                <w:highlight w:val="none"/>
              </w:rPr>
            </w:pPr>
          </w:p>
        </w:tc>
      </w:tr>
      <w:tr w14:paraId="46E3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45652DB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营运</w:t>
            </w:r>
            <w:r>
              <w:rPr>
                <w:rFonts w:ascii="宋体" w:hAnsi="宋体" w:eastAsia="宋体"/>
                <w:color w:val="000000"/>
                <w:sz w:val="24"/>
                <w:szCs w:val="24"/>
                <w:highlight w:val="none"/>
              </w:rPr>
              <w:t>资</w:t>
            </w:r>
            <w:r>
              <w:rPr>
                <w:rFonts w:hint="eastAsia" w:ascii="宋体" w:hAnsi="宋体" w:eastAsia="宋体"/>
                <w:color w:val="000000"/>
                <w:sz w:val="24"/>
                <w:szCs w:val="24"/>
                <w:highlight w:val="none"/>
              </w:rPr>
              <w:t>金</w:t>
            </w:r>
          </w:p>
        </w:tc>
        <w:tc>
          <w:tcPr>
            <w:tcW w:w="1287" w:type="dxa"/>
          </w:tcPr>
          <w:p w14:paraId="5597CEC0">
            <w:pPr>
              <w:spacing w:line="440" w:lineRule="exact"/>
              <w:jc w:val="center"/>
              <w:rPr>
                <w:rFonts w:ascii="宋体" w:hAnsi="宋体"/>
                <w:color w:val="000000"/>
                <w:sz w:val="24"/>
                <w:szCs w:val="24"/>
                <w:highlight w:val="none"/>
              </w:rPr>
            </w:pPr>
          </w:p>
        </w:tc>
        <w:tc>
          <w:tcPr>
            <w:tcW w:w="1288" w:type="dxa"/>
          </w:tcPr>
          <w:p w14:paraId="3BE36C99">
            <w:pPr>
              <w:spacing w:line="440" w:lineRule="exact"/>
              <w:jc w:val="center"/>
              <w:rPr>
                <w:rFonts w:ascii="宋体" w:hAnsi="宋体"/>
                <w:color w:val="000000"/>
                <w:sz w:val="24"/>
                <w:szCs w:val="24"/>
                <w:highlight w:val="none"/>
              </w:rPr>
            </w:pPr>
          </w:p>
        </w:tc>
        <w:tc>
          <w:tcPr>
            <w:tcW w:w="1288" w:type="dxa"/>
          </w:tcPr>
          <w:p w14:paraId="1ECA030C">
            <w:pPr>
              <w:spacing w:line="440" w:lineRule="exact"/>
              <w:jc w:val="center"/>
              <w:rPr>
                <w:rFonts w:ascii="宋体" w:hAnsi="宋体"/>
                <w:color w:val="000000"/>
                <w:sz w:val="24"/>
                <w:szCs w:val="24"/>
                <w:highlight w:val="none"/>
              </w:rPr>
            </w:pPr>
          </w:p>
        </w:tc>
      </w:tr>
      <w:tr w14:paraId="40095D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14:paraId="292BE738">
            <w:pPr>
              <w:spacing w:line="440" w:lineRule="exact"/>
              <w:jc w:val="center"/>
              <w:rPr>
                <w:rFonts w:ascii="宋体" w:hAnsi="宋体"/>
                <w:color w:val="000000"/>
                <w:sz w:val="24"/>
                <w:szCs w:val="24"/>
                <w:highlight w:val="none"/>
              </w:rPr>
            </w:pPr>
            <w:r>
              <w:rPr>
                <w:rFonts w:hint="eastAsia" w:ascii="宋体" w:hAnsi="宋体" w:eastAsia="宋体"/>
                <w:color w:val="000000"/>
                <w:sz w:val="24"/>
                <w:szCs w:val="24"/>
                <w:highlight w:val="none"/>
              </w:rPr>
              <w:t>（本年营业收入-上年营业收入）÷上年营业收入</w:t>
            </w:r>
          </w:p>
        </w:tc>
        <w:tc>
          <w:tcPr>
            <w:tcW w:w="1287" w:type="dxa"/>
          </w:tcPr>
          <w:p w14:paraId="14521BB3">
            <w:pPr>
              <w:spacing w:line="440" w:lineRule="exact"/>
              <w:jc w:val="center"/>
              <w:rPr>
                <w:rFonts w:ascii="宋体" w:hAnsi="宋体"/>
                <w:color w:val="000000"/>
                <w:sz w:val="24"/>
                <w:szCs w:val="24"/>
                <w:highlight w:val="none"/>
              </w:rPr>
            </w:pPr>
          </w:p>
        </w:tc>
        <w:tc>
          <w:tcPr>
            <w:tcW w:w="1288" w:type="dxa"/>
          </w:tcPr>
          <w:p w14:paraId="2CFD5907">
            <w:pPr>
              <w:spacing w:line="440" w:lineRule="exact"/>
              <w:jc w:val="center"/>
              <w:rPr>
                <w:rFonts w:ascii="宋体" w:hAnsi="宋体"/>
                <w:color w:val="000000"/>
                <w:sz w:val="24"/>
                <w:szCs w:val="24"/>
                <w:highlight w:val="none"/>
              </w:rPr>
            </w:pPr>
          </w:p>
        </w:tc>
        <w:tc>
          <w:tcPr>
            <w:tcW w:w="1288" w:type="dxa"/>
          </w:tcPr>
          <w:p w14:paraId="0E4D2176">
            <w:pPr>
              <w:spacing w:line="440" w:lineRule="exact"/>
              <w:jc w:val="center"/>
              <w:rPr>
                <w:rFonts w:ascii="宋体" w:hAnsi="宋体"/>
                <w:color w:val="000000"/>
                <w:sz w:val="24"/>
                <w:szCs w:val="24"/>
                <w:highlight w:val="none"/>
              </w:rPr>
            </w:pPr>
          </w:p>
        </w:tc>
      </w:tr>
    </w:tbl>
    <w:p w14:paraId="31D18E00">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14:paraId="4DAB8C93">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64188AE">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0A2D93EF">
      <w:pPr>
        <w:rPr>
          <w:rFonts w:ascii="宋体" w:hAnsi="Calibri" w:eastAsia="宋体" w:cs="宋体"/>
          <w:b/>
          <w:bCs/>
          <w:color w:val="000000"/>
          <w:sz w:val="28"/>
          <w:szCs w:val="20"/>
        </w:rPr>
        <w:sectPr>
          <w:footerReference r:id="rId10" w:type="first"/>
          <w:footerReference r:id="rId9" w:type="default"/>
          <w:pgSz w:w="11906" w:h="16838"/>
          <w:pgMar w:top="1588" w:right="1418" w:bottom="1134" w:left="1418" w:header="851" w:footer="992" w:gutter="0"/>
          <w:cols w:space="720" w:num="1"/>
          <w:titlePg/>
          <w:docGrid w:type="lines" w:linePitch="312" w:charSpace="0"/>
        </w:sectPr>
      </w:pPr>
    </w:p>
    <w:p w14:paraId="7F7233A4">
      <w:pPr>
        <w:pStyle w:val="16"/>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7"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8"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9"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20" cstate="print"/>
                    <a:srcRect/>
                    <a:stretch>
                      <a:fillRect/>
                    </a:stretch>
                  </pic:blipFill>
                  <pic:spPr>
                    <a:xfrm>
                      <a:off x="0" y="0"/>
                      <a:ext cx="5760085" cy="2853055"/>
                    </a:xfrm>
                    <a:prstGeom prst="rect">
                      <a:avLst/>
                    </a:prstGeom>
                  </pic:spPr>
                </pic:pic>
              </a:graphicData>
            </a:graphic>
          </wp:inline>
        </w:drawing>
      </w:r>
    </w:p>
    <w:p w14:paraId="17346439">
      <w:pPr>
        <w:numPr>
          <w:ilvl w:val="0"/>
          <w:numId w:val="13"/>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6"/>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21" cstate="print"/>
                    <a:srcRect/>
                    <a:stretch>
                      <a:fillRect/>
                    </a:stretch>
                  </pic:blipFill>
                  <pic:spPr>
                    <a:xfrm>
                      <a:off x="0" y="0"/>
                      <a:ext cx="5760085" cy="2809875"/>
                    </a:xfrm>
                    <a:prstGeom prst="rect">
                      <a:avLst/>
                    </a:prstGeom>
                  </pic:spPr>
                </pic:pic>
              </a:graphicData>
            </a:graphic>
          </wp:inline>
        </w:drawing>
      </w:r>
    </w:p>
    <w:p w14:paraId="5F803865">
      <w:pPr>
        <w:pStyle w:val="16"/>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22" cstate="print"/>
                    <a:srcRect/>
                    <a:stretch>
                      <a:fillRect/>
                    </a:stretch>
                  </pic:blipFill>
                  <pic:spPr>
                    <a:xfrm>
                      <a:off x="0" y="0"/>
                      <a:ext cx="5760085" cy="2820035"/>
                    </a:xfrm>
                    <a:prstGeom prst="rect">
                      <a:avLst/>
                    </a:prstGeom>
                  </pic:spPr>
                </pic:pic>
              </a:graphicData>
            </a:graphic>
          </wp:inline>
        </w:drawing>
      </w:r>
    </w:p>
    <w:p w14:paraId="1B088E0A">
      <w:pPr>
        <w:pStyle w:val="16"/>
      </w:pPr>
    </w:p>
    <w:p w14:paraId="7AAAB53F">
      <w:pPr>
        <w:pStyle w:val="16"/>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6"/>
        <w:rPr>
          <w:highlight w:val="none"/>
        </w:rPr>
      </w:pPr>
      <w:r>
        <w:rPr>
          <w:rFonts w:hint="eastAsia" w:hAnsi="宋体" w:eastAsia="宋体" w:cs="宋体"/>
          <w:b/>
          <w:bCs/>
          <w:color w:val="000000"/>
          <w:sz w:val="24"/>
          <w:szCs w:val="28"/>
          <w:highlight w:val="none"/>
        </w:rPr>
        <w:t>2.配套能力“供货类别”填“直管单位非生产招标 / 服务 / 仓储配送”，业务主管部门选择“智能物流中心”。</w:t>
      </w:r>
    </w:p>
    <w:p w14:paraId="658D7837">
      <w:pPr>
        <w:pStyle w:val="16"/>
        <w:sectPr>
          <w:headerReference r:id="rId12" w:type="first"/>
          <w:footerReference r:id="rId14" w:type="first"/>
          <w:headerReference r:id="rId11" w:type="default"/>
          <w:footerReference r:id="rId13" w:type="default"/>
          <w:pgSz w:w="11906" w:h="16838"/>
          <w:pgMar w:top="1588" w:right="1418" w:bottom="1134" w:left="1418" w:header="851" w:footer="992" w:gutter="0"/>
          <w:cols w:space="720" w:num="1"/>
          <w:titlePg/>
          <w:docGrid w:type="lines" w:linePitch="312" w:charSpace="0"/>
        </w:sectPr>
      </w:pPr>
    </w:p>
    <w:p w14:paraId="75321FE7">
      <w:pPr>
        <w:pStyle w:val="16"/>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9"/>
          <w:rFonts w:hint="eastAsia" w:ascii="宋体" w:hAnsi="宋体" w:eastAsia="宋体" w:cs="宋体"/>
          <w:sz w:val="24"/>
          <w:szCs w:val="24"/>
        </w:rPr>
        <w:t>http</w:t>
      </w:r>
      <w:r>
        <w:rPr>
          <w:rStyle w:val="39"/>
          <w:rFonts w:hint="eastAsia" w:ascii="宋体" w:hAnsi="宋体" w:eastAsia="宋体" w:cs="宋体"/>
          <w:sz w:val="24"/>
          <w:szCs w:val="24"/>
          <w:lang w:val="en-US" w:eastAsia="zh-CN"/>
        </w:rPr>
        <w:t>s</w:t>
      </w:r>
      <w:r>
        <w:rPr>
          <w:rStyle w:val="39"/>
          <w:rFonts w:hint="eastAsia" w:ascii="宋体" w:hAnsi="宋体" w:eastAsia="宋体" w:cs="宋体"/>
          <w:sz w:val="24"/>
          <w:szCs w:val="24"/>
        </w:rPr>
        <w:t>://ecaitong.sinotruk.com:8012/</w:t>
      </w:r>
      <w:r>
        <w:rPr>
          <w:rStyle w:val="39"/>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23"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24"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6"/>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5"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5D4411EA">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6"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7"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8" cstate="print"/>
                    <a:srcRect/>
                    <a:stretch>
                      <a:fillRect/>
                    </a:stretch>
                  </pic:blipFill>
                  <pic:spPr>
                    <a:xfrm>
                      <a:off x="0" y="0"/>
                      <a:ext cx="5760085" cy="1956435"/>
                    </a:xfrm>
                    <a:prstGeom prst="rect">
                      <a:avLst/>
                    </a:prstGeom>
                  </pic:spPr>
                </pic:pic>
              </a:graphicData>
            </a:graphic>
          </wp:inline>
        </w:drawing>
      </w:r>
    </w:p>
    <w:p w14:paraId="1BA320C9">
      <w:pPr>
        <w:pStyle w:val="16"/>
        <w:rPr>
          <w:rFonts w:hAnsi="宋体" w:eastAsia="宋体" w:cs="Times New Roman"/>
          <w:b/>
          <w:color w:val="000000"/>
          <w:sz w:val="24"/>
          <w:szCs w:val="24"/>
        </w:rPr>
      </w:pPr>
    </w:p>
    <w:p w14:paraId="380218D1">
      <w:pPr>
        <w:pStyle w:val="16"/>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roman"/>
    <w:pitch w:val="default"/>
    <w:sig w:usb0="00000000" w:usb1="00000000" w:usb2="00000000" w:usb3="00000000" w:csb0="80000000" w:csb1="00000000"/>
  </w:font>
  <w:font w:name="等线">
    <w:panose1 w:val="02010600030101010101"/>
    <w:charset w:val="86"/>
    <w:family w:val="auto"/>
    <w:pitch w:val="default"/>
    <w:sig w:usb0="A00002BF" w:usb1="38CF7CFA" w:usb2="00000016" w:usb3="00000000" w:csb0="0004000F" w:csb1="00000000"/>
  </w:font>
  <w:font w:name="Kingsoft U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0"/>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0"/>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AE670">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2" name="文本框 100"/>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77EC07B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0"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No3hVjKAQAAlAMAAA4AAAAAAAAAAQAgAAAAHwEAAGRycy9lMm9E&#10;b2MueG1sUEsFBgAAAAAGAAYAWQEAAFsFAAAAAA==&#10;">
              <v:fill on="f" focussize="0,0"/>
              <v:stroke on="f"/>
              <v:imagedata o:title=""/>
              <o:lock v:ext="edit" aspectratio="f"/>
              <v:textbox inset="0mm,0mm,0mm,0mm" style="mso-fit-shape-to-text:t;">
                <w:txbxContent>
                  <w:p w14:paraId="77EC07B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46EDD5">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3" name="文本框 10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14137E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1"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OQo78MwBAACUAwAADgAAAAAAAAABACAAAAAfAQAAZHJzL2Uy&#10;b0RvYy54bWxQSwUGAAAAAAYABgBZAQAAXQUAAAAA&#10;">
              <v:fill on="f" focussize="0,0"/>
              <v:stroke on="f"/>
              <v:imagedata o:title=""/>
              <o:lock v:ext="edit" aspectratio="f"/>
              <v:textbox inset="0mm,0mm,0mm,0mm" style="mso-fit-shape-to-text:t;">
                <w:txbxContent>
                  <w:p w14:paraId="214137E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E84C72">
    <w:pPr>
      <w:pStyle w:val="20"/>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4" name="文本框 102"/>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0F38329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2"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d0knKMwBAACUAwAADgAAAAAAAAABACAAAAAfAQAAZHJzL2Uy&#10;b0RvYy54bWxQSwUGAAAAAAYABgBZAQAAXQUAAAAA&#10;">
              <v:fill on="f" focussize="0,0"/>
              <v:stroke on="f"/>
              <v:imagedata o:title=""/>
              <o:lock v:ext="edit" aspectratio="f"/>
              <v:textbox inset="0mm,0mm,0mm,0mm" style="mso-fit-shape-to-text:t;">
                <w:txbxContent>
                  <w:p w14:paraId="0F38329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94BB72">
    <w:pPr>
      <w:pStyle w:val="20"/>
      <w:jc w:val="center"/>
    </w:pPr>
    <w:r>
      <mc:AlternateContent>
        <mc:Choice Requires="wps">
          <w:drawing>
            <wp:anchor distT="0" distB="0" distL="0" distR="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175" name="文本框 103"/>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42C7F0CB">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03" o:spid="_x0000_s1026" o:spt="1"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">
              <v:fill on="f" focussize="0,0"/>
              <v:stroke on="f"/>
              <v:imagedata o:title=""/>
              <o:lock v:ext="edit" aspectratio="f"/>
              <v:textbox inset="0mm,0mm,0mm,0mm" style="mso-fit-shape-to-text:t;">
                <w:txbxContent>
                  <w:p w14:paraId="42C7F0CB">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0"/>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0"/>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0"/>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1"/>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2F124D">
    <w:pPr>
      <w:pStyle w:val="21"/>
      <w:pBdr>
        <w:bottom w:val="none" w:color="auto" w:sz="0" w:space="1"/>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21"/>
    </w:pPr>
  </w:p>
  <w:p w14:paraId="3AC74D7F">
    <w:pPr>
      <w:pStyle w:val="21"/>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2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1">
    <w:nsid w:val="BD4C6742"/>
    <w:multiLevelType w:val="singleLevel"/>
    <w:tmpl w:val="BD4C6742"/>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7">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10">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1">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7"/>
  </w:num>
  <w:num w:numId="2">
    <w:abstractNumId w:val="11"/>
  </w:num>
  <w:num w:numId="3">
    <w:abstractNumId w:val="10"/>
  </w:num>
  <w:num w:numId="4">
    <w:abstractNumId w:val="8"/>
  </w:num>
  <w:num w:numId="5">
    <w:abstractNumId w:val="3"/>
  </w:num>
  <w:num w:numId="6">
    <w:abstractNumId w:val="4"/>
  </w:num>
  <w:num w:numId="7">
    <w:abstractNumId w:val="5"/>
  </w:num>
  <w:num w:numId="8">
    <w:abstractNumId w:val="9"/>
  </w:num>
  <w:num w:numId="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6"/>
  </w:num>
  <w:num w:numId="12">
    <w:abstractNumId w:val="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0FC56F7C"/>
    <w:rsid w:val="10D421FF"/>
    <w:rsid w:val="10DC2AA3"/>
    <w:rsid w:val="10FA7C8C"/>
    <w:rsid w:val="118045F5"/>
    <w:rsid w:val="122E595A"/>
    <w:rsid w:val="130B198F"/>
    <w:rsid w:val="16A918E4"/>
    <w:rsid w:val="17D966D6"/>
    <w:rsid w:val="189044AC"/>
    <w:rsid w:val="1BBB0B95"/>
    <w:rsid w:val="1BC71D3B"/>
    <w:rsid w:val="1C59115B"/>
    <w:rsid w:val="1FB23E60"/>
    <w:rsid w:val="221B2F87"/>
    <w:rsid w:val="22C5630B"/>
    <w:rsid w:val="23EC0BA6"/>
    <w:rsid w:val="24701A48"/>
    <w:rsid w:val="268B0052"/>
    <w:rsid w:val="27743C90"/>
    <w:rsid w:val="29CA2459"/>
    <w:rsid w:val="2A434202"/>
    <w:rsid w:val="2B271A58"/>
    <w:rsid w:val="2B6304A7"/>
    <w:rsid w:val="2BAB52D9"/>
    <w:rsid w:val="2BCD1855"/>
    <w:rsid w:val="2C1D2D14"/>
    <w:rsid w:val="2CF6734C"/>
    <w:rsid w:val="2D5262D8"/>
    <w:rsid w:val="2D663463"/>
    <w:rsid w:val="2EF96EE4"/>
    <w:rsid w:val="313A6339"/>
    <w:rsid w:val="34AD6C9C"/>
    <w:rsid w:val="36254FE4"/>
    <w:rsid w:val="372F61E0"/>
    <w:rsid w:val="379C1C4F"/>
    <w:rsid w:val="39322FCA"/>
    <w:rsid w:val="398C3264"/>
    <w:rsid w:val="3AB90991"/>
    <w:rsid w:val="3B706131"/>
    <w:rsid w:val="3E6F041E"/>
    <w:rsid w:val="4275481E"/>
    <w:rsid w:val="428B617A"/>
    <w:rsid w:val="433D7BDC"/>
    <w:rsid w:val="437E1813"/>
    <w:rsid w:val="44A27E03"/>
    <w:rsid w:val="45A55BAA"/>
    <w:rsid w:val="45BD47FC"/>
    <w:rsid w:val="45CC5FB2"/>
    <w:rsid w:val="469011FB"/>
    <w:rsid w:val="46B75BA8"/>
    <w:rsid w:val="48C97955"/>
    <w:rsid w:val="49880C8F"/>
    <w:rsid w:val="4A8835F7"/>
    <w:rsid w:val="4B592E71"/>
    <w:rsid w:val="4C1031E2"/>
    <w:rsid w:val="4EFA36BF"/>
    <w:rsid w:val="4FBE01E7"/>
    <w:rsid w:val="514C6556"/>
    <w:rsid w:val="51954F77"/>
    <w:rsid w:val="52B9239A"/>
    <w:rsid w:val="54BD78FD"/>
    <w:rsid w:val="562C3D76"/>
    <w:rsid w:val="58A86DDE"/>
    <w:rsid w:val="59154AD7"/>
    <w:rsid w:val="5ADF548D"/>
    <w:rsid w:val="5D5C60B4"/>
    <w:rsid w:val="62FA1A25"/>
    <w:rsid w:val="63F04A69"/>
    <w:rsid w:val="64DF6B5C"/>
    <w:rsid w:val="66A50B1E"/>
    <w:rsid w:val="67B2063C"/>
    <w:rsid w:val="67C97AC3"/>
    <w:rsid w:val="67E30EC1"/>
    <w:rsid w:val="6A4E3B2B"/>
    <w:rsid w:val="6B481C3B"/>
    <w:rsid w:val="6C1331A3"/>
    <w:rsid w:val="6CA84BC1"/>
    <w:rsid w:val="6D3E4756"/>
    <w:rsid w:val="6DE17DBE"/>
    <w:rsid w:val="6FC523EB"/>
    <w:rsid w:val="72895F2E"/>
    <w:rsid w:val="72C02EBE"/>
    <w:rsid w:val="72C507AD"/>
    <w:rsid w:val="72D028D8"/>
    <w:rsid w:val="745D47C3"/>
    <w:rsid w:val="75D84470"/>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5"/>
    <w:semiHidden/>
    <w:qFormat/>
    <w:uiPriority w:val="0"/>
    <w:pPr>
      <w:keepNext/>
      <w:keepLines/>
      <w:spacing w:line="416" w:lineRule="auto"/>
      <w:outlineLvl w:val="2"/>
    </w:pPr>
    <w:rPr>
      <w:b/>
      <w:bCs/>
      <w:sz w:val="32"/>
      <w:szCs w:val="32"/>
    </w:rPr>
  </w:style>
  <w:style w:type="paragraph" w:styleId="5">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5"/>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7"/>
    <w:qFormat/>
    <w:uiPriority w:val="99"/>
    <w:pPr>
      <w:jc w:val="left"/>
    </w:pPr>
  </w:style>
  <w:style w:type="paragraph" w:styleId="11">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2">
    <w:name w:val="Body Text"/>
    <w:basedOn w:val="1"/>
    <w:next w:val="13"/>
    <w:link w:val="43"/>
    <w:semiHidden/>
    <w:qFormat/>
    <w:uiPriority w:val="98"/>
    <w:rPr>
      <w:rFonts w:ascii="仿宋_GB2312" w:eastAsia="仿宋_GB2312"/>
      <w:sz w:val="32"/>
    </w:rPr>
  </w:style>
  <w:style w:type="paragraph" w:customStyle="1" w:styleId="13">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paragraph" w:styleId="14">
    <w:name w:val="Body Text Indent"/>
    <w:basedOn w:val="1"/>
    <w:next w:val="1"/>
    <w:link w:val="50"/>
    <w:semiHidden/>
    <w:qFormat/>
    <w:uiPriority w:val="0"/>
    <w:pPr>
      <w:spacing w:after="120"/>
      <w:ind w:left="420" w:leftChars="200"/>
    </w:pPr>
    <w:rPr>
      <w:rFonts w:ascii="Calibri" w:hAnsi="Calibri"/>
      <w:szCs w:val="22"/>
    </w:rPr>
  </w:style>
  <w:style w:type="paragraph" w:styleId="15">
    <w:name w:val="toc 3"/>
    <w:basedOn w:val="1"/>
    <w:next w:val="1"/>
    <w:semiHidden/>
    <w:qFormat/>
    <w:uiPriority w:val="39"/>
    <w:pPr>
      <w:adjustRightInd w:val="0"/>
      <w:spacing w:line="312" w:lineRule="atLeast"/>
      <w:ind w:left="840" w:leftChars="400"/>
      <w:textAlignment w:val="baseline"/>
    </w:pPr>
    <w:rPr>
      <w:kern w:val="0"/>
      <w:sz w:val="24"/>
    </w:rPr>
  </w:style>
  <w:style w:type="paragraph" w:styleId="16">
    <w:name w:val="Plain Text"/>
    <w:basedOn w:val="1"/>
    <w:link w:val="52"/>
    <w:qFormat/>
    <w:uiPriority w:val="0"/>
    <w:rPr>
      <w:rFonts w:ascii="宋体" w:hAnsi="Courier New"/>
    </w:rPr>
  </w:style>
  <w:style w:type="paragraph" w:styleId="17">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8">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19">
    <w:name w:val="Balloon Text"/>
    <w:basedOn w:val="1"/>
    <w:link w:val="49"/>
    <w:semiHidden/>
    <w:qFormat/>
    <w:uiPriority w:val="0"/>
    <w:rPr>
      <w:sz w:val="18"/>
      <w:szCs w:val="18"/>
    </w:rPr>
  </w:style>
  <w:style w:type="paragraph" w:styleId="20">
    <w:name w:val="footer"/>
    <w:basedOn w:val="1"/>
    <w:link w:val="44"/>
    <w:semiHidden/>
    <w:qFormat/>
    <w:uiPriority w:val="0"/>
    <w:pPr>
      <w:tabs>
        <w:tab w:val="center" w:pos="4153"/>
        <w:tab w:val="right" w:pos="8306"/>
      </w:tabs>
      <w:snapToGrid w:val="0"/>
      <w:jc w:val="left"/>
    </w:pPr>
    <w:rPr>
      <w:sz w:val="18"/>
      <w:szCs w:val="18"/>
    </w:rPr>
  </w:style>
  <w:style w:type="paragraph" w:styleId="21">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0"/>
    <w:next w:val="10"/>
    <w:link w:val="55"/>
    <w:semiHidden/>
    <w:qFormat/>
    <w:uiPriority w:val="98"/>
    <w:rPr>
      <w:b/>
      <w:bCs/>
    </w:rPr>
  </w:style>
  <w:style w:type="paragraph" w:styleId="31">
    <w:name w:val="Body Text First Indent 2"/>
    <w:basedOn w:val="14"/>
    <w:next w:val="26"/>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basedOn w:val="34"/>
    <w:qFormat/>
    <w:uiPriority w:val="99"/>
    <w:rPr>
      <w:rFonts w:cs="Times New Roman"/>
      <w:color w:val="1F4F88"/>
      <w:u w:val="none"/>
    </w:rPr>
  </w:style>
  <w:style w:type="character" w:styleId="40">
    <w:name w:val="annotation reference"/>
    <w:semiHidden/>
    <w:qFormat/>
    <w:uiPriority w:val="98"/>
    <w:rPr>
      <w:sz w:val="21"/>
      <w:szCs w:val="21"/>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2"/>
    <w:semiHidden/>
    <w:qFormat/>
    <w:uiPriority w:val="98"/>
    <w:rPr>
      <w:rFonts w:ascii="仿宋_GB2312" w:eastAsia="仿宋_GB2312"/>
      <w:kern w:val="2"/>
      <w:sz w:val="32"/>
    </w:rPr>
  </w:style>
  <w:style w:type="character" w:customStyle="1" w:styleId="44">
    <w:name w:val="页脚 字符"/>
    <w:link w:val="20"/>
    <w:semiHidden/>
    <w:qFormat/>
    <w:uiPriority w:val="0"/>
    <w:rPr>
      <w:kern w:val="2"/>
      <w:sz w:val="18"/>
      <w:szCs w:val="18"/>
    </w:rPr>
  </w:style>
  <w:style w:type="character" w:customStyle="1" w:styleId="45">
    <w:name w:val="标题 3 字符"/>
    <w:link w:val="4"/>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0"/>
    <w:qFormat/>
    <w:uiPriority w:val="99"/>
    <w:rPr>
      <w:kern w:val="2"/>
      <w:sz w:val="21"/>
    </w:rPr>
  </w:style>
  <w:style w:type="character" w:customStyle="1" w:styleId="48">
    <w:name w:val="apple-converted-space"/>
    <w:basedOn w:val="34"/>
    <w:semiHidden/>
    <w:qFormat/>
    <w:uiPriority w:val="98"/>
  </w:style>
  <w:style w:type="character" w:customStyle="1" w:styleId="49">
    <w:name w:val="批注框文本 字符"/>
    <w:link w:val="19"/>
    <w:semiHidden/>
    <w:qFormat/>
    <w:uiPriority w:val="98"/>
    <w:rPr>
      <w:kern w:val="2"/>
      <w:sz w:val="18"/>
      <w:szCs w:val="18"/>
    </w:rPr>
  </w:style>
  <w:style w:type="character" w:customStyle="1" w:styleId="50">
    <w:name w:val="正文文本缩进 字符"/>
    <w:link w:val="14"/>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6"/>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21"/>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4"/>
    <w:link w:val="2"/>
    <w:semiHidden/>
    <w:qFormat/>
    <w:uiPriority w:val="0"/>
    <w:rPr>
      <w:b/>
      <w:bCs/>
      <w:kern w:val="44"/>
      <w:sz w:val="44"/>
      <w:szCs w:val="44"/>
    </w:rPr>
  </w:style>
  <w:style w:type="paragraph" w:customStyle="1" w:styleId="69">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4"/>
    <w:link w:val="29"/>
    <w:semiHidden/>
    <w:qFormat/>
    <w:uiPriority w:val="0"/>
    <w:rPr>
      <w:rFonts w:eastAsia="黑体" w:asciiTheme="majorHAnsi" w:hAnsiTheme="majorHAnsi" w:cstheme="majorBidi"/>
      <w:b/>
      <w:bCs/>
      <w:kern w:val="2"/>
      <w:sz w:val="36"/>
      <w:szCs w:val="32"/>
    </w:rPr>
  </w:style>
  <w:style w:type="paragraph" w:customStyle="1" w:styleId="72">
    <w:name w:val="章节"/>
    <w:basedOn w:val="16"/>
    <w:qFormat/>
    <w:uiPriority w:val="0"/>
    <w:pPr>
      <w:spacing w:line="360" w:lineRule="auto"/>
      <w:jc w:val="center"/>
      <w:outlineLvl w:val="0"/>
    </w:pPr>
    <w:rPr>
      <w:rFonts w:ascii="黑体" w:eastAsia="黑体"/>
      <w:b/>
      <w:bCs/>
      <w:sz w:val="36"/>
      <w:szCs w:val="36"/>
    </w:rPr>
  </w:style>
  <w:style w:type="paragraph" w:customStyle="1" w:styleId="73">
    <w:name w:val="一级标题"/>
    <w:basedOn w:val="16"/>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6"/>
    <w:qFormat/>
    <w:uiPriority w:val="2"/>
    <w:pPr>
      <w:numPr>
        <w:ilvl w:val="0"/>
        <w:numId w:val="3"/>
      </w:numPr>
      <w:spacing w:line="360" w:lineRule="auto"/>
      <w:outlineLvl w:val="2"/>
    </w:pPr>
    <w:rPr>
      <w:b/>
    </w:rPr>
  </w:style>
  <w:style w:type="paragraph" w:customStyle="1" w:styleId="75">
    <w:name w:val="3级标题"/>
    <w:basedOn w:val="16"/>
    <w:link w:val="103"/>
    <w:qFormat/>
    <w:uiPriority w:val="3"/>
    <w:pPr>
      <w:numPr>
        <w:ilvl w:val="0"/>
        <w:numId w:val="4"/>
      </w:numPr>
      <w:spacing w:line="360" w:lineRule="auto"/>
      <w:outlineLvl w:val="3"/>
    </w:pPr>
    <w:rPr>
      <w:b/>
    </w:rPr>
  </w:style>
  <w:style w:type="paragraph" w:customStyle="1" w:styleId="76">
    <w:name w:val="（4）级标题"/>
    <w:basedOn w:val="16"/>
    <w:qFormat/>
    <w:uiPriority w:val="8"/>
    <w:pPr>
      <w:numPr>
        <w:ilvl w:val="0"/>
        <w:numId w:val="5"/>
      </w:numPr>
      <w:spacing w:line="360" w:lineRule="auto"/>
      <w:outlineLvl w:val="4"/>
    </w:pPr>
  </w:style>
  <w:style w:type="paragraph" w:customStyle="1" w:styleId="77">
    <w:name w:val="标书正文"/>
    <w:basedOn w:val="16"/>
    <w:link w:val="98"/>
    <w:qFormat/>
    <w:uiPriority w:val="9"/>
    <w:pPr>
      <w:spacing w:line="360" w:lineRule="auto"/>
      <w:jc w:val="left"/>
    </w:pPr>
  </w:style>
  <w:style w:type="character" w:customStyle="1" w:styleId="78">
    <w:name w:val="标题 4 字符"/>
    <w:basedOn w:val="34"/>
    <w:link w:val="5"/>
    <w:semiHidden/>
    <w:qFormat/>
    <w:uiPriority w:val="0"/>
    <w:rPr>
      <w:rFonts w:ascii="Arial" w:hAnsi="Arial"/>
      <w:b/>
      <w:bCs/>
      <w:kern w:val="2"/>
      <w:sz w:val="21"/>
      <w:szCs w:val="28"/>
    </w:rPr>
  </w:style>
  <w:style w:type="character" w:customStyle="1" w:styleId="79">
    <w:name w:val="标题 5 字符"/>
    <w:basedOn w:val="34"/>
    <w:link w:val="6"/>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4"/>
    <w:link w:val="24"/>
    <w:semiHidden/>
    <w:qFormat/>
    <w:uiPriority w:val="0"/>
    <w:rPr>
      <w:rFonts w:ascii="宋体" w:hAnsi="宋体"/>
      <w:color w:val="FF0000"/>
      <w:kern w:val="2"/>
      <w:sz w:val="24"/>
      <w:szCs w:val="24"/>
    </w:rPr>
  </w:style>
  <w:style w:type="paragraph" w:customStyle="1" w:styleId="85">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4"/>
    <w:link w:val="18"/>
    <w:semiHidden/>
    <w:qFormat/>
    <w:uiPriority w:val="0"/>
    <w:rPr>
      <w:sz w:val="24"/>
    </w:rPr>
  </w:style>
  <w:style w:type="character" w:customStyle="1" w:styleId="88">
    <w:name w:val="日期 字符"/>
    <w:basedOn w:val="34"/>
    <w:link w:val="17"/>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4"/>
    <w:semiHidden/>
    <w:qFormat/>
    <w:uiPriority w:val="98"/>
    <w:rPr>
      <w:rFonts w:ascii="Microsoft YaHei UI" w:eastAsia="Microsoft YaHei UI"/>
      <w:kern w:val="2"/>
      <w:sz w:val="18"/>
      <w:szCs w:val="18"/>
    </w:rPr>
  </w:style>
  <w:style w:type="character" w:customStyle="1" w:styleId="94">
    <w:name w:val="文档结构图 字符1"/>
    <w:basedOn w:val="34"/>
    <w:link w:val="9"/>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4"/>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4"/>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7"/>
    <w:semiHidden/>
    <w:qFormat/>
    <w:locked/>
    <w:uiPriority w:val="99"/>
    <w:rPr>
      <w:sz w:val="21"/>
      <w:szCs w:val="21"/>
    </w:rPr>
  </w:style>
  <w:style w:type="character" w:customStyle="1" w:styleId="106">
    <w:name w:val="电子邮件签名 字符1"/>
    <w:basedOn w:val="34"/>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3.png"/><Relationship Id="rId27" Type="http://schemas.openxmlformats.org/officeDocument/2006/relationships/image" Target="media/image12.png"/><Relationship Id="rId26" Type="http://schemas.openxmlformats.org/officeDocument/2006/relationships/image" Target="media/image11.png"/><Relationship Id="rId25" Type="http://schemas.openxmlformats.org/officeDocument/2006/relationships/image" Target="media/image10.png"/><Relationship Id="rId24" Type="http://schemas.openxmlformats.org/officeDocument/2006/relationships/image" Target="media/image9.png"/><Relationship Id="rId23" Type="http://schemas.openxmlformats.org/officeDocument/2006/relationships/image" Target="media/image8.png"/><Relationship Id="rId22" Type="http://schemas.openxmlformats.org/officeDocument/2006/relationships/image" Target="media/image7.png"/><Relationship Id="rId21" Type="http://schemas.openxmlformats.org/officeDocument/2006/relationships/image" Target="media/image6.png"/><Relationship Id="rId20" Type="http://schemas.openxmlformats.org/officeDocument/2006/relationships/image" Target="media/image5.png"/><Relationship Id="rId2" Type="http://schemas.openxmlformats.org/officeDocument/2006/relationships/settings" Target="settings.xml"/><Relationship Id="rId19" Type="http://schemas.openxmlformats.org/officeDocument/2006/relationships/image" Target="media/image4.png"/><Relationship Id="rId18" Type="http://schemas.openxmlformats.org/officeDocument/2006/relationships/image" Target="media/image3.png"/><Relationship Id="rId17" Type="http://schemas.openxmlformats.org/officeDocument/2006/relationships/image" Target="media/image2.png"/><Relationship Id="rId16" Type="http://schemas.openxmlformats.org/officeDocument/2006/relationships/image" Target="media/image1.jpeg"/><Relationship Id="rId15" Type="http://schemas.openxmlformats.org/officeDocument/2006/relationships/theme" Target="theme/theme1.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header" Target="header3.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3570</Words>
  <Characters>3802</Characters>
  <Lines>127</Lines>
  <Paragraphs>35</Paragraphs>
  <TotalTime>2</TotalTime>
  <ScaleCrop>false</ScaleCrop>
  <LinksUpToDate>false</LinksUpToDate>
  <CharactersWithSpaces>4196</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2025-10-14T06:32:04Z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