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2025年卡车公司电伴热温控箱采购项目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FSCZB2025090156</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有限公司</w:t>
      </w:r>
    </w:p>
    <w:p w14:paraId="0D8A0D9A">
      <w:pPr>
        <w:jc w:val="center"/>
        <w:rPr>
          <w:rFonts w:ascii="宋体" w:hAnsi="宋体"/>
          <w:sz w:val="28"/>
          <w:szCs w:val="28"/>
          <w:highlight w:val="none"/>
        </w:rPr>
      </w:pPr>
    </w:p>
    <w:p w14:paraId="65630C28">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rPr>
          <w:highlight w:val="none"/>
        </w:rPr>
      </w:pPr>
      <w:bookmarkStart w:id="0" w:name="_Toc47976587"/>
      <w:bookmarkStart w:id="1" w:name="_Toc6103"/>
      <w:r>
        <w:rPr>
          <w:rFonts w:hint="eastAsia"/>
          <w:highlight w:val="none"/>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2025年卡车公司电伴热温控箱采购项目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2025年卡车公司电伴热温控箱采购项目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FSCZB2025090156</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color w:val="auto"/>
          <w:highlight w:val="none"/>
        </w:rPr>
      </w:pPr>
      <w:r>
        <w:rPr>
          <w:rFonts w:hint="eastAsia"/>
          <w:color w:val="auto"/>
          <w:highlight w:val="none"/>
          <w:lang w:val="en-US" w:eastAsia="zh-CN"/>
        </w:rPr>
        <w:t>项目概况</w:t>
      </w:r>
      <w:r>
        <w:rPr>
          <w:rFonts w:hint="eastAsia"/>
          <w:color w:val="auto"/>
          <w:highlight w:val="none"/>
        </w:rPr>
        <w:t>：</w:t>
      </w:r>
      <w:bookmarkStart w:id="3" w:name="OLE_LINK2"/>
      <w:r>
        <w:rPr>
          <w:rFonts w:hint="default" w:ascii="Times New Roman" w:hAnsi="Times New Roman" w:eastAsia="宋体" w:cs="Times New Roman"/>
          <w:color w:val="auto"/>
          <w:kern w:val="2"/>
          <w:sz w:val="21"/>
          <w:szCs w:val="22"/>
          <w:highlight w:val="none"/>
          <w:lang w:eastAsia="zh-CN" w:bidi="ar-SA"/>
        </w:rPr>
        <w:t>卡车公司计划对22个控制柜进行改造，加装电伴热温控，以有效降低公司安全风险。</w:t>
      </w:r>
      <w:bookmarkEnd w:id="3"/>
      <w:r>
        <w:rPr>
          <w:rFonts w:hint="default" w:ascii="Times New Roman" w:hAnsi="Times New Roman" w:eastAsia="宋体" w:cs="Times New Roman"/>
          <w:color w:val="auto"/>
          <w:kern w:val="2"/>
          <w:sz w:val="21"/>
          <w:szCs w:val="22"/>
          <w:highlight w:val="none"/>
          <w:lang w:eastAsia="zh-CN" w:bidi="ar-SA"/>
        </w:rPr>
        <w:t>供货方需负责温控箱的采购供货、装卸运输，指导招标方进行安装调试，招标方依据供货方的指导意见负责具体安装施工。采购明细如下:</w:t>
      </w:r>
    </w:p>
    <w:tbl>
      <w:tblPr>
        <w:tblStyle w:val="32"/>
        <w:tblW w:w="499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859"/>
        <w:gridCol w:w="2010"/>
        <w:gridCol w:w="1786"/>
        <w:gridCol w:w="739"/>
        <w:gridCol w:w="777"/>
        <w:gridCol w:w="3103"/>
      </w:tblGrid>
      <w:tr w14:paraId="1553A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1E563B32">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序号</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55A0B364">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具体项目内容</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02BAAF01">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规格型号</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370CEBFA">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单位</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4A2E6A07">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数量</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671D3AB2">
            <w:pPr>
              <w:pStyle w:val="27"/>
              <w:keepNext w:val="0"/>
              <w:keepLines w:val="0"/>
              <w:widowControl w:val="0"/>
              <w:suppressLineNumbers w:val="0"/>
              <w:spacing w:before="0" w:beforeAutospacing="0" w:after="0" w:afterAutospacing="0" w:line="360" w:lineRule="auto"/>
              <w:ind w:left="0" w:right="0" w:firstLine="420" w:firstLineChars="20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备注</w:t>
            </w:r>
          </w:p>
        </w:tc>
      </w:tr>
      <w:tr w14:paraId="7DCDB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669979EE">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0BF4C2A3">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温控箱</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67AAAB82">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w:t>
            </w:r>
            <w:r>
              <w:rPr>
                <w:rFonts w:hint="eastAsia" w:ascii="宋体" w:hAnsi="宋体" w:eastAsia="宋体" w:cs="宋体"/>
                <w:color w:val="auto"/>
                <w:kern w:val="2"/>
                <w:sz w:val="21"/>
                <w:szCs w:val="21"/>
                <w:lang w:val="en-US" w:eastAsia="zh-CN" w:bidi="ar"/>
              </w:rPr>
              <w:t>回路</w:t>
            </w:r>
            <w:r>
              <w:rPr>
                <w:rFonts w:hint="default" w:ascii="Times New Roman" w:hAnsi="Times New Roman" w:eastAsia="宋体" w:cs="Times New Roman"/>
                <w:color w:val="auto"/>
                <w:kern w:val="2"/>
                <w:sz w:val="21"/>
                <w:szCs w:val="21"/>
                <w:lang w:val="en-US" w:eastAsia="zh-CN" w:bidi="ar"/>
              </w:rPr>
              <w:t>1</w:t>
            </w:r>
            <w:r>
              <w:rPr>
                <w:rFonts w:hint="eastAsia" w:ascii="宋体" w:hAnsi="宋体" w:eastAsia="宋体" w:cs="宋体"/>
                <w:color w:val="auto"/>
                <w:kern w:val="2"/>
                <w:sz w:val="21"/>
                <w:szCs w:val="21"/>
                <w:lang w:val="en-US" w:eastAsia="zh-CN" w:bidi="ar"/>
              </w:rPr>
              <w:t>表</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015934AB">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台</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0A9E2E84">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14</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38A1517C">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元器件建议采用：西门子，</w:t>
            </w:r>
            <w:r>
              <w:rPr>
                <w:rFonts w:hint="default" w:ascii="Times New Roman" w:hAnsi="Times New Roman" w:eastAsia="宋体" w:cs="Times New Roman"/>
                <w:color w:val="auto"/>
                <w:kern w:val="2"/>
                <w:sz w:val="21"/>
                <w:szCs w:val="21"/>
                <w:lang w:val="en-US" w:eastAsia="zh-CN" w:bidi="ar"/>
              </w:rPr>
              <w:t>ABB</w:t>
            </w:r>
            <w:r>
              <w:rPr>
                <w:rFonts w:hint="eastAsia" w:ascii="宋体" w:hAnsi="宋体" w:eastAsia="宋体" w:cs="宋体"/>
                <w:color w:val="auto"/>
                <w:kern w:val="2"/>
                <w:sz w:val="21"/>
                <w:szCs w:val="21"/>
                <w:lang w:val="en-US" w:eastAsia="zh-CN" w:bidi="ar"/>
              </w:rPr>
              <w:t>，施耐及同等品牌</w:t>
            </w:r>
          </w:p>
        </w:tc>
      </w:tr>
      <w:tr w14:paraId="4CAE9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2C8D105E">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2</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129C2053">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防水温控箱</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618D4CB6">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w:t>
            </w:r>
            <w:r>
              <w:rPr>
                <w:rFonts w:hint="eastAsia" w:ascii="宋体" w:hAnsi="宋体" w:eastAsia="宋体" w:cs="宋体"/>
                <w:color w:val="auto"/>
                <w:kern w:val="2"/>
                <w:sz w:val="21"/>
                <w:szCs w:val="21"/>
                <w:lang w:val="en-US" w:eastAsia="zh-CN" w:bidi="ar"/>
              </w:rPr>
              <w:t>回路</w:t>
            </w:r>
            <w:r>
              <w:rPr>
                <w:rFonts w:hint="default" w:ascii="Times New Roman" w:hAnsi="Times New Roman" w:eastAsia="宋体" w:cs="Times New Roman"/>
                <w:color w:val="auto"/>
                <w:kern w:val="2"/>
                <w:sz w:val="21"/>
                <w:szCs w:val="21"/>
                <w:lang w:val="en-US" w:eastAsia="zh-CN" w:bidi="ar"/>
              </w:rPr>
              <w:t>1</w:t>
            </w:r>
            <w:r>
              <w:rPr>
                <w:rFonts w:hint="eastAsia" w:ascii="宋体" w:hAnsi="宋体" w:eastAsia="宋体" w:cs="宋体"/>
                <w:color w:val="auto"/>
                <w:kern w:val="2"/>
                <w:sz w:val="21"/>
                <w:szCs w:val="21"/>
                <w:lang w:val="en-US" w:eastAsia="zh-CN" w:bidi="ar"/>
              </w:rPr>
              <w:t>表</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2D14C9B1">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台</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6A1310FF">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2</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2C6C01D8">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元器件建议采用：西门子，</w:t>
            </w:r>
            <w:r>
              <w:rPr>
                <w:rFonts w:hint="default" w:ascii="Times New Roman" w:hAnsi="Times New Roman" w:eastAsia="宋体" w:cs="Times New Roman"/>
                <w:color w:val="auto"/>
                <w:kern w:val="2"/>
                <w:sz w:val="21"/>
                <w:szCs w:val="21"/>
                <w:lang w:val="en-US" w:eastAsia="zh-CN" w:bidi="ar"/>
              </w:rPr>
              <w:t>ABB</w:t>
            </w:r>
            <w:r>
              <w:rPr>
                <w:rFonts w:hint="eastAsia" w:ascii="宋体" w:hAnsi="宋体" w:eastAsia="宋体" w:cs="宋体"/>
                <w:color w:val="auto"/>
                <w:kern w:val="2"/>
                <w:sz w:val="21"/>
                <w:szCs w:val="21"/>
                <w:lang w:val="en-US" w:eastAsia="zh-CN" w:bidi="ar"/>
              </w:rPr>
              <w:t>，施耐及同等品牌</w:t>
            </w:r>
          </w:p>
        </w:tc>
      </w:tr>
      <w:tr w14:paraId="3D989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003D56C9">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3</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13B2837E">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温控箱</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3736C7A7">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2</w:t>
            </w:r>
            <w:r>
              <w:rPr>
                <w:rFonts w:hint="eastAsia" w:ascii="宋体" w:hAnsi="宋体" w:eastAsia="宋体" w:cs="宋体"/>
                <w:color w:val="auto"/>
                <w:kern w:val="2"/>
                <w:sz w:val="21"/>
                <w:szCs w:val="21"/>
                <w:lang w:val="en-US" w:eastAsia="zh-CN" w:bidi="ar"/>
              </w:rPr>
              <w:t>回路</w:t>
            </w:r>
            <w:r>
              <w:rPr>
                <w:rFonts w:hint="default" w:ascii="Times New Roman" w:hAnsi="Times New Roman" w:eastAsia="宋体" w:cs="Times New Roman"/>
                <w:color w:val="auto"/>
                <w:kern w:val="2"/>
                <w:sz w:val="21"/>
                <w:szCs w:val="21"/>
                <w:lang w:val="en-US" w:eastAsia="zh-CN" w:bidi="ar"/>
              </w:rPr>
              <w:t>2</w:t>
            </w:r>
            <w:r>
              <w:rPr>
                <w:rFonts w:hint="eastAsia" w:ascii="宋体" w:hAnsi="宋体" w:eastAsia="宋体" w:cs="宋体"/>
                <w:color w:val="auto"/>
                <w:kern w:val="2"/>
                <w:sz w:val="21"/>
                <w:szCs w:val="21"/>
                <w:lang w:val="en-US" w:eastAsia="zh-CN" w:bidi="ar"/>
              </w:rPr>
              <w:t>表</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16D09376">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台</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7F7643C3">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4</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689F93C9">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元器件建议采用：西门子，</w:t>
            </w:r>
            <w:r>
              <w:rPr>
                <w:rFonts w:hint="default" w:ascii="Times New Roman" w:hAnsi="Times New Roman" w:eastAsia="宋体" w:cs="Times New Roman"/>
                <w:color w:val="auto"/>
                <w:kern w:val="2"/>
                <w:sz w:val="21"/>
                <w:szCs w:val="21"/>
                <w:lang w:val="en-US" w:eastAsia="zh-CN" w:bidi="ar"/>
              </w:rPr>
              <w:t>ABB</w:t>
            </w:r>
            <w:r>
              <w:rPr>
                <w:rFonts w:hint="eastAsia" w:ascii="宋体" w:hAnsi="宋体" w:eastAsia="宋体" w:cs="宋体"/>
                <w:color w:val="auto"/>
                <w:kern w:val="2"/>
                <w:sz w:val="21"/>
                <w:szCs w:val="21"/>
                <w:lang w:val="en-US" w:eastAsia="zh-CN" w:bidi="ar"/>
              </w:rPr>
              <w:t>，施耐及同等品牌</w:t>
            </w:r>
          </w:p>
        </w:tc>
      </w:tr>
      <w:tr w14:paraId="11053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69" w:hRule="atLeast"/>
        </w:trPr>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44786B31">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4</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7C51C0AE">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防水温控箱</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54DBE924">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3</w:t>
            </w:r>
            <w:r>
              <w:rPr>
                <w:rFonts w:hint="eastAsia" w:ascii="宋体" w:hAnsi="宋体" w:eastAsia="宋体" w:cs="宋体"/>
                <w:color w:val="auto"/>
                <w:kern w:val="2"/>
                <w:sz w:val="21"/>
                <w:szCs w:val="21"/>
                <w:lang w:val="en-US" w:eastAsia="zh-CN" w:bidi="ar"/>
              </w:rPr>
              <w:t>回路</w:t>
            </w:r>
            <w:r>
              <w:rPr>
                <w:rFonts w:hint="default" w:ascii="Times New Roman" w:hAnsi="Times New Roman" w:eastAsia="宋体" w:cs="Times New Roman"/>
                <w:color w:val="auto"/>
                <w:kern w:val="2"/>
                <w:sz w:val="21"/>
                <w:szCs w:val="21"/>
                <w:lang w:val="en-US" w:eastAsia="zh-CN" w:bidi="ar"/>
              </w:rPr>
              <w:t>3</w:t>
            </w:r>
            <w:r>
              <w:rPr>
                <w:rFonts w:hint="eastAsia" w:ascii="宋体" w:hAnsi="宋体" w:eastAsia="宋体" w:cs="宋体"/>
                <w:color w:val="auto"/>
                <w:kern w:val="2"/>
                <w:sz w:val="21"/>
                <w:szCs w:val="21"/>
                <w:lang w:val="en-US" w:eastAsia="zh-CN" w:bidi="ar"/>
              </w:rPr>
              <w:t>表</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31C5F117">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台</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57A4513F">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18032E6A">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元器件建议采用：西门子，</w:t>
            </w:r>
            <w:r>
              <w:rPr>
                <w:rFonts w:hint="default" w:ascii="Times New Roman" w:hAnsi="Times New Roman" w:eastAsia="宋体" w:cs="Times New Roman"/>
                <w:color w:val="auto"/>
                <w:kern w:val="2"/>
                <w:sz w:val="21"/>
                <w:szCs w:val="21"/>
                <w:lang w:val="en-US" w:eastAsia="zh-CN" w:bidi="ar"/>
              </w:rPr>
              <w:t>ABB</w:t>
            </w:r>
            <w:r>
              <w:rPr>
                <w:rFonts w:hint="eastAsia" w:ascii="宋体" w:hAnsi="宋体" w:eastAsia="宋体" w:cs="宋体"/>
                <w:color w:val="auto"/>
                <w:kern w:val="2"/>
                <w:sz w:val="21"/>
                <w:szCs w:val="21"/>
                <w:lang w:val="en-US" w:eastAsia="zh-CN" w:bidi="ar"/>
              </w:rPr>
              <w:t>，施耐及同等品牌</w:t>
            </w:r>
          </w:p>
        </w:tc>
      </w:tr>
      <w:tr w14:paraId="2BD6E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2A66CC26">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5</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0DADFD61">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温控箱</w:t>
            </w: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7E4445AF">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9</w:t>
            </w:r>
            <w:r>
              <w:rPr>
                <w:rFonts w:hint="eastAsia" w:ascii="宋体" w:hAnsi="宋体" w:eastAsia="宋体" w:cs="宋体"/>
                <w:color w:val="auto"/>
                <w:kern w:val="2"/>
                <w:sz w:val="21"/>
                <w:szCs w:val="21"/>
                <w:lang w:val="en-US" w:eastAsia="zh-CN" w:bidi="ar"/>
              </w:rPr>
              <w:t>回路</w:t>
            </w:r>
            <w:r>
              <w:rPr>
                <w:rFonts w:hint="default" w:ascii="Times New Roman" w:hAnsi="Times New Roman" w:eastAsia="宋体" w:cs="Times New Roman"/>
                <w:color w:val="auto"/>
                <w:kern w:val="2"/>
                <w:sz w:val="21"/>
                <w:szCs w:val="21"/>
                <w:lang w:val="en-US" w:eastAsia="zh-CN" w:bidi="ar"/>
              </w:rPr>
              <w:t>1</w:t>
            </w:r>
            <w:r>
              <w:rPr>
                <w:rFonts w:hint="eastAsia" w:ascii="宋体" w:hAnsi="宋体" w:eastAsia="宋体" w:cs="宋体"/>
                <w:color w:val="auto"/>
                <w:kern w:val="2"/>
                <w:sz w:val="21"/>
                <w:szCs w:val="21"/>
                <w:lang w:val="en-US" w:eastAsia="zh-CN" w:bidi="ar"/>
              </w:rPr>
              <w:t>表</w:t>
            </w: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2A12473E">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台</w:t>
            </w: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41824F68">
            <w:pPr>
              <w:pStyle w:val="27"/>
              <w:keepNext w:val="0"/>
              <w:keepLines w:val="0"/>
              <w:widowControl w:val="0"/>
              <w:suppressLineNumbers w:val="0"/>
              <w:spacing w:before="0" w:beforeAutospacing="0" w:after="0" w:afterAutospacing="0" w:line="360" w:lineRule="auto"/>
              <w:ind w:left="0" w:right="0"/>
              <w:jc w:val="both"/>
              <w:rPr>
                <w:rFonts w:hint="eastAsia"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1</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center"/>
          </w:tcPr>
          <w:p w14:paraId="38CF8AAB">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元器件建议采用：西门子，</w:t>
            </w:r>
            <w:r>
              <w:rPr>
                <w:rFonts w:hint="default" w:ascii="Times New Roman" w:hAnsi="Times New Roman" w:eastAsia="宋体" w:cs="Times New Roman"/>
                <w:color w:val="auto"/>
                <w:kern w:val="2"/>
                <w:sz w:val="21"/>
                <w:szCs w:val="21"/>
                <w:lang w:val="en-US" w:eastAsia="zh-CN" w:bidi="ar"/>
              </w:rPr>
              <w:t>ABB</w:t>
            </w:r>
            <w:r>
              <w:rPr>
                <w:rFonts w:hint="eastAsia" w:ascii="宋体" w:hAnsi="宋体" w:eastAsia="宋体" w:cs="宋体"/>
                <w:color w:val="auto"/>
                <w:kern w:val="2"/>
                <w:sz w:val="21"/>
                <w:szCs w:val="21"/>
                <w:lang w:val="en-US" w:eastAsia="zh-CN" w:bidi="ar"/>
              </w:rPr>
              <w:t>，施耐及同等品牌</w:t>
            </w:r>
          </w:p>
        </w:tc>
      </w:tr>
      <w:tr w14:paraId="36074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9" w:type="dxa"/>
            <w:tcBorders>
              <w:top w:val="single" w:color="auto" w:sz="4" w:space="0"/>
              <w:left w:val="single" w:color="auto" w:sz="4" w:space="0"/>
              <w:bottom w:val="single" w:color="auto" w:sz="4" w:space="0"/>
              <w:right w:val="single" w:color="auto" w:sz="4" w:space="0"/>
            </w:tcBorders>
            <w:shd w:val="clear" w:color="auto" w:fill="auto"/>
            <w:vAlign w:val="center"/>
          </w:tcPr>
          <w:p w14:paraId="32F69B9A">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eastAsia" w:ascii="宋体" w:hAnsi="宋体" w:eastAsia="宋体" w:cs="宋体"/>
                <w:color w:val="auto"/>
                <w:kern w:val="2"/>
                <w:sz w:val="21"/>
                <w:szCs w:val="21"/>
                <w:lang w:val="en-US" w:eastAsia="zh-CN" w:bidi="ar"/>
              </w:rPr>
              <w:t>合计</w:t>
            </w:r>
          </w:p>
        </w:tc>
        <w:tc>
          <w:tcPr>
            <w:tcW w:w="2010" w:type="dxa"/>
            <w:tcBorders>
              <w:top w:val="single" w:color="auto" w:sz="4" w:space="0"/>
              <w:left w:val="single" w:color="auto" w:sz="4" w:space="0"/>
              <w:bottom w:val="single" w:color="auto" w:sz="4" w:space="0"/>
              <w:right w:val="single" w:color="auto" w:sz="4" w:space="0"/>
            </w:tcBorders>
            <w:shd w:val="clear" w:color="auto" w:fill="auto"/>
            <w:vAlign w:val="center"/>
          </w:tcPr>
          <w:p w14:paraId="44672EEC">
            <w:pPr>
              <w:pStyle w:val="27"/>
              <w:keepNext w:val="0"/>
              <w:keepLines w:val="0"/>
              <w:widowControl w:val="0"/>
              <w:suppressLineNumbers w:val="0"/>
              <w:spacing w:before="0" w:beforeAutospacing="0" w:after="0" w:afterAutospacing="0" w:line="360" w:lineRule="auto"/>
              <w:ind w:left="0" w:right="0" w:firstLine="420" w:firstLineChars="200"/>
              <w:jc w:val="both"/>
              <w:rPr>
                <w:rFonts w:hint="eastAsia" w:ascii="Times New Roman" w:hAnsi="Times New Roman" w:eastAsia="宋体" w:cs="Times New Roman"/>
                <w:color w:val="auto"/>
                <w:kern w:val="2"/>
                <w:sz w:val="21"/>
                <w:szCs w:val="21"/>
              </w:rPr>
            </w:pPr>
          </w:p>
        </w:tc>
        <w:tc>
          <w:tcPr>
            <w:tcW w:w="1786" w:type="dxa"/>
            <w:tcBorders>
              <w:top w:val="single" w:color="auto" w:sz="4" w:space="0"/>
              <w:left w:val="single" w:color="auto" w:sz="4" w:space="0"/>
              <w:bottom w:val="single" w:color="auto" w:sz="4" w:space="0"/>
              <w:right w:val="single" w:color="auto" w:sz="4" w:space="0"/>
            </w:tcBorders>
            <w:shd w:val="clear" w:color="auto" w:fill="auto"/>
            <w:vAlign w:val="center"/>
          </w:tcPr>
          <w:p w14:paraId="4010E37B">
            <w:pPr>
              <w:pStyle w:val="27"/>
              <w:keepNext w:val="0"/>
              <w:keepLines w:val="0"/>
              <w:widowControl w:val="0"/>
              <w:suppressLineNumbers w:val="0"/>
              <w:spacing w:before="0" w:beforeAutospacing="0" w:after="0" w:afterAutospacing="0" w:line="360" w:lineRule="auto"/>
              <w:ind w:left="0" w:right="0" w:firstLine="420" w:firstLineChars="200"/>
              <w:jc w:val="both"/>
              <w:rPr>
                <w:rFonts w:hint="eastAsia" w:ascii="Times New Roman" w:hAnsi="Times New Roman" w:eastAsia="宋体" w:cs="Times New Roman"/>
                <w:color w:val="auto"/>
                <w:kern w:val="2"/>
                <w:sz w:val="21"/>
                <w:szCs w:val="21"/>
              </w:rPr>
            </w:pPr>
          </w:p>
        </w:tc>
        <w:tc>
          <w:tcPr>
            <w:tcW w:w="739" w:type="dxa"/>
            <w:tcBorders>
              <w:top w:val="single" w:color="auto" w:sz="4" w:space="0"/>
              <w:left w:val="single" w:color="auto" w:sz="4" w:space="0"/>
              <w:bottom w:val="single" w:color="auto" w:sz="4" w:space="0"/>
              <w:right w:val="single" w:color="auto" w:sz="4" w:space="0"/>
            </w:tcBorders>
            <w:shd w:val="clear" w:color="auto" w:fill="auto"/>
            <w:vAlign w:val="center"/>
          </w:tcPr>
          <w:p w14:paraId="37CB2F5D">
            <w:pPr>
              <w:pStyle w:val="27"/>
              <w:keepNext w:val="0"/>
              <w:keepLines w:val="0"/>
              <w:widowControl w:val="0"/>
              <w:suppressLineNumbers w:val="0"/>
              <w:spacing w:before="0" w:beforeAutospacing="0" w:after="0" w:afterAutospacing="0" w:line="360" w:lineRule="auto"/>
              <w:ind w:left="0" w:right="0" w:firstLine="420" w:firstLineChars="200"/>
              <w:jc w:val="both"/>
              <w:rPr>
                <w:rFonts w:hint="eastAsia" w:ascii="Times New Roman" w:hAnsi="Times New Roman" w:eastAsia="宋体" w:cs="Times New Roman"/>
                <w:color w:val="auto"/>
                <w:kern w:val="2"/>
                <w:sz w:val="21"/>
                <w:szCs w:val="21"/>
              </w:rPr>
            </w:pPr>
          </w:p>
        </w:tc>
        <w:tc>
          <w:tcPr>
            <w:tcW w:w="777" w:type="dxa"/>
            <w:tcBorders>
              <w:top w:val="single" w:color="auto" w:sz="4" w:space="0"/>
              <w:left w:val="single" w:color="auto" w:sz="4" w:space="0"/>
              <w:bottom w:val="single" w:color="auto" w:sz="4" w:space="0"/>
              <w:right w:val="single" w:color="auto" w:sz="4" w:space="0"/>
            </w:tcBorders>
            <w:shd w:val="clear" w:color="auto" w:fill="auto"/>
            <w:vAlign w:val="center"/>
          </w:tcPr>
          <w:p w14:paraId="5C95355A">
            <w:pPr>
              <w:pStyle w:val="27"/>
              <w:keepNext w:val="0"/>
              <w:keepLines w:val="0"/>
              <w:widowControl w:val="0"/>
              <w:suppressLineNumbers w:val="0"/>
              <w:spacing w:before="0" w:beforeAutospacing="0" w:after="0" w:afterAutospacing="0" w:line="360" w:lineRule="auto"/>
              <w:ind w:left="0" w:right="0"/>
              <w:jc w:val="both"/>
              <w:rPr>
                <w:rFonts w:hint="default" w:ascii="Times New Roman" w:hAnsi="Times New Roman" w:eastAsia="宋体" w:cs="Times New Roman"/>
                <w:color w:val="auto"/>
                <w:kern w:val="2"/>
                <w:sz w:val="21"/>
                <w:szCs w:val="21"/>
              </w:rPr>
            </w:pPr>
            <w:r>
              <w:rPr>
                <w:rFonts w:hint="default" w:ascii="Times New Roman" w:hAnsi="Times New Roman" w:eastAsia="宋体" w:cs="Times New Roman"/>
                <w:color w:val="auto"/>
                <w:kern w:val="2"/>
                <w:sz w:val="21"/>
                <w:szCs w:val="21"/>
                <w:lang w:val="en-US" w:eastAsia="zh-CN" w:bidi="ar"/>
              </w:rPr>
              <w:t>22</w:t>
            </w:r>
          </w:p>
        </w:tc>
        <w:tc>
          <w:tcPr>
            <w:tcW w:w="3103" w:type="dxa"/>
            <w:tcBorders>
              <w:top w:val="single" w:color="auto" w:sz="4" w:space="0"/>
              <w:left w:val="single" w:color="auto" w:sz="4" w:space="0"/>
              <w:bottom w:val="single" w:color="auto" w:sz="4" w:space="0"/>
              <w:right w:val="single" w:color="auto" w:sz="4" w:space="0"/>
            </w:tcBorders>
            <w:shd w:val="clear" w:color="auto" w:fill="auto"/>
            <w:vAlign w:val="top"/>
          </w:tcPr>
          <w:p w14:paraId="4B6D2C96">
            <w:pPr>
              <w:pStyle w:val="27"/>
              <w:keepNext w:val="0"/>
              <w:keepLines w:val="0"/>
              <w:widowControl w:val="0"/>
              <w:suppressLineNumbers w:val="0"/>
              <w:spacing w:before="0" w:beforeAutospacing="0" w:after="0" w:afterAutospacing="0" w:line="360" w:lineRule="auto"/>
              <w:ind w:left="0" w:right="0" w:firstLine="420" w:firstLineChars="200"/>
              <w:jc w:val="both"/>
              <w:rPr>
                <w:rFonts w:hint="eastAsia" w:ascii="Times New Roman" w:hAnsi="Times New Roman" w:eastAsia="宋体" w:cs="Times New Roman"/>
                <w:color w:val="auto"/>
                <w:kern w:val="2"/>
                <w:sz w:val="21"/>
                <w:szCs w:val="21"/>
              </w:rPr>
            </w:pPr>
          </w:p>
        </w:tc>
      </w:tr>
    </w:tbl>
    <w:p w14:paraId="2A56EFF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ascii="Times New Roman" w:hAnsi="Times New Roman" w:eastAsia="宋体" w:cs="Times New Roman"/>
          <w:color w:val="auto"/>
          <w:kern w:val="2"/>
          <w:sz w:val="21"/>
          <w:szCs w:val="22"/>
          <w:highlight w:val="none"/>
          <w:lang w:val="en-US" w:eastAsia="zh-CN" w:bidi="ar-SA"/>
        </w:rPr>
        <w:t>报价</w:t>
      </w:r>
      <w:r>
        <w:rPr>
          <w:rFonts w:hint="eastAsia" w:ascii="Times New Roman" w:hAnsi="Times New Roman" w:cs="Times New Roman"/>
          <w:kern w:val="2"/>
          <w:sz w:val="21"/>
          <w:szCs w:val="22"/>
          <w:highlight w:val="none"/>
          <w:lang w:val="en-US" w:eastAsia="zh-CN" w:bidi="ar-SA"/>
        </w:rPr>
        <w:t>：</w:t>
      </w:r>
    </w:p>
    <w:p w14:paraId="5A8EA4DB">
      <w:pPr>
        <w:pStyle w:val="15"/>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p>
    <w:p w14:paraId="5DE0B835">
      <w:pPr>
        <w:pStyle w:val="15"/>
        <w:spacing w:line="360" w:lineRule="auto"/>
        <w:ind w:firstLine="420" w:firstLineChars="200"/>
        <w:rPr>
          <w:rFonts w:hint="default" w:eastAsia="宋体"/>
          <w:highlight w:val="none"/>
          <w:lang w:val="en-US" w:eastAsia="zh-CN"/>
        </w:rPr>
      </w:pPr>
      <w:r>
        <w:rPr>
          <w:rFonts w:hint="eastAsia" w:ascii="宋体" w:hAnsi="宋体"/>
          <w:highlight w:val="none"/>
        </w:rPr>
        <w:t>⑵</w:t>
      </w:r>
      <w:r>
        <w:rPr>
          <w:rFonts w:hint="eastAsia" w:ascii="宋体" w:hAnsi="宋体"/>
          <w:highlight w:val="none"/>
          <w:lang w:val="en-US" w:eastAsia="zh-CN"/>
        </w:rPr>
        <w:t>投标方报价上限</w:t>
      </w:r>
      <w:r>
        <w:rPr>
          <w:rFonts w:hint="eastAsia" w:hAnsi="宋体"/>
          <w:highlight w:val="none"/>
          <w:lang w:val="en-US" w:eastAsia="zh-CN"/>
        </w:rPr>
        <w:t>：</w:t>
      </w:r>
      <w:r>
        <w:rPr>
          <w:rFonts w:hint="default" w:cs="Times New Roman"/>
          <w:highlight w:val="none"/>
          <w:lang w:val="en-US" w:eastAsia="zh-CN"/>
        </w:rPr>
        <w:t>人民币</w:t>
      </w:r>
      <w:r>
        <w:rPr>
          <w:rFonts w:hint="eastAsia" w:cs="Times New Roman"/>
          <w:highlight w:val="none"/>
          <w:lang w:val="en-US" w:eastAsia="zh-CN"/>
        </w:rPr>
        <w:t>2.78</w:t>
      </w:r>
      <w:r>
        <w:rPr>
          <w:rFonts w:hint="default" w:cs="Times New Roman"/>
          <w:highlight w:val="none"/>
          <w:lang w:val="en-US" w:eastAsia="zh-CN"/>
        </w:rPr>
        <w:t>万元（含税，税率</w:t>
      </w:r>
      <w:r>
        <w:rPr>
          <w:rFonts w:hint="eastAsia" w:cs="Times New Roman"/>
          <w:highlight w:val="none"/>
          <w:lang w:val="en-US" w:eastAsia="zh-CN"/>
        </w:rPr>
        <w:t>13</w:t>
      </w:r>
      <w:r>
        <w:rPr>
          <w:rFonts w:hint="default" w:cs="Times New Roman"/>
          <w:highlight w:val="none"/>
          <w:lang w:val="en-US" w:eastAsia="zh-CN"/>
        </w:rPr>
        <w:t>%），超过投标限价无法投标。</w:t>
      </w:r>
    </w:p>
    <w:p w14:paraId="5EC5B29F">
      <w:pPr>
        <w:spacing w:line="360" w:lineRule="auto"/>
        <w:ind w:left="420" w:leftChars="200" w:firstLine="0" w:firstLineChars="0"/>
        <w:rPr>
          <w:rFonts w:hint="eastAsia" w:ascii="宋体" w:hAnsi="Courier New" w:eastAsia="宋体"/>
          <w:highlight w:val="none"/>
          <w:lang w:eastAsia="zh-CN"/>
        </w:rPr>
      </w:pPr>
      <w:r>
        <w:rPr>
          <w:rFonts w:hint="eastAsia" w:ascii="宋体" w:hAnsi="宋体"/>
          <w:highlight w:val="none"/>
        </w:rPr>
        <w:t>⑶</w:t>
      </w:r>
      <w:r>
        <w:rPr>
          <w:rFonts w:hint="eastAsia" w:ascii="宋体" w:hAnsi="Courier New"/>
          <w:highlight w:val="none"/>
        </w:rPr>
        <w:t>所有报价货币单位为：</w:t>
      </w:r>
    </w:p>
    <w:p w14:paraId="192C9CB7">
      <w:pPr>
        <w:keepNext w:val="0"/>
        <w:keepLines w:val="0"/>
        <w:pageBreakBefore w:val="0"/>
        <w:widowControl w:val="0"/>
        <w:kinsoku/>
        <w:wordWrap/>
        <w:overflowPunct/>
        <w:topLinePunct w:val="0"/>
        <w:autoSpaceDE/>
        <w:autoSpaceDN/>
        <w:bidi w:val="0"/>
        <w:adjustRightInd/>
        <w:snapToGrid/>
        <w:spacing w:line="360" w:lineRule="auto"/>
        <w:ind w:left="420" w:leftChars="200" w:firstLine="420" w:firstLineChars="200"/>
        <w:textAlignment w:val="auto"/>
        <w:rPr>
          <w:rFonts w:hint="eastAsia" w:ascii="宋体" w:hAnsi="Courier New"/>
          <w:highlight w:val="none"/>
          <w:lang w:eastAsia="zh-CN"/>
        </w:rPr>
      </w:pPr>
      <w:r>
        <w:rPr>
          <w:rFonts w:hint="eastAsia" w:ascii="宋体" w:hAnsi="Courier New"/>
          <w:highlight w:val="none"/>
          <w:lang w:val="en-US" w:eastAsia="zh-CN"/>
        </w:rPr>
        <w:t>合计项目总价</w:t>
      </w:r>
      <w:r>
        <w:rPr>
          <w:rFonts w:hint="eastAsia" w:ascii="宋体" w:hAnsi="Courier New"/>
          <w:highlight w:val="none"/>
          <w:u w:val="single"/>
          <w:lang w:val="en-US" w:eastAsia="zh-CN"/>
        </w:rPr>
        <w:t xml:space="preserve">    </w:t>
      </w:r>
      <w:r>
        <w:rPr>
          <w:rFonts w:hint="eastAsia" w:ascii="宋体" w:hAnsi="Courier New"/>
          <w:highlight w:val="none"/>
        </w:rPr>
        <w:t>元（人民币，未税）；税率</w:t>
      </w:r>
      <w:r>
        <w:rPr>
          <w:rFonts w:hint="eastAsia" w:ascii="宋体" w:hAnsi="Courier New"/>
          <w:highlight w:val="none"/>
          <w:u w:val="single"/>
          <w:lang w:val="en-US" w:eastAsia="zh-CN"/>
        </w:rPr>
        <w:t xml:space="preserve">   </w:t>
      </w:r>
      <w:r>
        <w:rPr>
          <w:rFonts w:hint="eastAsia" w:ascii="宋体" w:hAnsi="Courier New"/>
          <w:highlight w:val="none"/>
        </w:rPr>
        <w:t>；</w:t>
      </w:r>
      <w:r>
        <w:rPr>
          <w:rFonts w:hint="eastAsia" w:ascii="宋体" w:hAnsi="Courier New"/>
          <w:highlight w:val="none"/>
          <w:u w:val="single"/>
          <w:lang w:val="en-US" w:eastAsia="zh-CN"/>
        </w:rPr>
        <w:t xml:space="preserve">   </w:t>
      </w:r>
      <w:r>
        <w:rPr>
          <w:rFonts w:hint="eastAsia" w:ascii="宋体" w:hAnsi="Courier New"/>
          <w:highlight w:val="none"/>
        </w:rPr>
        <w:t>元（人民币</w:t>
      </w:r>
      <w:r>
        <w:rPr>
          <w:rFonts w:hint="eastAsia" w:ascii="宋体" w:hAnsi="Courier New"/>
          <w:highlight w:val="none"/>
          <w:lang w:eastAsia="zh-CN"/>
        </w:rPr>
        <w:t>，</w:t>
      </w:r>
      <w:r>
        <w:rPr>
          <w:rFonts w:hint="eastAsia" w:ascii="宋体" w:hAnsi="Courier New"/>
          <w:highlight w:val="none"/>
          <w:lang w:val="en-US" w:eastAsia="zh-CN"/>
        </w:rPr>
        <w:t>含税</w:t>
      </w:r>
      <w:r>
        <w:rPr>
          <w:rFonts w:hint="eastAsia" w:ascii="宋体" w:hAnsi="Courier New"/>
          <w:highlight w:val="none"/>
        </w:rPr>
        <w:t>）</w:t>
      </w:r>
      <w:r>
        <w:rPr>
          <w:rFonts w:hint="eastAsia" w:ascii="宋体" w:hAnsi="Courier New"/>
          <w:highlight w:val="none"/>
          <w:lang w:eastAsia="zh-CN"/>
        </w:rPr>
        <w:t>。</w:t>
      </w:r>
    </w:p>
    <w:p w14:paraId="30C81DC2">
      <w:pPr>
        <w:spacing w:line="360" w:lineRule="auto"/>
        <w:ind w:firstLine="420" w:firstLineChars="200"/>
        <w:rPr>
          <w:rFonts w:hint="eastAsia" w:hAnsi="宋体"/>
          <w:highlight w:val="yellow"/>
          <w:lang w:eastAsia="zh-CN"/>
        </w:rPr>
      </w:pPr>
      <w:r>
        <w:rPr>
          <w:rFonts w:hint="eastAsia" w:hAnsi="宋体"/>
        </w:rPr>
        <w:t>⑷</w:t>
      </w:r>
      <w:r>
        <w:rPr>
          <w:rFonts w:hint="eastAsia" w:hAnsi="宋体"/>
          <w:highlight w:val="none"/>
        </w:rPr>
        <w:t>原则上招标人将与中标人签订</w:t>
      </w:r>
      <w:r>
        <w:rPr>
          <w:rFonts w:hint="eastAsia" w:hAnsi="宋体"/>
          <w:highlight w:val="none"/>
          <w:lang w:val="en-US" w:eastAsia="zh-CN"/>
        </w:rPr>
        <w:t>合同</w:t>
      </w:r>
      <w:r>
        <w:rPr>
          <w:rFonts w:hint="eastAsia" w:hAnsi="宋体"/>
          <w:highlight w:val="none"/>
        </w:rPr>
        <w:t>。鉴于此，投标人应酌情考虑总体能力，本着诚信合作的态度，向招标人提供真实、合理的投标报价</w:t>
      </w:r>
      <w:r>
        <w:rPr>
          <w:rFonts w:hint="eastAsia" w:hAnsi="宋体"/>
          <w:highlight w:val="none"/>
          <w:lang w:eastAsia="zh-CN"/>
        </w:rPr>
        <w:t>；</w:t>
      </w:r>
    </w:p>
    <w:p w14:paraId="138415C4">
      <w:pPr>
        <w:spacing w:line="360" w:lineRule="auto"/>
        <w:ind w:firstLine="420" w:firstLineChars="200"/>
        <w:rPr>
          <w:rFonts w:hint="eastAsia" w:hAnsi="宋体"/>
          <w:highlight w:val="none"/>
        </w:rPr>
      </w:pPr>
      <w:r>
        <w:rPr>
          <w:rFonts w:hint="eastAsia" w:hAnsi="宋体"/>
          <w:highlight w:val="none"/>
        </w:rPr>
        <w:t>⑸投标价格含合同签订的</w:t>
      </w:r>
      <w:r>
        <w:rPr>
          <w:rFonts w:hint="eastAsia" w:hAnsi="宋体"/>
          <w:highlight w:val="none"/>
          <w:lang w:val="en-US" w:eastAsia="zh-CN"/>
        </w:rPr>
        <w:t>设备采购</w:t>
      </w:r>
      <w:r>
        <w:rPr>
          <w:rFonts w:hint="eastAsia" w:hAnsi="宋体"/>
          <w:highlight w:val="none"/>
        </w:rPr>
        <w:t>产生的一切费用，包括</w:t>
      </w:r>
      <w:r>
        <w:rPr>
          <w:rFonts w:hint="eastAsia" w:hAnsi="宋体"/>
          <w:highlight w:val="none"/>
          <w:lang w:val="en-US" w:eastAsia="zh-CN"/>
        </w:rPr>
        <w:t>采购供货</w:t>
      </w:r>
      <w:r>
        <w:rPr>
          <w:rFonts w:hint="eastAsia" w:hAnsi="宋体"/>
          <w:highlight w:val="none"/>
          <w:lang w:eastAsia="zh-CN"/>
        </w:rPr>
        <w:t>、</w:t>
      </w:r>
      <w:r>
        <w:rPr>
          <w:rFonts w:hint="eastAsia" w:hAnsi="宋体"/>
          <w:highlight w:val="none"/>
          <w:lang w:val="en-US" w:eastAsia="zh-CN"/>
        </w:rPr>
        <w:t>装卸运输</w:t>
      </w:r>
      <w:r>
        <w:rPr>
          <w:rFonts w:hint="eastAsia" w:hAnsi="宋体"/>
          <w:highlight w:val="none"/>
        </w:rPr>
        <w:t>等所有费用。评标小组有权根据报价情况要求所有投标人进行澄清。</w:t>
      </w:r>
    </w:p>
    <w:p w14:paraId="2178B806">
      <w:pPr>
        <w:spacing w:line="360" w:lineRule="auto"/>
        <w:ind w:firstLine="420" w:firstLineChars="200"/>
        <w:rPr>
          <w:highlight w:val="none"/>
        </w:rPr>
      </w:pPr>
      <w:r>
        <w:rPr>
          <w:rFonts w:hint="eastAsia" w:hAnsi="宋体"/>
          <w:highlight w:val="none"/>
        </w:rPr>
        <w:t>⑹投标人应对项目内招标的全部内容进行报价，不允许挑项报价、空项报价，否则视为主动弃标。如投标人不认可、不接受</w:t>
      </w:r>
      <w:r>
        <w:rPr>
          <w:rFonts w:hint="eastAsia" w:hAnsi="宋体"/>
          <w:highlight w:val="none"/>
          <w:lang w:val="en-US" w:eastAsia="zh-CN"/>
        </w:rPr>
        <w:t>付款方式</w:t>
      </w:r>
      <w:r>
        <w:rPr>
          <w:rFonts w:hint="eastAsia" w:hAnsi="宋体"/>
          <w:highlight w:val="none"/>
        </w:rPr>
        <w:t>，则须在本标书开标一览表中注明，招标人将视之为主动弃标</w:t>
      </w:r>
      <w:r>
        <w:rPr>
          <w:rFonts w:hint="eastAsia" w:hAnsi="宋体"/>
          <w:highlight w:val="none"/>
          <w:lang w:eastAsia="zh-CN"/>
        </w:rPr>
        <w:t>。</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4" w:name="_Toc47976590"/>
      <w:r>
        <w:rPr>
          <w:rFonts w:hint="eastAsia"/>
          <w:highlight w:val="none"/>
        </w:rPr>
        <w:t>投标人资格要求</w:t>
      </w:r>
      <w:bookmarkEnd w:id="4"/>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7E5007DD">
      <w:pPr>
        <w:pStyle w:val="11"/>
        <w:keepNext w:val="0"/>
        <w:keepLines w:val="0"/>
        <w:pageBreakBefore w:val="0"/>
        <w:kinsoku/>
        <w:wordWrap/>
        <w:overflowPunct/>
        <w:topLinePunct w:val="0"/>
        <w:autoSpaceDE/>
        <w:autoSpaceDN/>
        <w:bidi w:val="0"/>
        <w:adjustRightInd/>
        <w:snapToGrid/>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lang w:val="en-US" w:eastAsia="zh-CN"/>
        </w:rPr>
        <w:t>1、</w:t>
      </w:r>
      <w:r>
        <w:rPr>
          <w:rFonts w:hint="eastAsia" w:ascii="楷体" w:hAnsi="楷体" w:eastAsia="楷体" w:cs="楷体"/>
          <w:sz w:val="28"/>
          <w:szCs w:val="28"/>
        </w:rPr>
        <w:t xml:space="preserve">公司成立三年以上（以营业执照成立日期到开标当日满三年为准）； </w:t>
      </w:r>
    </w:p>
    <w:p w14:paraId="08373D9D">
      <w:pPr>
        <w:pStyle w:val="11"/>
        <w:keepNext w:val="0"/>
        <w:keepLines w:val="0"/>
        <w:pageBreakBefore w:val="0"/>
        <w:kinsoku/>
        <w:wordWrap/>
        <w:overflowPunct/>
        <w:topLinePunct w:val="0"/>
        <w:autoSpaceDE/>
        <w:autoSpaceDN/>
        <w:bidi w:val="0"/>
        <w:adjustRightInd/>
        <w:snapToGrid/>
        <w:ind w:firstLine="560" w:firstLineChars="200"/>
        <w:textAlignment w:val="auto"/>
        <w:rPr>
          <w:rFonts w:hint="eastAsia" w:ascii="楷体" w:hAnsi="楷体" w:eastAsia="楷体" w:cs="楷体"/>
          <w:sz w:val="28"/>
          <w:szCs w:val="28"/>
        </w:rPr>
      </w:pPr>
      <w:r>
        <w:rPr>
          <w:rFonts w:hint="eastAsia" w:ascii="Symbol" w:hAnsi="Symbol" w:eastAsia="楷体" w:cs="宋体"/>
          <w:color w:val="000000"/>
          <w:kern w:val="0"/>
          <w:sz w:val="28"/>
          <w:szCs w:val="28"/>
          <w:lang w:val="en-US" w:eastAsia="zh-CN"/>
        </w:rPr>
        <w:t>2、</w:t>
      </w:r>
      <w:r>
        <w:rPr>
          <w:rFonts w:hint="eastAsia" w:ascii="楷体" w:hAnsi="楷体" w:eastAsia="楷体" w:cs="楷体"/>
          <w:sz w:val="28"/>
          <w:szCs w:val="28"/>
        </w:rPr>
        <w:t>公司注册资本不少于壹佰万元（人民币），经营范围满足本项目需求；</w:t>
      </w:r>
    </w:p>
    <w:p w14:paraId="704AB716">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ascii="楷体" w:hAnsi="楷体" w:eastAsia="楷体" w:cs="宋体"/>
          <w:color w:val="000000"/>
          <w:kern w:val="0"/>
          <w:sz w:val="28"/>
          <w:szCs w:val="28"/>
        </w:rPr>
      </w:pPr>
      <w:r>
        <w:rPr>
          <w:rFonts w:hint="eastAsia" w:ascii="Symbol" w:hAnsi="Symbol" w:eastAsia="楷体" w:cs="宋体"/>
          <w:color w:val="000000"/>
          <w:kern w:val="0"/>
          <w:sz w:val="28"/>
          <w:szCs w:val="28"/>
          <w:lang w:val="en-US" w:eastAsia="zh-CN"/>
        </w:rPr>
        <w:t>3、</w:t>
      </w:r>
      <w:r>
        <w:rPr>
          <w:rFonts w:hint="eastAsia" w:ascii="楷体" w:hAnsi="楷体" w:eastAsia="楷体" w:cs="宋体"/>
          <w:color w:val="000000"/>
          <w:kern w:val="0"/>
          <w:sz w:val="28"/>
          <w:szCs w:val="28"/>
        </w:rPr>
        <w:t>在社会上和重汽集团内的其它招标过程中没有不良行为记录；</w:t>
      </w:r>
    </w:p>
    <w:p w14:paraId="544E5A94">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hint="eastAsia" w:ascii="楷体" w:hAnsi="楷体" w:eastAsia="楷体" w:cs="宋体"/>
          <w:color w:val="000000"/>
          <w:kern w:val="0"/>
          <w:sz w:val="28"/>
          <w:szCs w:val="28"/>
        </w:rPr>
      </w:pPr>
      <w:r>
        <w:rPr>
          <w:rFonts w:hint="eastAsia" w:ascii="Symbol" w:hAnsi="Symbol" w:eastAsia="楷体" w:cs="宋体"/>
          <w:color w:val="000000"/>
          <w:kern w:val="0"/>
          <w:sz w:val="28"/>
          <w:szCs w:val="28"/>
          <w:lang w:val="en-US" w:eastAsia="zh-CN"/>
        </w:rPr>
        <w:t>4、</w:t>
      </w:r>
      <w:r>
        <w:rPr>
          <w:rFonts w:hint="eastAsia" w:ascii="楷体" w:hAnsi="楷体" w:eastAsia="楷体" w:cs="宋体"/>
          <w:color w:val="000000"/>
          <w:kern w:val="0"/>
          <w:sz w:val="28"/>
          <w:szCs w:val="28"/>
        </w:rPr>
        <w:t>无招标违规、谎报年度报告信息、提供虚假资质资料等行为和行政处罚记录。</w:t>
      </w:r>
    </w:p>
    <w:p w14:paraId="79913A7D">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hint="eastAsia" w:ascii="楷体" w:hAnsi="楷体" w:eastAsia="楷体" w:cs="宋体"/>
          <w:color w:val="000000"/>
          <w:kern w:val="0"/>
          <w:sz w:val="28"/>
          <w:szCs w:val="28"/>
          <w:lang w:eastAsia="zh-CN"/>
        </w:rPr>
      </w:pPr>
      <w:r>
        <w:rPr>
          <w:rFonts w:hint="eastAsia" w:ascii="楷体" w:hAnsi="楷体" w:eastAsia="楷体" w:cs="宋体"/>
          <w:color w:val="000000"/>
          <w:kern w:val="0"/>
          <w:sz w:val="28"/>
          <w:szCs w:val="28"/>
          <w:lang w:val="en-US" w:eastAsia="zh-CN"/>
        </w:rPr>
        <w:t>5、公</w:t>
      </w:r>
      <w:r>
        <w:rPr>
          <w:rFonts w:hint="eastAsia" w:ascii="楷体" w:hAnsi="楷体" w:eastAsia="楷体" w:cs="宋体"/>
          <w:color w:val="000000"/>
          <w:kern w:val="0"/>
          <w:sz w:val="28"/>
          <w:szCs w:val="28"/>
        </w:rPr>
        <w:t>司财务良好，经营稳定，有全面履约的能力；投标</w:t>
      </w:r>
      <w:r>
        <w:rPr>
          <w:rFonts w:hint="eastAsia" w:ascii="楷体" w:hAnsi="楷体" w:eastAsia="楷体" w:cs="宋体"/>
          <w:color w:val="000000"/>
          <w:kern w:val="0"/>
          <w:sz w:val="28"/>
          <w:szCs w:val="28"/>
          <w:lang w:val="en-US" w:eastAsia="zh-CN"/>
        </w:rPr>
        <w:t>单位</w:t>
      </w:r>
      <w:r>
        <w:rPr>
          <w:rFonts w:hint="eastAsia" w:ascii="楷体" w:hAnsi="楷体" w:eastAsia="楷体" w:cs="宋体"/>
          <w:color w:val="000000"/>
          <w:kern w:val="0"/>
          <w:sz w:val="28"/>
          <w:szCs w:val="28"/>
        </w:rPr>
        <w:t>之间必须具有充分的竞争关系</w:t>
      </w:r>
      <w:r>
        <w:rPr>
          <w:rFonts w:hint="eastAsia" w:ascii="楷体" w:hAnsi="楷体" w:eastAsia="楷体" w:cs="宋体"/>
          <w:color w:val="000000"/>
          <w:kern w:val="0"/>
          <w:sz w:val="28"/>
          <w:szCs w:val="28"/>
          <w:lang w:eastAsia="zh-CN"/>
        </w:rPr>
        <w:t>。</w:t>
      </w:r>
    </w:p>
    <w:p w14:paraId="3AE90FD7">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hint="eastAsia" w:ascii="楷体" w:hAnsi="楷体" w:eastAsia="楷体" w:cs="宋体"/>
          <w:color w:val="000000"/>
          <w:kern w:val="0"/>
          <w:sz w:val="28"/>
          <w:szCs w:val="28"/>
        </w:rPr>
      </w:pPr>
      <w:r>
        <w:rPr>
          <w:rFonts w:hint="eastAsia" w:ascii="Symbol" w:hAnsi="Symbol" w:eastAsia="楷体" w:cs="宋体"/>
          <w:color w:val="000000"/>
          <w:kern w:val="0"/>
          <w:sz w:val="28"/>
          <w:szCs w:val="28"/>
          <w:lang w:val="en-US" w:eastAsia="zh-CN"/>
        </w:rPr>
        <w:t>6、</w:t>
      </w:r>
      <w:r>
        <w:rPr>
          <w:rFonts w:hint="eastAsia" w:ascii="楷体" w:hAnsi="楷体" w:eastAsia="楷体" w:cs="宋体"/>
          <w:color w:val="000000"/>
          <w:kern w:val="0"/>
          <w:sz w:val="28"/>
          <w:szCs w:val="28"/>
        </w:rPr>
        <w:t>投标单位应具有良好的商业信誉，没有被处于责令停产、财产被冻结、接管、破产、且财务状况良好。</w:t>
      </w:r>
    </w:p>
    <w:p w14:paraId="6B8B01FA">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hint="eastAsia" w:ascii="楷体" w:hAnsi="楷体" w:eastAsia="楷体" w:cs="宋体"/>
          <w:color w:val="000000"/>
          <w:kern w:val="0"/>
          <w:sz w:val="28"/>
          <w:szCs w:val="28"/>
        </w:rPr>
      </w:pPr>
      <w:r>
        <w:rPr>
          <w:rFonts w:hint="eastAsia" w:ascii="Symbol" w:hAnsi="Symbol" w:eastAsia="楷体" w:cs="宋体"/>
          <w:color w:val="000000"/>
          <w:kern w:val="0"/>
          <w:sz w:val="28"/>
          <w:szCs w:val="28"/>
          <w:lang w:val="en-US" w:eastAsia="zh-CN"/>
        </w:rPr>
        <w:t>7、</w:t>
      </w:r>
      <w:r>
        <w:rPr>
          <w:rFonts w:hint="eastAsia" w:ascii="楷体" w:hAnsi="楷体" w:eastAsia="楷体" w:cs="宋体"/>
          <w:color w:val="000000"/>
          <w:kern w:val="0"/>
          <w:sz w:val="28"/>
          <w:szCs w:val="28"/>
        </w:rPr>
        <w:t>投标单位未在“信用中国”网站（www.creditchina.gov.cn）或各级信用信息共享平台列入失信被执行人名单</w:t>
      </w:r>
      <w:r>
        <w:rPr>
          <w:rFonts w:hint="eastAsia" w:ascii="楷体" w:hAnsi="楷体" w:eastAsia="楷体" w:cs="宋体"/>
          <w:color w:val="000000"/>
          <w:kern w:val="0"/>
          <w:sz w:val="28"/>
          <w:szCs w:val="28"/>
          <w:lang w:eastAsia="zh-CN"/>
        </w:rPr>
        <w:t>，</w:t>
      </w:r>
      <w:r>
        <w:rPr>
          <w:rFonts w:hint="eastAsia" w:ascii="楷体" w:hAnsi="楷体" w:eastAsia="楷体" w:cs="宋体"/>
          <w:color w:val="000000"/>
          <w:kern w:val="0"/>
          <w:sz w:val="28"/>
          <w:szCs w:val="28"/>
        </w:rPr>
        <w:t>信用信息共享平台</w:t>
      </w:r>
      <w:r>
        <w:rPr>
          <w:rFonts w:hint="eastAsia" w:ascii="楷体" w:hAnsi="楷体" w:eastAsia="楷体" w:cs="宋体"/>
          <w:color w:val="000000"/>
          <w:kern w:val="0"/>
          <w:sz w:val="28"/>
          <w:szCs w:val="28"/>
          <w:lang w:val="en-US" w:eastAsia="zh-CN"/>
        </w:rPr>
        <w:t>包括但不限于</w:t>
      </w:r>
      <w:r>
        <w:rPr>
          <w:rFonts w:hint="eastAsia" w:ascii="楷体" w:hAnsi="楷体" w:eastAsia="楷体" w:cs="宋体"/>
          <w:color w:val="000000"/>
          <w:kern w:val="0"/>
          <w:sz w:val="28"/>
          <w:szCs w:val="28"/>
        </w:rPr>
        <w:t>“国家企业信用信息公示系统”、“中国执行信息公开网”、“天眼查”“裁判文书网”等信息平台。</w:t>
      </w:r>
    </w:p>
    <w:p w14:paraId="6E9FF94F">
      <w:pPr>
        <w:pStyle w:val="15"/>
        <w:keepNext w:val="0"/>
        <w:keepLines w:val="0"/>
        <w:pageBreakBefore w:val="0"/>
        <w:kinsoku/>
        <w:wordWrap/>
        <w:overflowPunct/>
        <w:topLinePunct w:val="0"/>
        <w:autoSpaceDE/>
        <w:autoSpaceDN/>
        <w:bidi w:val="0"/>
        <w:adjustRightInd/>
        <w:snapToGrid/>
        <w:ind w:firstLine="560" w:firstLineChars="200"/>
        <w:textAlignment w:val="auto"/>
        <w:rPr>
          <w:rFonts w:hint="eastAsia" w:ascii="楷体" w:hAnsi="楷体" w:eastAsia="楷体" w:cs="宋体"/>
          <w:color w:val="000000"/>
          <w:kern w:val="0"/>
          <w:sz w:val="28"/>
          <w:szCs w:val="28"/>
          <w:lang w:eastAsia="zh-CN"/>
        </w:rPr>
      </w:pPr>
      <w:r>
        <w:rPr>
          <w:rFonts w:hint="eastAsia" w:ascii="Symbol" w:hAnsi="Symbol" w:eastAsia="楷体" w:cs="宋体"/>
          <w:color w:val="000000"/>
          <w:kern w:val="0"/>
          <w:sz w:val="28"/>
          <w:szCs w:val="28"/>
          <w:lang w:val="en-US" w:eastAsia="zh-CN"/>
        </w:rPr>
        <w:t>8、</w:t>
      </w:r>
      <w:r>
        <w:rPr>
          <w:rFonts w:hint="eastAsia" w:ascii="楷体" w:hAnsi="楷体" w:eastAsia="楷体" w:cs="宋体"/>
          <w:color w:val="000000"/>
          <w:kern w:val="0"/>
          <w:sz w:val="28"/>
          <w:szCs w:val="28"/>
        </w:rPr>
        <w:t>投标</w:t>
      </w:r>
      <w:r>
        <w:rPr>
          <w:rFonts w:hint="eastAsia" w:ascii="楷体" w:hAnsi="楷体" w:eastAsia="楷体" w:cs="宋体"/>
          <w:color w:val="000000"/>
          <w:kern w:val="0"/>
          <w:sz w:val="28"/>
          <w:szCs w:val="28"/>
          <w:lang w:val="en-US" w:eastAsia="zh-CN"/>
        </w:rPr>
        <w:t>单位</w:t>
      </w:r>
      <w:r>
        <w:rPr>
          <w:rFonts w:hint="eastAsia" w:ascii="楷体" w:hAnsi="楷体" w:eastAsia="楷体" w:cs="宋体"/>
          <w:color w:val="000000"/>
          <w:kern w:val="0"/>
          <w:sz w:val="28"/>
          <w:szCs w:val="28"/>
        </w:rPr>
        <w:t>的直接或间接股东、法定代表人、董事、监事、高管非重汽员工及其亲属</w:t>
      </w:r>
      <w:r>
        <w:rPr>
          <w:rFonts w:hint="eastAsia" w:ascii="楷体" w:hAnsi="楷体" w:eastAsia="楷体" w:cs="宋体"/>
          <w:color w:val="000000"/>
          <w:kern w:val="0"/>
          <w:sz w:val="28"/>
          <w:szCs w:val="28"/>
          <w:lang w:eastAsia="zh-CN"/>
        </w:rPr>
        <w:t>。</w:t>
      </w:r>
    </w:p>
    <w:p w14:paraId="5210161B">
      <w:pPr>
        <w:pStyle w:val="15"/>
        <w:keepNext w:val="0"/>
        <w:keepLines w:val="0"/>
        <w:pageBreakBefore w:val="0"/>
        <w:kinsoku/>
        <w:wordWrap/>
        <w:overflowPunct/>
        <w:topLinePunct w:val="0"/>
        <w:autoSpaceDE/>
        <w:autoSpaceDN/>
        <w:bidi w:val="0"/>
        <w:adjustRightInd/>
        <w:snapToGrid/>
        <w:ind w:firstLine="560" w:firstLineChars="200"/>
        <w:textAlignment w:val="auto"/>
        <w:rPr>
          <w:rFonts w:hint="eastAsia"/>
          <w:sz w:val="28"/>
          <w:szCs w:val="28"/>
          <w:lang w:val="en-US" w:eastAsia="zh-CN"/>
        </w:rPr>
      </w:pPr>
      <w:r>
        <w:rPr>
          <w:rFonts w:hint="eastAsia" w:ascii="楷体" w:hAnsi="楷体" w:eastAsia="楷体" w:cs="宋体"/>
          <w:color w:val="000000"/>
          <w:kern w:val="0"/>
          <w:sz w:val="28"/>
          <w:szCs w:val="28"/>
          <w:lang w:val="en-US" w:eastAsia="zh-CN"/>
        </w:rPr>
        <w:t>9、</w:t>
      </w:r>
      <w:r>
        <w:rPr>
          <w:rFonts w:ascii="Verdana" w:hAnsi="Verdana"/>
          <w:color w:val="000000"/>
          <w:kern w:val="0"/>
          <w:sz w:val="28"/>
          <w:szCs w:val="28"/>
        </w:rPr>
        <w:t> </w:t>
      </w:r>
      <w:r>
        <w:rPr>
          <w:rFonts w:hint="eastAsia" w:ascii="楷体" w:hAnsi="楷体" w:eastAsia="楷体" w:cs="宋体"/>
          <w:color w:val="000000"/>
          <w:kern w:val="0"/>
          <w:sz w:val="28"/>
          <w:szCs w:val="28"/>
        </w:rPr>
        <w:t>必须具有</w:t>
      </w:r>
      <w:r>
        <w:rPr>
          <w:rFonts w:hint="eastAsia" w:ascii="楷体" w:hAnsi="楷体" w:eastAsia="楷体" w:cs="宋体"/>
          <w:color w:val="000000"/>
          <w:kern w:val="0"/>
          <w:sz w:val="28"/>
          <w:szCs w:val="28"/>
          <w:u w:val="single"/>
          <w:lang w:val="en-US" w:eastAsia="zh-CN"/>
        </w:rPr>
        <w:t>1</w:t>
      </w:r>
      <w:r>
        <w:rPr>
          <w:rFonts w:hint="eastAsia" w:ascii="楷体" w:hAnsi="楷体" w:eastAsia="楷体" w:cs="宋体"/>
          <w:kern w:val="0"/>
          <w:sz w:val="28"/>
          <w:szCs w:val="28"/>
          <w:u w:val="single"/>
        </w:rPr>
        <w:t>年</w:t>
      </w:r>
      <w:r>
        <w:rPr>
          <w:rFonts w:hint="eastAsia" w:ascii="楷体" w:hAnsi="楷体" w:eastAsia="楷体" w:cs="宋体"/>
          <w:color w:val="000000"/>
          <w:kern w:val="0"/>
          <w:sz w:val="28"/>
          <w:szCs w:val="28"/>
        </w:rPr>
        <w:t>以上相关工作经历和成功的类似案例。</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1C166CA7">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rPr>
      </w:pPr>
      <w:r>
        <w:rPr>
          <w:rFonts w:hint="eastAsia" w:ascii="楷体" w:hAnsi="楷体" w:eastAsia="楷体" w:cs="宋体"/>
          <w:color w:val="000000"/>
          <w:kern w:val="0"/>
          <w:sz w:val="28"/>
          <w:szCs w:val="28"/>
          <w:lang w:val="en-US" w:eastAsia="zh-CN"/>
        </w:rPr>
        <w:t>1、</w:t>
      </w:r>
      <w:r>
        <w:rPr>
          <w:rFonts w:hint="eastAsia" w:ascii="楷体" w:hAnsi="楷体" w:eastAsia="楷体" w:cs="宋体"/>
          <w:color w:val="000000"/>
          <w:kern w:val="0"/>
          <w:sz w:val="28"/>
          <w:szCs w:val="28"/>
        </w:rPr>
        <w:t>法定代表人身份证明</w:t>
      </w:r>
    </w:p>
    <w:p w14:paraId="091B3F1E">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rPr>
      </w:pPr>
      <w:r>
        <w:rPr>
          <w:rFonts w:hint="eastAsia" w:ascii="楷体" w:hAnsi="楷体" w:eastAsia="楷体" w:cs="宋体"/>
          <w:color w:val="000000"/>
          <w:kern w:val="0"/>
          <w:sz w:val="28"/>
          <w:szCs w:val="28"/>
          <w:lang w:val="en-US" w:eastAsia="zh-CN"/>
        </w:rPr>
        <w:t>2、</w:t>
      </w:r>
      <w:r>
        <w:rPr>
          <w:rFonts w:hint="eastAsia" w:ascii="楷体" w:hAnsi="楷体" w:eastAsia="楷体" w:cs="宋体"/>
          <w:color w:val="000000"/>
          <w:kern w:val="0"/>
          <w:sz w:val="28"/>
          <w:szCs w:val="28"/>
        </w:rPr>
        <w:t>法</w:t>
      </w:r>
      <w:r>
        <w:rPr>
          <w:rFonts w:hint="eastAsia" w:ascii="楷体" w:hAnsi="楷体" w:eastAsia="楷体" w:cs="宋体"/>
          <w:color w:val="000000"/>
          <w:kern w:val="0"/>
          <w:sz w:val="28"/>
          <w:szCs w:val="28"/>
          <w:lang w:val="en-US" w:eastAsia="zh-CN"/>
        </w:rPr>
        <w:t>定代表</w:t>
      </w:r>
      <w:r>
        <w:rPr>
          <w:rFonts w:hint="eastAsia" w:ascii="楷体" w:hAnsi="楷体" w:eastAsia="楷体" w:cs="宋体"/>
          <w:color w:val="000000"/>
          <w:kern w:val="0"/>
          <w:sz w:val="28"/>
          <w:szCs w:val="28"/>
        </w:rPr>
        <w:t>人授权委托书及身份证复印件</w:t>
      </w:r>
      <w:r>
        <w:rPr>
          <w:rFonts w:hint="eastAsia" w:ascii="楷体" w:hAnsi="楷体" w:eastAsia="楷体" w:cs="宋体"/>
          <w:color w:val="000000"/>
          <w:kern w:val="0"/>
          <w:sz w:val="28"/>
          <w:szCs w:val="28"/>
          <w:lang w:eastAsia="zh-CN"/>
        </w:rPr>
        <w:t>（</w:t>
      </w:r>
      <w:r>
        <w:rPr>
          <w:rFonts w:hint="eastAsia" w:ascii="楷体" w:hAnsi="楷体" w:eastAsia="楷体" w:cs="宋体"/>
          <w:color w:val="000000"/>
          <w:kern w:val="0"/>
          <w:sz w:val="28"/>
          <w:szCs w:val="28"/>
          <w:lang w:val="en-US" w:eastAsia="zh-CN"/>
        </w:rPr>
        <w:t>附件1</w:t>
      </w:r>
      <w:r>
        <w:rPr>
          <w:rFonts w:hint="eastAsia" w:ascii="楷体" w:hAnsi="楷体" w:eastAsia="楷体" w:cs="宋体"/>
          <w:color w:val="000000"/>
          <w:kern w:val="0"/>
          <w:sz w:val="28"/>
          <w:szCs w:val="28"/>
          <w:lang w:eastAsia="zh-CN"/>
        </w:rPr>
        <w:t>）</w:t>
      </w:r>
      <w:r>
        <w:rPr>
          <w:rFonts w:hint="eastAsia" w:ascii="楷体" w:hAnsi="楷体" w:eastAsia="楷体" w:cs="宋体"/>
          <w:color w:val="000000"/>
          <w:kern w:val="0"/>
          <w:sz w:val="28"/>
          <w:szCs w:val="28"/>
        </w:rPr>
        <w:t>；</w:t>
      </w:r>
    </w:p>
    <w:p w14:paraId="538C01D5">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rPr>
      </w:pPr>
      <w:r>
        <w:rPr>
          <w:rFonts w:hint="eastAsia" w:ascii="楷体" w:hAnsi="楷体" w:eastAsia="楷体" w:cs="宋体"/>
          <w:color w:val="000000"/>
          <w:kern w:val="0"/>
          <w:sz w:val="28"/>
          <w:szCs w:val="28"/>
          <w:lang w:val="en-US" w:eastAsia="zh-CN"/>
        </w:rPr>
        <w:t>3、</w:t>
      </w:r>
      <w:r>
        <w:rPr>
          <w:rFonts w:hint="eastAsia" w:ascii="楷体" w:hAnsi="楷体" w:eastAsia="楷体" w:cs="宋体"/>
          <w:color w:val="000000"/>
          <w:kern w:val="0"/>
          <w:sz w:val="28"/>
          <w:szCs w:val="28"/>
        </w:rPr>
        <w:t>营业执照副本复印件；</w:t>
      </w:r>
    </w:p>
    <w:p w14:paraId="30643B9F">
      <w:pPr>
        <w:keepNext w:val="0"/>
        <w:keepLines w:val="0"/>
        <w:pageBreakBefore w:val="0"/>
        <w:widowControl w:val="0"/>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rPr>
      </w:pPr>
      <w:r>
        <w:rPr>
          <w:rFonts w:hint="eastAsia" w:ascii="楷体" w:hAnsi="楷体" w:eastAsia="楷体" w:cs="宋体"/>
          <w:color w:val="000000"/>
          <w:kern w:val="0"/>
          <w:sz w:val="28"/>
          <w:szCs w:val="28"/>
          <w:lang w:val="en-US" w:eastAsia="zh-CN"/>
        </w:rPr>
        <w:t>4、</w:t>
      </w:r>
      <w:r>
        <w:rPr>
          <w:rFonts w:hint="eastAsia" w:ascii="楷体" w:hAnsi="楷体" w:eastAsia="楷体" w:cs="宋体"/>
          <w:color w:val="000000"/>
          <w:kern w:val="0"/>
          <w:sz w:val="28"/>
          <w:szCs w:val="28"/>
        </w:rPr>
        <w:t>证明投标人满足投标资料表中列出的业绩要求的文件：近三年（</w:t>
      </w:r>
      <w:r>
        <w:rPr>
          <w:rFonts w:hint="eastAsia" w:ascii="楷体" w:hAnsi="楷体" w:eastAsia="楷体" w:cs="宋体"/>
          <w:color w:val="000000"/>
          <w:kern w:val="0"/>
          <w:sz w:val="28"/>
          <w:szCs w:val="28"/>
          <w:lang w:val="en-US" w:eastAsia="zh-CN"/>
        </w:rPr>
        <w:t>2022</w:t>
      </w:r>
      <w:r>
        <w:rPr>
          <w:rFonts w:hint="eastAsia" w:ascii="楷体" w:hAnsi="楷体" w:eastAsia="楷体" w:cs="宋体"/>
          <w:color w:val="000000"/>
          <w:kern w:val="0"/>
          <w:sz w:val="28"/>
          <w:szCs w:val="28"/>
        </w:rPr>
        <w:t>年1月1日至今）类似项目业绩及合同复印件（加盖公章，须有客户联系方式及联系人以供招标人核实确认）。</w:t>
      </w:r>
    </w:p>
    <w:p w14:paraId="11306B6B">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rPr>
      </w:pPr>
      <w:r>
        <w:rPr>
          <w:rFonts w:hint="eastAsia" w:ascii="楷体" w:hAnsi="楷体" w:eastAsia="楷体" w:cs="宋体"/>
          <w:color w:val="000000"/>
          <w:kern w:val="0"/>
          <w:sz w:val="28"/>
          <w:szCs w:val="28"/>
          <w:lang w:val="en-US" w:eastAsia="zh-CN"/>
        </w:rPr>
        <w:t>5、</w:t>
      </w:r>
      <w:r>
        <w:rPr>
          <w:rFonts w:hint="eastAsia" w:ascii="楷体" w:hAnsi="楷体" w:eastAsia="楷体" w:cs="宋体"/>
          <w:color w:val="000000"/>
          <w:kern w:val="0"/>
          <w:sz w:val="28"/>
          <w:szCs w:val="28"/>
        </w:rPr>
        <w:t>近三年财务报表（资产负债表、损益表、现金流量表）</w:t>
      </w:r>
      <w:r>
        <w:rPr>
          <w:rFonts w:hint="eastAsia" w:ascii="楷体" w:hAnsi="楷体" w:eastAsia="楷体" w:cs="宋体"/>
          <w:color w:val="000000"/>
          <w:kern w:val="0"/>
          <w:sz w:val="28"/>
          <w:szCs w:val="28"/>
          <w:lang w:val="en-US" w:eastAsia="zh-CN"/>
        </w:rPr>
        <w:t>等</w:t>
      </w:r>
      <w:r>
        <w:rPr>
          <w:rFonts w:hint="eastAsia" w:ascii="楷体" w:hAnsi="楷体" w:eastAsia="楷体" w:cs="宋体"/>
          <w:color w:val="000000"/>
          <w:kern w:val="0"/>
          <w:sz w:val="28"/>
          <w:szCs w:val="28"/>
        </w:rPr>
        <w:t>；</w:t>
      </w:r>
      <w:r>
        <w:rPr>
          <w:rFonts w:hint="eastAsia" w:ascii="楷体" w:hAnsi="楷体" w:eastAsia="楷体" w:cs="宋体"/>
          <w:color w:val="000000"/>
          <w:kern w:val="0"/>
          <w:sz w:val="28"/>
          <w:szCs w:val="28"/>
          <w:lang w:val="en-US" w:eastAsia="zh-CN"/>
        </w:rPr>
        <w:t>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2B193811">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lang w:val="en-US" w:eastAsia="zh-CN"/>
        </w:rPr>
      </w:pPr>
      <w:r>
        <w:rPr>
          <w:rFonts w:hint="eastAsia" w:ascii="楷体" w:hAnsi="楷体" w:eastAsia="楷体" w:cs="宋体"/>
          <w:color w:val="000000"/>
          <w:kern w:val="0"/>
          <w:sz w:val="28"/>
          <w:szCs w:val="28"/>
          <w:lang w:val="en-US" w:eastAsia="zh-CN"/>
        </w:rPr>
        <w:t>6、招标文件中要求的其它资格证明文件。</w:t>
      </w:r>
    </w:p>
    <w:p w14:paraId="588ACDE0">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lang w:val="en-US" w:eastAsia="zh-CN"/>
        </w:rPr>
      </w:pPr>
      <w:r>
        <w:rPr>
          <w:rFonts w:hint="eastAsia" w:ascii="楷体" w:hAnsi="楷体" w:eastAsia="楷体" w:cs="宋体"/>
          <w:color w:val="000000"/>
          <w:kern w:val="0"/>
          <w:sz w:val="28"/>
          <w:szCs w:val="28"/>
          <w:lang w:val="en-US" w:eastAsia="zh-CN"/>
        </w:rPr>
        <w:t>7、投标人应具有相应生产证明，若为代理商需具备厂家授权。</w:t>
      </w:r>
    </w:p>
    <w:p w14:paraId="05B00D1D">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lang w:val="en-US" w:eastAsia="zh-CN"/>
        </w:rPr>
      </w:pPr>
      <w:r>
        <w:rPr>
          <w:rFonts w:hint="eastAsia" w:ascii="楷体" w:hAnsi="楷体" w:eastAsia="楷体" w:cs="宋体"/>
          <w:color w:val="000000"/>
          <w:kern w:val="0"/>
          <w:sz w:val="28"/>
          <w:szCs w:val="28"/>
          <w:lang w:val="en-US" w:eastAsia="zh-CN"/>
        </w:rPr>
        <w:t>8、近三个月依法缴纳税收和社会保障资金的证明材料，近三年内在经营活动中没有违法违纪行为的声明；</w:t>
      </w:r>
    </w:p>
    <w:p w14:paraId="52AB0CF5">
      <w:pPr>
        <w:keepNext w:val="0"/>
        <w:keepLines w:val="0"/>
        <w:pageBreakBefore w:val="0"/>
        <w:widowControl/>
        <w:kinsoku/>
        <w:wordWrap/>
        <w:overflowPunct/>
        <w:topLinePunct w:val="0"/>
        <w:autoSpaceDE/>
        <w:autoSpaceDN/>
        <w:bidi w:val="0"/>
        <w:adjustRightInd/>
        <w:snapToGrid/>
        <w:spacing w:line="440" w:lineRule="exact"/>
        <w:ind w:firstLine="560" w:firstLineChars="200"/>
        <w:jc w:val="left"/>
        <w:textAlignment w:val="auto"/>
        <w:rPr>
          <w:rFonts w:hint="eastAsia" w:ascii="楷体" w:hAnsi="楷体" w:eastAsia="楷体" w:cs="宋体"/>
          <w:color w:val="000000"/>
          <w:kern w:val="0"/>
          <w:sz w:val="28"/>
          <w:szCs w:val="28"/>
          <w:lang w:val="en-US" w:eastAsia="zh-CN"/>
        </w:rPr>
      </w:pPr>
      <w:r>
        <w:rPr>
          <w:rFonts w:hint="eastAsia" w:ascii="楷体" w:hAnsi="楷体" w:eastAsia="楷体" w:cs="宋体"/>
          <w:color w:val="000000"/>
          <w:kern w:val="0"/>
          <w:sz w:val="28"/>
          <w:szCs w:val="28"/>
          <w:lang w:val="en-US" w:eastAsia="zh-CN"/>
        </w:rPr>
        <w:t>9、投标单位在国家企业信用信息公示系统中无与本投标项目有关的行政处罚、经营异常或失信信息或上述信息已被移除的声明。</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14</w:t>
      </w:r>
      <w:bookmarkStart w:id="7" w:name="_GoBack"/>
      <w:bookmarkEnd w:id="7"/>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2</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3</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20</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10</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24</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10月24日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7FD87BB2">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none"/>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hAnsi="Courier New"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14</w:t>
      </w:r>
      <w:r>
        <w:rPr>
          <w:rFonts w:hint="default" w:ascii="宋体" w:hAnsi="Courier New" w:eastAsia="宋体" w:cs="Times New Roman"/>
          <w:b w:val="0"/>
          <w:bCs/>
          <w:kern w:val="2"/>
          <w:sz w:val="21"/>
          <w:highlight w:val="none"/>
          <w:lang w:val="en-US" w:eastAsia="zh-CN" w:bidi="ar-SA"/>
        </w:rPr>
        <w:t>日 9:00:00（北京时间）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平台提交完整的盖章扫描电子版投标文件。文件须包含《资质标》、《技术标》与《商务标》三部分，各部分的详细编制要求、内容和格式见招标文件。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11月14</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3EF8D0F8">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宋体" w:eastAsia="宋体" w:cs="宋体"/>
          <w:color w:val="000000"/>
          <w:sz w:val="21"/>
          <w:szCs w:val="21"/>
          <w:highlight w:val="none"/>
        </w:rPr>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2D3B6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jc w:val="both"/>
        <w:textAlignment w:val="auto"/>
      </w:pP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5" w:name="_Toc47976594"/>
      <w:r>
        <w:rPr>
          <w:rFonts w:hint="eastAsia" w:cs="Times New Roman"/>
          <w:highlight w:val="none"/>
          <w:lang w:val="en-US" w:eastAsia="zh-CN"/>
        </w:rPr>
        <w:t>联系方式</w:t>
      </w:r>
      <w:bookmarkEnd w:id="5"/>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8"/>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5"/>
      </w:pPr>
    </w:p>
    <w:p w14:paraId="1EDCB495">
      <w:pPr>
        <w:pStyle w:val="15"/>
      </w:pPr>
    </w:p>
    <w:p w14:paraId="1DB387D8">
      <w:pPr>
        <w:pStyle w:val="15"/>
      </w:pPr>
    </w:p>
    <w:p w14:paraId="2F7EB438">
      <w:pPr>
        <w:pStyle w:val="15"/>
      </w:pPr>
    </w:p>
    <w:p w14:paraId="21AD2601">
      <w:pPr>
        <w:pStyle w:val="15"/>
      </w:pPr>
    </w:p>
    <w:p w14:paraId="7732BD9E">
      <w:pPr>
        <w:pStyle w:val="15"/>
      </w:pPr>
    </w:p>
    <w:p w14:paraId="6A318B24">
      <w:pPr>
        <w:pStyle w:val="15"/>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6" w:name="_Toc47976618"/>
      <w:r>
        <w:rPr>
          <w:rFonts w:hint="eastAsia" w:ascii="宋体" w:hAnsi="宋体" w:eastAsia="宋体" w:cs="宋体"/>
          <w:sz w:val="32"/>
          <w:szCs w:val="32"/>
          <w:highlight w:val="none"/>
          <w:lang w:val="en-US" w:eastAsia="zh-CN"/>
        </w:rPr>
        <w:t>附件1 法定代表人授权委托书</w:t>
      </w:r>
    </w:p>
    <w:bookmarkEnd w:id="6"/>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w:t>
      </w:r>
      <w:r>
        <w:rPr>
          <w:rFonts w:hint="eastAsia" w:ascii="宋体" w:hAnsi="宋体" w:eastAsia="宋体" w:cs="Times New Roman"/>
          <w:color w:val="000000"/>
          <w:sz w:val="24"/>
          <w:szCs w:val="24"/>
          <w:highlight w:val="none"/>
        </w:rPr>
        <w:t>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2025年卡车公司电伴热温控箱采购项目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6667BE2E">
      <w:pPr>
        <w:pStyle w:val="15"/>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5D126B28">
      <w:pPr>
        <w:rPr>
          <w:rFonts w:hint="eastAsia" w:ascii="宋体" w:hAnsi="宋体" w:eastAsia="宋体" w:cs="宋体"/>
          <w:sz w:val="32"/>
          <w:szCs w:val="32"/>
          <w:highlight w:val="none"/>
          <w:lang w:val="en-US" w:eastAsia="zh-CN"/>
        </w:rPr>
      </w:pP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0"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1" cstate="print"/>
                    <a:srcRect/>
                    <a:stretch>
                      <a:fillRect/>
                    </a:stretch>
                  </pic:blipFill>
                  <pic:spPr>
                    <a:xfrm>
                      <a:off x="0" y="0"/>
                      <a:ext cx="5760085" cy="2853055"/>
                    </a:xfrm>
                    <a:prstGeom prst="rect">
                      <a:avLst/>
                    </a:prstGeom>
                  </pic:spPr>
                </pic:pic>
              </a:graphicData>
            </a:graphic>
          </wp:inline>
        </w:drawing>
      </w:r>
    </w:p>
    <w:p w14:paraId="17346439">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5"/>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14:paraId="5F803865">
      <w:pPr>
        <w:pStyle w:val="15"/>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3" cstate="print"/>
                    <a:srcRect/>
                    <a:stretch>
                      <a:fillRect/>
                    </a:stretch>
                  </pic:blipFill>
                  <pic:spPr>
                    <a:xfrm>
                      <a:off x="0" y="0"/>
                      <a:ext cx="5760085" cy="2820035"/>
                    </a:xfrm>
                    <a:prstGeom prst="rect">
                      <a:avLst/>
                    </a:prstGeom>
                  </pic:spPr>
                </pic:pic>
              </a:graphicData>
            </a:graphic>
          </wp:inline>
        </w:drawing>
      </w:r>
    </w:p>
    <w:p w14:paraId="1B088E0A">
      <w:pPr>
        <w:pStyle w:val="15"/>
      </w:pPr>
    </w:p>
    <w:p w14:paraId="7AAAB53F">
      <w:pPr>
        <w:pStyle w:val="15"/>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15"/>
        <w:rPr>
          <w:highlight w:val="none"/>
        </w:rPr>
      </w:pPr>
      <w:r>
        <w:rPr>
          <w:rFonts w:hint="eastAsia" w:hAnsi="宋体" w:eastAsia="宋体" w:cs="宋体"/>
          <w:b/>
          <w:bCs/>
          <w:color w:val="000000"/>
          <w:sz w:val="24"/>
          <w:szCs w:val="28"/>
          <w:highlight w:val="none"/>
        </w:rPr>
        <w:t xml:space="preserve">2.配套能力“供货类别”填“直管单位非生产招标 / </w:t>
      </w:r>
      <w:r>
        <w:rPr>
          <w:rFonts w:hint="eastAsia" w:hAnsi="宋体" w:cs="宋体"/>
          <w:b/>
          <w:bCs/>
          <w:color w:val="000000"/>
          <w:sz w:val="24"/>
          <w:szCs w:val="28"/>
          <w:highlight w:val="none"/>
          <w:lang w:val="en-US" w:eastAsia="zh-CN"/>
        </w:rPr>
        <w:t>货物</w:t>
      </w:r>
      <w:r>
        <w:rPr>
          <w:rFonts w:hint="eastAsia" w:hAnsi="宋体" w:eastAsia="宋体" w:cs="宋体"/>
          <w:b/>
          <w:bCs/>
          <w:color w:val="000000"/>
          <w:sz w:val="24"/>
          <w:szCs w:val="28"/>
          <w:highlight w:val="none"/>
        </w:rPr>
        <w:t xml:space="preserve"> /</w:t>
      </w:r>
      <w:r>
        <w:rPr>
          <w:rFonts w:hint="eastAsia" w:hAnsi="宋体" w:cs="宋体"/>
          <w:b/>
          <w:bCs/>
          <w:color w:val="000000"/>
          <w:sz w:val="24"/>
          <w:szCs w:val="28"/>
          <w:highlight w:val="none"/>
          <w:lang w:val="en-US" w:eastAsia="zh-CN"/>
        </w:rPr>
        <w:t>安全消防</w:t>
      </w:r>
      <w:r>
        <w:rPr>
          <w:rFonts w:hint="eastAsia" w:hAnsi="宋体" w:eastAsia="宋体" w:cs="宋体"/>
          <w:b/>
          <w:bCs/>
          <w:color w:val="000000"/>
          <w:sz w:val="24"/>
          <w:szCs w:val="28"/>
          <w:highlight w:val="none"/>
        </w:rPr>
        <w:t>”，业务主管部门选择“安全环保部”。</w:t>
      </w:r>
    </w:p>
    <w:p w14:paraId="2A1C32FE">
      <w:pPr>
        <w:pStyle w:val="15"/>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4" cstate="print"/>
                    <a:srcRect/>
                    <a:stretch>
                      <a:fillRect/>
                    </a:stretch>
                  </pic:blipFill>
                  <pic:spPr>
                    <a:xfrm>
                      <a:off x="0" y="0"/>
                      <a:ext cx="5760085" cy="2269490"/>
                    </a:xfrm>
                    <a:prstGeom prst="rect">
                      <a:avLst/>
                    </a:prstGeom>
                  </pic:spPr>
                </pic:pic>
              </a:graphicData>
            </a:graphic>
          </wp:inline>
        </w:drawing>
      </w:r>
    </w:p>
    <w:p w14:paraId="2EA616EE"/>
    <w:p w14:paraId="51AD0D9F">
      <w:pPr>
        <w:pStyle w:val="15"/>
      </w:pPr>
    </w:p>
    <w:p w14:paraId="02513ACC">
      <w:pPr>
        <w:pStyle w:val="15"/>
      </w:pPr>
    </w:p>
    <w:p w14:paraId="42423970">
      <w:pPr>
        <w:pStyle w:val="15"/>
      </w:pPr>
    </w:p>
    <w:p w14:paraId="2C65B758">
      <w:pPr>
        <w:pStyle w:val="15"/>
      </w:pPr>
    </w:p>
    <w:p w14:paraId="444E97A4">
      <w:pPr>
        <w:pStyle w:val="15"/>
      </w:pPr>
    </w:p>
    <w:p w14:paraId="66C2E418">
      <w:pPr>
        <w:pStyle w:val="15"/>
      </w:pPr>
    </w:p>
    <w:p w14:paraId="0586ECE5">
      <w:pPr>
        <w:pStyle w:val="15"/>
      </w:pPr>
    </w:p>
    <w:p w14:paraId="4D435F90">
      <w:pPr>
        <w:pStyle w:val="15"/>
      </w:pPr>
    </w:p>
    <w:p w14:paraId="370F4324">
      <w:pPr>
        <w:pStyle w:val="15"/>
      </w:pPr>
    </w:p>
    <w:p w14:paraId="6EE8ABCC">
      <w:pPr>
        <w:pStyle w:val="15"/>
      </w:pPr>
    </w:p>
    <w:p w14:paraId="61DF1E88">
      <w:pPr>
        <w:pStyle w:val="15"/>
      </w:pPr>
    </w:p>
    <w:p w14:paraId="61CE34F1">
      <w:pPr>
        <w:pStyle w:val="15"/>
      </w:pPr>
    </w:p>
    <w:p w14:paraId="6B688F52">
      <w:pPr>
        <w:pStyle w:val="15"/>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4" w:type="first"/>
      <w:footerReference r:id="rId15"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0"/>
    </w:pPr>
  </w:p>
  <w:p w14:paraId="3AC74D7F">
    <w:pPr>
      <w:pStyle w:val="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color w:val="auto"/>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7">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8"/>
  </w:num>
  <w:num w:numId="2">
    <w:abstractNumId w:val="13"/>
  </w:num>
  <w:num w:numId="3">
    <w:abstractNumId w:val="12"/>
  </w:num>
  <w:num w:numId="4">
    <w:abstractNumId w:val="9"/>
  </w:num>
  <w:num w:numId="5">
    <w:abstractNumId w:val="5"/>
  </w:num>
  <w:num w:numId="6">
    <w:abstractNumId w:val="6"/>
  </w:num>
  <w:num w:numId="7">
    <w:abstractNumId w:val="7"/>
  </w:num>
  <w:num w:numId="8">
    <w:abstractNumId w:val="10"/>
  </w:num>
  <w:num w:numId="9">
    <w:abstractNumId w:val="3"/>
  </w:num>
  <w:num w:numId="10">
    <w:abstractNumId w:val="14"/>
  </w:num>
  <w:num w:numId="11">
    <w:abstractNumId w:val="11"/>
  </w:num>
  <w:num w:numId="12">
    <w:abstractNumId w:val="0"/>
  </w:num>
  <w:num w:numId="13">
    <w:abstractNumId w:val="1"/>
  </w:num>
  <w:num w:numId="14">
    <w:abstractNumId w:val="2"/>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D9444A"/>
    <w:rsid w:val="03F033B0"/>
    <w:rsid w:val="041C2F30"/>
    <w:rsid w:val="04D36302"/>
    <w:rsid w:val="057C1D39"/>
    <w:rsid w:val="05891259"/>
    <w:rsid w:val="07046D8D"/>
    <w:rsid w:val="07BA233A"/>
    <w:rsid w:val="08633479"/>
    <w:rsid w:val="08BD01DD"/>
    <w:rsid w:val="091C13C7"/>
    <w:rsid w:val="09437C90"/>
    <w:rsid w:val="0A5A19E5"/>
    <w:rsid w:val="0B3A2110"/>
    <w:rsid w:val="0C012C2E"/>
    <w:rsid w:val="0C4444D5"/>
    <w:rsid w:val="0CB51572"/>
    <w:rsid w:val="0DF476ED"/>
    <w:rsid w:val="0E4D31E3"/>
    <w:rsid w:val="10566E56"/>
    <w:rsid w:val="10DC2AA3"/>
    <w:rsid w:val="10FA7C8C"/>
    <w:rsid w:val="130B198F"/>
    <w:rsid w:val="14633A77"/>
    <w:rsid w:val="156009C5"/>
    <w:rsid w:val="15823628"/>
    <w:rsid w:val="15891CCA"/>
    <w:rsid w:val="15901D2B"/>
    <w:rsid w:val="16A918E4"/>
    <w:rsid w:val="17D966D6"/>
    <w:rsid w:val="19AF6691"/>
    <w:rsid w:val="1BC71D3B"/>
    <w:rsid w:val="1C035F1F"/>
    <w:rsid w:val="1C59115B"/>
    <w:rsid w:val="1D5C1D1A"/>
    <w:rsid w:val="1DDE1E75"/>
    <w:rsid w:val="1FB23E60"/>
    <w:rsid w:val="21893052"/>
    <w:rsid w:val="22C5630B"/>
    <w:rsid w:val="22F66168"/>
    <w:rsid w:val="23EC0BA6"/>
    <w:rsid w:val="24701A48"/>
    <w:rsid w:val="25387077"/>
    <w:rsid w:val="268B0052"/>
    <w:rsid w:val="26C82FDF"/>
    <w:rsid w:val="27743C90"/>
    <w:rsid w:val="29CA2459"/>
    <w:rsid w:val="29D82DC8"/>
    <w:rsid w:val="2A615C61"/>
    <w:rsid w:val="2AC31382"/>
    <w:rsid w:val="2B271A58"/>
    <w:rsid w:val="2B6304A7"/>
    <w:rsid w:val="2C7F1926"/>
    <w:rsid w:val="2CC406B7"/>
    <w:rsid w:val="2CF6734C"/>
    <w:rsid w:val="2D663463"/>
    <w:rsid w:val="2DF0057E"/>
    <w:rsid w:val="2EF96EE4"/>
    <w:rsid w:val="343455CA"/>
    <w:rsid w:val="35DF566B"/>
    <w:rsid w:val="36254FE4"/>
    <w:rsid w:val="36596AAA"/>
    <w:rsid w:val="36A967C5"/>
    <w:rsid w:val="372F61E0"/>
    <w:rsid w:val="374C4D4B"/>
    <w:rsid w:val="377A28DC"/>
    <w:rsid w:val="39322FCA"/>
    <w:rsid w:val="3AB90991"/>
    <w:rsid w:val="3B6A6B02"/>
    <w:rsid w:val="3B706131"/>
    <w:rsid w:val="3BA724D3"/>
    <w:rsid w:val="3CC902F7"/>
    <w:rsid w:val="3E6F041E"/>
    <w:rsid w:val="3E6F2015"/>
    <w:rsid w:val="3F8A0269"/>
    <w:rsid w:val="40F3136C"/>
    <w:rsid w:val="4275481E"/>
    <w:rsid w:val="428B617A"/>
    <w:rsid w:val="42914424"/>
    <w:rsid w:val="42B775C7"/>
    <w:rsid w:val="433D7BDC"/>
    <w:rsid w:val="437E1813"/>
    <w:rsid w:val="43B00CB6"/>
    <w:rsid w:val="43E75C8A"/>
    <w:rsid w:val="45BD47FC"/>
    <w:rsid w:val="45CC5FB2"/>
    <w:rsid w:val="45DB3897"/>
    <w:rsid w:val="45E10110"/>
    <w:rsid w:val="46B75BA8"/>
    <w:rsid w:val="48644C61"/>
    <w:rsid w:val="48C97955"/>
    <w:rsid w:val="49880C8F"/>
    <w:rsid w:val="4A6A4F1F"/>
    <w:rsid w:val="4A8835F7"/>
    <w:rsid w:val="4B592E71"/>
    <w:rsid w:val="4B603EF9"/>
    <w:rsid w:val="4C43011D"/>
    <w:rsid w:val="509B7998"/>
    <w:rsid w:val="50D4718B"/>
    <w:rsid w:val="52617093"/>
    <w:rsid w:val="52B9239A"/>
    <w:rsid w:val="52CF5C5C"/>
    <w:rsid w:val="54BD78FD"/>
    <w:rsid w:val="56706375"/>
    <w:rsid w:val="567E79B3"/>
    <w:rsid w:val="57486D6A"/>
    <w:rsid w:val="58A86DDE"/>
    <w:rsid w:val="59154AD7"/>
    <w:rsid w:val="59A246D5"/>
    <w:rsid w:val="59A312D5"/>
    <w:rsid w:val="5A8E4D8E"/>
    <w:rsid w:val="5ACA35F7"/>
    <w:rsid w:val="5ADF548D"/>
    <w:rsid w:val="5B63759B"/>
    <w:rsid w:val="5C9A28BE"/>
    <w:rsid w:val="5CC62AD6"/>
    <w:rsid w:val="5D5C60B4"/>
    <w:rsid w:val="61DE3046"/>
    <w:rsid w:val="635C60FE"/>
    <w:rsid w:val="63F04A69"/>
    <w:rsid w:val="6583773F"/>
    <w:rsid w:val="66A50B1E"/>
    <w:rsid w:val="67B2063C"/>
    <w:rsid w:val="67C97AC3"/>
    <w:rsid w:val="67E30EC1"/>
    <w:rsid w:val="6A0539F1"/>
    <w:rsid w:val="6A4E3B2B"/>
    <w:rsid w:val="6AA30469"/>
    <w:rsid w:val="6B481C3B"/>
    <w:rsid w:val="6C05153C"/>
    <w:rsid w:val="6C1331A3"/>
    <w:rsid w:val="6CA84BC1"/>
    <w:rsid w:val="6D3E4756"/>
    <w:rsid w:val="6E3851B0"/>
    <w:rsid w:val="6FA83C70"/>
    <w:rsid w:val="6FC523EB"/>
    <w:rsid w:val="70856F27"/>
    <w:rsid w:val="714E7876"/>
    <w:rsid w:val="72895F2E"/>
    <w:rsid w:val="72C02EBE"/>
    <w:rsid w:val="72C507AD"/>
    <w:rsid w:val="72D028D8"/>
    <w:rsid w:val="73050EBB"/>
    <w:rsid w:val="745D47C3"/>
    <w:rsid w:val="752A6815"/>
    <w:rsid w:val="76AC3757"/>
    <w:rsid w:val="77FE7170"/>
    <w:rsid w:val="784F3EEE"/>
    <w:rsid w:val="7A0B162F"/>
    <w:rsid w:val="7A5A304A"/>
    <w:rsid w:val="7AF33E75"/>
    <w:rsid w:val="7BF51800"/>
    <w:rsid w:val="7CAA781E"/>
    <w:rsid w:val="7CB93F8E"/>
    <w:rsid w:val="7CF66B46"/>
    <w:rsid w:val="7DBD28BA"/>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4"/>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w:basedOn w:val="1"/>
    <w:next w:val="12"/>
    <w:link w:val="42"/>
    <w:semiHidden/>
    <w:qFormat/>
    <w:uiPriority w:val="98"/>
    <w:rPr>
      <w:rFonts w:ascii="仿宋_GB2312" w:eastAsia="仿宋_GB2312"/>
      <w:sz w:val="32"/>
    </w:rPr>
  </w:style>
  <w:style w:type="paragraph" w:customStyle="1" w:styleId="1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1"/>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3"/>
    <w:link w:val="5"/>
    <w:semiHidden/>
    <w:qFormat/>
    <w:uiPriority w:val="0"/>
    <w:rPr>
      <w:rFonts w:ascii="Arial" w:hAnsi="Arial"/>
      <w:b/>
      <w:bCs/>
      <w:kern w:val="2"/>
      <w:sz w:val="21"/>
      <w:szCs w:val="28"/>
    </w:rPr>
  </w:style>
  <w:style w:type="character" w:customStyle="1" w:styleId="78">
    <w:name w:val="标题 5 字符"/>
    <w:basedOn w:val="33"/>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11</Pages>
  <Words>3038</Words>
  <Characters>3312</Characters>
  <Lines>127</Lines>
  <Paragraphs>35</Paragraphs>
  <TotalTime>0</TotalTime>
  <ScaleCrop>false</ScaleCrop>
  <LinksUpToDate>false</LinksUpToDate>
  <CharactersWithSpaces>3458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2025-10-13T08:58:48Z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16B4F3A4C1234264B6AB8D1591CCAE03_13</vt:lpwstr>
  </property>
  <property fmtid="{D5CDD505-2E9C-101B-9397-08002B2CF9AE}" pid="4" name="KSOTemplateDocerSaveRecord">
    <vt:lpwstr>eyJoZGlkIjoiMWJmNDk2YTMyZTM3ZjA0M2I0Mjk2MzFhMmM3YmRjYzYiLCJ1c2VySWQiOiIxNzQ3MDQyODM0In0=</vt:lpwstr>
  </property>
</Properties>
</file>