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20" w:lineRule="exact"/>
        <w:ind w:right="-48" w:rightChars="-23"/>
        <w:rPr>
          <w:rFonts w:ascii="文鼎大标宋简" w:hAnsi="华文中宋" w:eastAsia="文鼎大标宋简"/>
          <w:b/>
          <w:spacing w:val="4"/>
          <w:w w:val="90"/>
        </w:rPr>
      </w:pPr>
    </w:p>
    <w:p>
      <w:pPr>
        <w:spacing w:line="1000" w:lineRule="exact"/>
        <w:ind w:right="-48" w:rightChars="-23"/>
        <w:jc w:val="center"/>
        <w:rPr>
          <w:rFonts w:ascii="文鼎大标宋简" w:hAnsi="华文中宋" w:eastAsia="文鼎大标宋简"/>
          <w:b/>
          <w:spacing w:val="4"/>
          <w:w w:val="90"/>
          <w:sz w:val="52"/>
          <w:szCs w:val="52"/>
        </w:rPr>
      </w:pPr>
      <w:r>
        <w:rPr>
          <w:rFonts w:hint="eastAsia" w:ascii="文鼎大标宋简" w:hAnsi="华文中宋" w:eastAsia="文鼎大标宋简"/>
          <w:b/>
          <w:spacing w:val="4"/>
          <w:w w:val="90"/>
          <w:sz w:val="52"/>
          <w:szCs w:val="52"/>
        </w:rPr>
        <w:t>中国重汽集团济南商用车有限公司</w:t>
      </w:r>
    </w:p>
    <w:p>
      <w:pPr>
        <w:spacing w:line="1000" w:lineRule="exact"/>
        <w:ind w:right="-48" w:rightChars="-23"/>
        <w:jc w:val="center"/>
        <w:rPr>
          <w:rFonts w:ascii="文鼎大标宋简" w:hAnsi="华文中宋" w:eastAsia="文鼎大标宋简"/>
          <w:b/>
          <w:spacing w:val="4"/>
          <w:w w:val="90"/>
          <w:sz w:val="52"/>
          <w:szCs w:val="52"/>
        </w:rPr>
      </w:pPr>
      <w:r>
        <w:rPr>
          <w:rFonts w:hint="eastAsia" w:ascii="文鼎大标宋简" w:hAnsi="华文中宋" w:eastAsia="文鼎大标宋简"/>
          <w:b/>
          <w:spacing w:val="4"/>
          <w:w w:val="90"/>
          <w:sz w:val="52"/>
          <w:szCs w:val="52"/>
          <w:lang w:val="en-US" w:eastAsia="zh-CN"/>
        </w:rPr>
        <w:t>平货箱皮卡</w:t>
      </w:r>
      <w:r>
        <w:rPr>
          <w:rFonts w:hint="eastAsia" w:ascii="文鼎大标宋简" w:hAnsi="华文中宋" w:eastAsia="文鼎大标宋简"/>
          <w:b/>
          <w:spacing w:val="4"/>
          <w:w w:val="90"/>
          <w:sz w:val="52"/>
          <w:szCs w:val="52"/>
        </w:rPr>
        <w:t>冲压模</w:t>
      </w:r>
      <w:r>
        <w:rPr>
          <w:rFonts w:hint="eastAsia" w:ascii="文鼎大标宋简" w:hAnsi="华文中宋" w:eastAsia="文鼎大标宋简"/>
          <w:b/>
          <w:spacing w:val="4"/>
          <w:w w:val="90"/>
          <w:sz w:val="52"/>
          <w:szCs w:val="52"/>
          <w:lang w:val="en-US" w:eastAsia="zh-CN"/>
        </w:rPr>
        <w:t>检</w:t>
      </w:r>
      <w:r>
        <w:rPr>
          <w:rFonts w:hint="eastAsia" w:ascii="文鼎大标宋简" w:hAnsi="华文中宋" w:eastAsia="文鼎大标宋简"/>
          <w:b/>
          <w:spacing w:val="4"/>
          <w:w w:val="90"/>
          <w:sz w:val="52"/>
          <w:szCs w:val="52"/>
        </w:rPr>
        <w:t>具目</w:t>
      </w:r>
    </w:p>
    <w:p>
      <w:pPr>
        <w:spacing w:line="1000" w:lineRule="exact"/>
        <w:ind w:right="-48" w:rightChars="-23"/>
        <w:jc w:val="center"/>
        <w:rPr>
          <w:rFonts w:ascii="文鼎大标宋简" w:hAnsi="华文中宋" w:eastAsia="文鼎大标宋简"/>
          <w:b/>
          <w:spacing w:val="4"/>
          <w:w w:val="90"/>
          <w:sz w:val="52"/>
          <w:szCs w:val="52"/>
        </w:rPr>
      </w:pPr>
    </w:p>
    <w:p>
      <w:pPr>
        <w:spacing w:line="1000" w:lineRule="exact"/>
        <w:ind w:right="-48" w:rightChars="-23"/>
        <w:jc w:val="center"/>
        <w:rPr>
          <w:rFonts w:ascii="文鼎大标宋简" w:hAnsi="华文中宋" w:eastAsia="文鼎大标宋简"/>
          <w:b/>
          <w:spacing w:val="4"/>
          <w:w w:val="90"/>
          <w:sz w:val="52"/>
          <w:szCs w:val="52"/>
        </w:rPr>
      </w:pPr>
    </w:p>
    <w:p>
      <w:pPr>
        <w:jc w:val="center"/>
        <w:rPr>
          <w:rFonts w:ascii="文鼎大标宋简" w:hAnsi="华文中宋" w:eastAsia="文鼎大标宋简"/>
          <w:spacing w:val="4"/>
          <w:w w:val="90"/>
          <w:sz w:val="28"/>
          <w:szCs w:val="28"/>
        </w:rPr>
      </w:pPr>
    </w:p>
    <w:p>
      <w:pPr>
        <w:jc w:val="center"/>
        <w:rPr>
          <w:rFonts w:ascii="宋体"/>
          <w:b/>
          <w:sz w:val="96"/>
          <w:szCs w:val="96"/>
        </w:rPr>
      </w:pPr>
      <w:r>
        <w:rPr>
          <w:rFonts w:hint="eastAsia" w:ascii="宋体" w:hAnsi="宋体"/>
          <w:b/>
          <w:sz w:val="96"/>
          <w:szCs w:val="96"/>
        </w:rPr>
        <w:t>招标文件</w:t>
      </w:r>
    </w:p>
    <w:p>
      <w:pPr>
        <w:spacing w:line="360" w:lineRule="auto"/>
        <w:jc w:val="center"/>
        <w:rPr>
          <w:rFonts w:ascii="黑体" w:eastAsia="黑体"/>
          <w:sz w:val="48"/>
          <w:szCs w:val="48"/>
        </w:rPr>
      </w:pPr>
    </w:p>
    <w:p>
      <w:pPr>
        <w:spacing w:line="360" w:lineRule="auto"/>
        <w:jc w:val="center"/>
        <w:rPr>
          <w:rFonts w:ascii="黑体" w:eastAsia="黑体"/>
          <w:sz w:val="48"/>
          <w:szCs w:val="48"/>
        </w:rPr>
      </w:pPr>
    </w:p>
    <w:p>
      <w:pPr>
        <w:spacing w:line="360" w:lineRule="auto"/>
        <w:jc w:val="center"/>
        <w:rPr>
          <w:rFonts w:ascii="黑体" w:eastAsia="黑体"/>
          <w:sz w:val="48"/>
          <w:szCs w:val="48"/>
        </w:rPr>
      </w:pPr>
    </w:p>
    <w:p>
      <w:pPr>
        <w:spacing w:line="360" w:lineRule="auto"/>
        <w:jc w:val="center"/>
        <w:rPr>
          <w:rFonts w:ascii="黑体" w:eastAsia="黑体"/>
          <w:sz w:val="48"/>
          <w:szCs w:val="48"/>
        </w:rPr>
      </w:pPr>
    </w:p>
    <w:p>
      <w:pPr>
        <w:spacing w:line="360" w:lineRule="auto"/>
        <w:jc w:val="center"/>
        <w:rPr>
          <w:rFonts w:ascii="黑体" w:eastAsia="黑体"/>
          <w:sz w:val="48"/>
          <w:szCs w:val="48"/>
        </w:rPr>
      </w:pPr>
      <w:r>
        <w:rPr>
          <w:rFonts w:hint="eastAsia" w:ascii="黑体" w:eastAsia="黑体"/>
          <w:sz w:val="28"/>
        </w:rPr>
        <w:t>招标方：中国重汽集团济南商用车有限公司</w:t>
      </w:r>
    </w:p>
    <w:p>
      <w:pPr>
        <w:spacing w:line="360" w:lineRule="auto"/>
        <w:jc w:val="center"/>
        <w:rPr>
          <w:rFonts w:ascii="黑体" w:eastAsia="黑体"/>
          <w:sz w:val="48"/>
          <w:szCs w:val="48"/>
        </w:rPr>
      </w:pPr>
    </w:p>
    <w:p>
      <w:pPr>
        <w:spacing w:line="360" w:lineRule="auto"/>
        <w:jc w:val="center"/>
        <w:rPr>
          <w:rFonts w:hint="default" w:ascii="黑体" w:eastAsia="黑体"/>
          <w:sz w:val="28"/>
          <w:lang w:val="en-US" w:eastAsia="zh-CN"/>
        </w:rPr>
      </w:pPr>
      <w:r>
        <w:rPr>
          <w:rFonts w:ascii="黑体" w:eastAsia="黑体"/>
          <w:sz w:val="28"/>
        </w:rPr>
        <w:t>20</w:t>
      </w:r>
      <w:r>
        <w:rPr>
          <w:rFonts w:hint="eastAsia" w:ascii="黑体" w:eastAsia="黑体"/>
          <w:sz w:val="28"/>
        </w:rPr>
        <w:t>2</w:t>
      </w:r>
      <w:r>
        <w:rPr>
          <w:rFonts w:hint="eastAsia" w:ascii="黑体" w:eastAsia="黑体"/>
          <w:sz w:val="28"/>
          <w:lang w:val="en-US" w:eastAsia="zh-CN"/>
        </w:rPr>
        <w:t>2</w:t>
      </w:r>
      <w:r>
        <w:rPr>
          <w:rFonts w:hint="eastAsia" w:ascii="黑体" w:eastAsia="黑体"/>
          <w:sz w:val="28"/>
        </w:rPr>
        <w:t>年</w:t>
      </w:r>
      <w:r>
        <w:rPr>
          <w:rFonts w:hint="eastAsia" w:ascii="黑体" w:eastAsia="黑体"/>
          <w:sz w:val="28"/>
          <w:lang w:val="en-US" w:eastAsia="zh-CN"/>
        </w:rPr>
        <w:t>11月</w:t>
      </w:r>
    </w:p>
    <w:p>
      <w:pPr>
        <w:widowControl/>
        <w:spacing w:line="360" w:lineRule="auto"/>
        <w:jc w:val="center"/>
        <w:rPr>
          <w:rFonts w:ascii="宋体" w:hAnsi="宋体"/>
          <w:b/>
        </w:rPr>
      </w:pPr>
      <w:r>
        <w:rPr>
          <w:rFonts w:ascii="宋体" w:hAnsi="宋体" w:cs="宋体"/>
          <w:b/>
          <w:bCs/>
          <w:sz w:val="36"/>
          <w:szCs w:val="36"/>
        </w:rPr>
        <w:br w:type="page"/>
      </w:r>
      <w:r>
        <w:rPr>
          <w:rFonts w:hint="eastAsia" w:ascii="宋体" w:hAnsi="宋体" w:cs="宋体"/>
          <w:b/>
          <w:bCs/>
          <w:sz w:val="36"/>
          <w:szCs w:val="36"/>
        </w:rPr>
        <w:t>目录</w:t>
      </w:r>
    </w:p>
    <w:p>
      <w:pPr>
        <w:pStyle w:val="52"/>
        <w:tabs>
          <w:tab w:val="right" w:leader="dot" w:pos="9071"/>
        </w:tabs>
      </w:pPr>
      <w:r>
        <w:rPr>
          <w:rFonts w:ascii="宋体" w:hAnsi="宋体" w:cs="宋体"/>
          <w:i/>
          <w:caps w:val="0"/>
          <w:sz w:val="21"/>
          <w:szCs w:val="21"/>
        </w:rPr>
        <w:fldChar w:fldCharType="begin"/>
      </w:r>
      <w:r>
        <w:rPr>
          <w:rFonts w:ascii="宋体" w:hAnsi="宋体" w:cs="宋体"/>
          <w:i/>
          <w:caps w:val="0"/>
          <w:sz w:val="21"/>
          <w:szCs w:val="21"/>
        </w:rPr>
        <w:instrText xml:space="preserve"> TOC \o "1-3" \h \z \u </w:instrText>
      </w:r>
      <w:r>
        <w:rPr>
          <w:rFonts w:ascii="宋体" w:hAnsi="宋体" w:cs="宋体"/>
          <w:i/>
          <w:caps w:val="0"/>
          <w:sz w:val="21"/>
          <w:szCs w:val="21"/>
        </w:rPr>
        <w:fldChar w:fldCharType="separate"/>
      </w:r>
      <w:r>
        <w:rPr>
          <w:rFonts w:ascii="宋体" w:hAnsi="宋体" w:cs="宋体"/>
          <w:i/>
          <w:caps w:val="0"/>
          <w:szCs w:val="21"/>
        </w:rPr>
        <w:fldChar w:fldCharType="begin"/>
      </w:r>
      <w:r>
        <w:rPr>
          <w:rFonts w:ascii="宋体" w:hAnsi="宋体" w:cs="宋体"/>
          <w:i/>
          <w:caps w:val="0"/>
          <w:szCs w:val="21"/>
        </w:rPr>
        <w:instrText xml:space="preserve"> HYPERLINK \l _Toc19610 </w:instrText>
      </w:r>
      <w:r>
        <w:rPr>
          <w:rFonts w:ascii="宋体" w:hAnsi="宋体" w:cs="宋体"/>
          <w:i/>
          <w:caps w:val="0"/>
          <w:szCs w:val="21"/>
        </w:rPr>
        <w:fldChar w:fldCharType="separate"/>
      </w:r>
      <w:r>
        <w:rPr>
          <w:rFonts w:hint="eastAsia" w:ascii="宋体" w:hAnsi="宋体"/>
        </w:rPr>
        <w:t>第一章招标公告</w:t>
      </w:r>
      <w:r>
        <w:tab/>
      </w:r>
      <w:r>
        <w:fldChar w:fldCharType="begin"/>
      </w:r>
      <w:r>
        <w:instrText xml:space="preserve"> PAGEREF _Toc19610 \h </w:instrText>
      </w:r>
      <w:r>
        <w:fldChar w:fldCharType="separate"/>
      </w:r>
      <w:r>
        <w:t>4</w:t>
      </w:r>
      <w:r>
        <w:fldChar w:fldCharType="end"/>
      </w:r>
      <w:r>
        <w:rPr>
          <w:rFonts w:ascii="宋体" w:hAnsi="宋体" w:cs="宋体"/>
          <w:i/>
          <w:caps w:val="0"/>
          <w:szCs w:val="21"/>
        </w:rPr>
        <w:fldChar w:fldCharType="end"/>
      </w:r>
    </w:p>
    <w:p>
      <w:pPr>
        <w:pStyle w:val="52"/>
        <w:tabs>
          <w:tab w:val="right" w:leader="dot" w:pos="9071"/>
        </w:tabs>
      </w:pPr>
      <w:r>
        <w:rPr>
          <w:rFonts w:ascii="宋体" w:hAnsi="宋体" w:cs="宋体"/>
          <w:i/>
          <w:caps/>
        </w:rPr>
        <w:fldChar w:fldCharType="begin"/>
      </w:r>
      <w:r>
        <w:rPr>
          <w:rFonts w:ascii="宋体" w:hAnsi="宋体" w:cs="宋体"/>
          <w:i/>
          <w:caps/>
        </w:rPr>
        <w:instrText xml:space="preserve"> HYPERLINK \l _Toc28730 </w:instrText>
      </w:r>
      <w:r>
        <w:rPr>
          <w:rFonts w:ascii="宋体" w:hAnsi="宋体" w:cs="宋体"/>
          <w:i/>
          <w:caps/>
        </w:rPr>
        <w:fldChar w:fldCharType="separate"/>
      </w:r>
      <w:r>
        <w:rPr>
          <w:rFonts w:hint="eastAsia" w:ascii="宋体" w:hAnsi="宋体"/>
        </w:rPr>
        <w:t>第二章投标方须知</w:t>
      </w:r>
      <w:r>
        <w:tab/>
      </w:r>
      <w:r>
        <w:fldChar w:fldCharType="begin"/>
      </w:r>
      <w:r>
        <w:instrText xml:space="preserve"> PAGEREF _Toc28730 \h </w:instrText>
      </w:r>
      <w:r>
        <w:fldChar w:fldCharType="separate"/>
      </w:r>
      <w:r>
        <w:t>6</w:t>
      </w:r>
      <w:r>
        <w:fldChar w:fldCharType="end"/>
      </w:r>
      <w:r>
        <w:rPr>
          <w:rFonts w:ascii="宋体" w:hAnsi="宋体" w:cs="宋体"/>
          <w:i/>
          <w:caps/>
        </w:rPr>
        <w:fldChar w:fldCharType="end"/>
      </w:r>
    </w:p>
    <w:p>
      <w:pPr>
        <w:pStyle w:val="52"/>
        <w:tabs>
          <w:tab w:val="right" w:leader="dot" w:pos="9071"/>
        </w:tabs>
      </w:pPr>
      <w:r>
        <w:rPr>
          <w:rFonts w:ascii="宋体" w:hAnsi="宋体" w:cs="宋体"/>
          <w:i/>
          <w:caps/>
        </w:rPr>
        <w:fldChar w:fldCharType="begin"/>
      </w:r>
      <w:r>
        <w:rPr>
          <w:rFonts w:ascii="宋体" w:hAnsi="宋体" w:cs="宋体"/>
          <w:i/>
          <w:caps/>
        </w:rPr>
        <w:instrText xml:space="preserve"> HYPERLINK \l _Toc16915 </w:instrText>
      </w:r>
      <w:r>
        <w:rPr>
          <w:rFonts w:ascii="宋体" w:hAnsi="宋体" w:cs="宋体"/>
          <w:i/>
          <w:caps/>
        </w:rPr>
        <w:fldChar w:fldCharType="separate"/>
      </w:r>
      <w:r>
        <w:rPr>
          <w:rFonts w:hint="eastAsia" w:ascii="宋体" w:hAnsi="宋体"/>
        </w:rPr>
        <w:t>投标方须知前附表</w:t>
      </w:r>
      <w:r>
        <w:tab/>
      </w:r>
      <w:r>
        <w:fldChar w:fldCharType="begin"/>
      </w:r>
      <w:r>
        <w:instrText xml:space="preserve"> PAGEREF _Toc16915 \h </w:instrText>
      </w:r>
      <w:r>
        <w:fldChar w:fldCharType="separate"/>
      </w:r>
      <w:r>
        <w:t>6</w:t>
      </w:r>
      <w:r>
        <w:fldChar w:fldCharType="end"/>
      </w:r>
      <w:r>
        <w:rPr>
          <w:rFonts w:ascii="宋体" w:hAnsi="宋体" w:cs="宋体"/>
          <w:i/>
          <w:caps/>
        </w:rPr>
        <w:fldChar w:fldCharType="end"/>
      </w:r>
    </w:p>
    <w:p>
      <w:pPr>
        <w:pStyle w:val="52"/>
        <w:tabs>
          <w:tab w:val="right" w:leader="dot" w:pos="9071"/>
        </w:tabs>
      </w:pPr>
      <w:r>
        <w:rPr>
          <w:rFonts w:ascii="宋体" w:hAnsi="宋体" w:cs="宋体"/>
          <w:i/>
          <w:caps/>
        </w:rPr>
        <w:fldChar w:fldCharType="begin"/>
      </w:r>
      <w:r>
        <w:rPr>
          <w:rFonts w:ascii="宋体" w:hAnsi="宋体" w:cs="宋体"/>
          <w:i/>
          <w:caps/>
        </w:rPr>
        <w:instrText xml:space="preserve"> HYPERLINK \l _Toc26958 </w:instrText>
      </w:r>
      <w:r>
        <w:rPr>
          <w:rFonts w:ascii="宋体" w:hAnsi="宋体" w:cs="宋体"/>
          <w:i/>
          <w:caps/>
        </w:rPr>
        <w:fldChar w:fldCharType="separate"/>
      </w:r>
      <w:r>
        <w:rPr>
          <w:rFonts w:hint="eastAsia" w:ascii="宋体" w:hAnsi="宋体" w:cs="宋体"/>
          <w:bCs/>
          <w:szCs w:val="30"/>
        </w:rPr>
        <w:t>总则</w:t>
      </w:r>
      <w:r>
        <w:tab/>
      </w:r>
      <w:r>
        <w:fldChar w:fldCharType="begin"/>
      </w:r>
      <w:r>
        <w:instrText xml:space="preserve"> PAGEREF _Toc26958 \h </w:instrText>
      </w:r>
      <w:r>
        <w:fldChar w:fldCharType="separate"/>
      </w:r>
      <w:r>
        <w:t>9</w:t>
      </w:r>
      <w:r>
        <w:fldChar w:fldCharType="end"/>
      </w:r>
      <w:r>
        <w:rPr>
          <w:rFonts w:ascii="宋体" w:hAnsi="宋体" w:cs="宋体"/>
          <w:i/>
          <w:caps/>
        </w:rPr>
        <w:fldChar w:fldCharType="end"/>
      </w:r>
    </w:p>
    <w:p>
      <w:pPr>
        <w:pStyle w:val="62"/>
        <w:tabs>
          <w:tab w:val="right" w:leader="dot" w:pos="9071"/>
        </w:tabs>
      </w:pPr>
      <w:r>
        <w:rPr>
          <w:rFonts w:ascii="宋体" w:hAnsi="宋体" w:cs="宋体"/>
          <w:i/>
          <w:caps/>
        </w:rPr>
        <w:fldChar w:fldCharType="begin"/>
      </w:r>
      <w:r>
        <w:rPr>
          <w:rFonts w:ascii="宋体" w:hAnsi="宋体" w:cs="宋体"/>
          <w:i/>
          <w:caps/>
        </w:rPr>
        <w:instrText xml:space="preserve"> HYPERLINK \l _Toc25717 </w:instrText>
      </w:r>
      <w:r>
        <w:rPr>
          <w:rFonts w:ascii="宋体" w:hAnsi="宋体" w:cs="宋体"/>
          <w:i/>
          <w:caps/>
        </w:rPr>
        <w:fldChar w:fldCharType="separate"/>
      </w:r>
      <w:r>
        <w:rPr>
          <w:rFonts w:hint="eastAsia" w:ascii="宋体" w:hAnsi="宋体" w:eastAsia="宋体" w:cs="宋体"/>
          <w:szCs w:val="28"/>
        </w:rPr>
        <w:t>一、说明</w:t>
      </w:r>
      <w:r>
        <w:tab/>
      </w:r>
      <w:r>
        <w:fldChar w:fldCharType="begin"/>
      </w:r>
      <w:r>
        <w:instrText xml:space="preserve"> PAGEREF _Toc25717 \h </w:instrText>
      </w:r>
      <w:r>
        <w:fldChar w:fldCharType="separate"/>
      </w:r>
      <w:r>
        <w:t>9</w:t>
      </w:r>
      <w:r>
        <w:fldChar w:fldCharType="end"/>
      </w:r>
      <w:r>
        <w:rPr>
          <w:rFonts w:ascii="宋体" w:hAnsi="宋体" w:cs="宋体"/>
          <w:i/>
          <w:caps/>
        </w:rPr>
        <w:fldChar w:fldCharType="end"/>
      </w:r>
    </w:p>
    <w:p>
      <w:pPr>
        <w:pStyle w:val="62"/>
        <w:tabs>
          <w:tab w:val="right" w:leader="dot" w:pos="9071"/>
        </w:tabs>
      </w:pPr>
      <w:r>
        <w:rPr>
          <w:rFonts w:ascii="宋体" w:hAnsi="宋体" w:cs="宋体"/>
          <w:i/>
          <w:caps/>
        </w:rPr>
        <w:fldChar w:fldCharType="begin"/>
      </w:r>
      <w:r>
        <w:rPr>
          <w:rFonts w:ascii="宋体" w:hAnsi="宋体" w:cs="宋体"/>
          <w:i/>
          <w:caps/>
        </w:rPr>
        <w:instrText xml:space="preserve"> HYPERLINK \l _Toc2795 </w:instrText>
      </w:r>
      <w:r>
        <w:rPr>
          <w:rFonts w:ascii="宋体" w:hAnsi="宋体" w:cs="宋体"/>
          <w:i/>
          <w:caps/>
        </w:rPr>
        <w:fldChar w:fldCharType="separate"/>
      </w:r>
      <w:r>
        <w:rPr>
          <w:rFonts w:hint="eastAsia" w:ascii="宋体" w:hAnsi="宋体" w:eastAsia="宋体" w:cs="宋体"/>
          <w:szCs w:val="28"/>
        </w:rPr>
        <w:t>二、招标文件</w:t>
      </w:r>
      <w:r>
        <w:tab/>
      </w:r>
      <w:r>
        <w:fldChar w:fldCharType="begin"/>
      </w:r>
      <w:r>
        <w:instrText xml:space="preserve"> PAGEREF _Toc2795 \h </w:instrText>
      </w:r>
      <w:r>
        <w:fldChar w:fldCharType="separate"/>
      </w:r>
      <w:r>
        <w:t>9</w:t>
      </w:r>
      <w:r>
        <w:fldChar w:fldCharType="end"/>
      </w:r>
      <w:r>
        <w:rPr>
          <w:rFonts w:ascii="宋体" w:hAnsi="宋体" w:cs="宋体"/>
          <w:i/>
          <w:caps/>
        </w:rPr>
        <w:fldChar w:fldCharType="end"/>
      </w:r>
    </w:p>
    <w:p>
      <w:pPr>
        <w:pStyle w:val="62"/>
        <w:tabs>
          <w:tab w:val="right" w:leader="dot" w:pos="9071"/>
        </w:tabs>
      </w:pPr>
      <w:r>
        <w:rPr>
          <w:rFonts w:ascii="宋体" w:hAnsi="宋体" w:cs="宋体"/>
          <w:i/>
          <w:caps/>
        </w:rPr>
        <w:fldChar w:fldCharType="begin"/>
      </w:r>
      <w:r>
        <w:rPr>
          <w:rFonts w:ascii="宋体" w:hAnsi="宋体" w:cs="宋体"/>
          <w:i/>
          <w:caps/>
        </w:rPr>
        <w:instrText xml:space="preserve"> HYPERLINK \l _Toc20607 </w:instrText>
      </w:r>
      <w:r>
        <w:rPr>
          <w:rFonts w:ascii="宋体" w:hAnsi="宋体" w:cs="宋体"/>
          <w:i/>
          <w:caps/>
        </w:rPr>
        <w:fldChar w:fldCharType="separate"/>
      </w:r>
      <w:r>
        <w:rPr>
          <w:rFonts w:hint="eastAsia" w:ascii="宋体" w:hAnsi="宋体" w:eastAsia="宋体" w:cs="宋体"/>
          <w:szCs w:val="28"/>
        </w:rPr>
        <w:t>三、投标文件编写</w:t>
      </w:r>
      <w:r>
        <w:tab/>
      </w:r>
      <w:r>
        <w:fldChar w:fldCharType="begin"/>
      </w:r>
      <w:r>
        <w:instrText xml:space="preserve"> PAGEREF _Toc20607 \h </w:instrText>
      </w:r>
      <w:r>
        <w:fldChar w:fldCharType="separate"/>
      </w:r>
      <w:r>
        <w:t>9</w:t>
      </w:r>
      <w:r>
        <w:fldChar w:fldCharType="end"/>
      </w:r>
      <w:r>
        <w:rPr>
          <w:rFonts w:ascii="宋体" w:hAnsi="宋体" w:cs="宋体"/>
          <w:i/>
          <w:caps/>
        </w:rPr>
        <w:fldChar w:fldCharType="end"/>
      </w:r>
    </w:p>
    <w:p>
      <w:pPr>
        <w:pStyle w:val="62"/>
        <w:tabs>
          <w:tab w:val="right" w:leader="dot" w:pos="9071"/>
        </w:tabs>
      </w:pPr>
      <w:r>
        <w:rPr>
          <w:rFonts w:ascii="宋体" w:hAnsi="宋体" w:cs="宋体"/>
          <w:i/>
          <w:caps/>
        </w:rPr>
        <w:fldChar w:fldCharType="begin"/>
      </w:r>
      <w:r>
        <w:rPr>
          <w:rFonts w:ascii="宋体" w:hAnsi="宋体" w:cs="宋体"/>
          <w:i/>
          <w:caps/>
        </w:rPr>
        <w:instrText xml:space="preserve"> HYPERLINK \l _Toc4813 </w:instrText>
      </w:r>
      <w:r>
        <w:rPr>
          <w:rFonts w:ascii="宋体" w:hAnsi="宋体" w:cs="宋体"/>
          <w:i/>
          <w:caps/>
        </w:rPr>
        <w:fldChar w:fldCharType="separate"/>
      </w:r>
      <w:r>
        <w:rPr>
          <w:rFonts w:hint="eastAsia" w:ascii="宋体" w:hAnsi="宋体" w:eastAsia="宋体" w:cs="宋体"/>
          <w:szCs w:val="28"/>
        </w:rPr>
        <w:t>四、投标文件递交</w:t>
      </w:r>
      <w:r>
        <w:tab/>
      </w:r>
      <w:r>
        <w:fldChar w:fldCharType="begin"/>
      </w:r>
      <w:r>
        <w:instrText xml:space="preserve"> PAGEREF _Toc4813 \h </w:instrText>
      </w:r>
      <w:r>
        <w:fldChar w:fldCharType="separate"/>
      </w:r>
      <w:r>
        <w:t>14</w:t>
      </w:r>
      <w:r>
        <w:fldChar w:fldCharType="end"/>
      </w:r>
      <w:r>
        <w:rPr>
          <w:rFonts w:ascii="宋体" w:hAnsi="宋体" w:cs="宋体"/>
          <w:i/>
          <w:caps/>
        </w:rPr>
        <w:fldChar w:fldCharType="end"/>
      </w:r>
    </w:p>
    <w:p>
      <w:pPr>
        <w:pStyle w:val="62"/>
        <w:tabs>
          <w:tab w:val="right" w:leader="dot" w:pos="9071"/>
        </w:tabs>
      </w:pPr>
      <w:r>
        <w:rPr>
          <w:rFonts w:ascii="宋体" w:hAnsi="宋体" w:cs="宋体"/>
          <w:i/>
          <w:caps/>
        </w:rPr>
        <w:fldChar w:fldCharType="begin"/>
      </w:r>
      <w:r>
        <w:rPr>
          <w:rFonts w:ascii="宋体" w:hAnsi="宋体" w:cs="宋体"/>
          <w:i/>
          <w:caps/>
        </w:rPr>
        <w:instrText xml:space="preserve"> HYPERLINK \l _Toc6385 </w:instrText>
      </w:r>
      <w:r>
        <w:rPr>
          <w:rFonts w:ascii="宋体" w:hAnsi="宋体" w:cs="宋体"/>
          <w:i/>
          <w:caps/>
        </w:rPr>
        <w:fldChar w:fldCharType="separate"/>
      </w:r>
      <w:r>
        <w:rPr>
          <w:rFonts w:hint="eastAsia" w:ascii="宋体" w:hAnsi="宋体" w:eastAsia="宋体" w:cs="宋体"/>
          <w:szCs w:val="28"/>
        </w:rPr>
        <w:t>五、开标与评标</w:t>
      </w:r>
      <w:r>
        <w:tab/>
      </w:r>
      <w:r>
        <w:fldChar w:fldCharType="begin"/>
      </w:r>
      <w:r>
        <w:instrText xml:space="preserve"> PAGEREF _Toc6385 \h </w:instrText>
      </w:r>
      <w:r>
        <w:fldChar w:fldCharType="separate"/>
      </w:r>
      <w:r>
        <w:t>15</w:t>
      </w:r>
      <w:r>
        <w:fldChar w:fldCharType="end"/>
      </w:r>
      <w:r>
        <w:rPr>
          <w:rFonts w:ascii="宋体" w:hAnsi="宋体" w:cs="宋体"/>
          <w:i/>
          <w:caps/>
        </w:rPr>
        <w:fldChar w:fldCharType="end"/>
      </w:r>
    </w:p>
    <w:p>
      <w:pPr>
        <w:pStyle w:val="62"/>
        <w:tabs>
          <w:tab w:val="right" w:leader="dot" w:pos="9071"/>
        </w:tabs>
      </w:pPr>
      <w:r>
        <w:rPr>
          <w:rFonts w:ascii="宋体" w:hAnsi="宋体" w:cs="宋体"/>
          <w:i/>
          <w:caps/>
        </w:rPr>
        <w:fldChar w:fldCharType="begin"/>
      </w:r>
      <w:r>
        <w:rPr>
          <w:rFonts w:ascii="宋体" w:hAnsi="宋体" w:cs="宋体"/>
          <w:i/>
          <w:caps/>
        </w:rPr>
        <w:instrText xml:space="preserve"> HYPERLINK \l _Toc19661 </w:instrText>
      </w:r>
      <w:r>
        <w:rPr>
          <w:rFonts w:ascii="宋体" w:hAnsi="宋体" w:cs="宋体"/>
          <w:i/>
          <w:caps/>
        </w:rPr>
        <w:fldChar w:fldCharType="separate"/>
      </w:r>
      <w:r>
        <w:rPr>
          <w:rFonts w:hint="eastAsia" w:ascii="宋体" w:hAnsi="宋体" w:eastAsia="宋体" w:cs="宋体"/>
          <w:szCs w:val="28"/>
        </w:rPr>
        <w:t>六、授予合同</w:t>
      </w:r>
      <w:r>
        <w:tab/>
      </w:r>
      <w:r>
        <w:fldChar w:fldCharType="begin"/>
      </w:r>
      <w:r>
        <w:instrText xml:space="preserve"> PAGEREF _Toc19661 \h </w:instrText>
      </w:r>
      <w:r>
        <w:fldChar w:fldCharType="separate"/>
      </w:r>
      <w:r>
        <w:t>16</w:t>
      </w:r>
      <w:r>
        <w:fldChar w:fldCharType="end"/>
      </w:r>
      <w:r>
        <w:rPr>
          <w:rFonts w:ascii="宋体" w:hAnsi="宋体" w:cs="宋体"/>
          <w:i/>
          <w:caps/>
        </w:rPr>
        <w:fldChar w:fldCharType="end"/>
      </w:r>
    </w:p>
    <w:p>
      <w:pPr>
        <w:pStyle w:val="62"/>
        <w:tabs>
          <w:tab w:val="right" w:leader="dot" w:pos="9071"/>
        </w:tabs>
      </w:pPr>
      <w:r>
        <w:rPr>
          <w:rFonts w:ascii="宋体" w:hAnsi="宋体" w:cs="宋体"/>
          <w:i/>
          <w:caps/>
        </w:rPr>
        <w:fldChar w:fldCharType="begin"/>
      </w:r>
      <w:r>
        <w:rPr>
          <w:rFonts w:ascii="宋体" w:hAnsi="宋体" w:cs="宋体"/>
          <w:i/>
          <w:caps/>
        </w:rPr>
        <w:instrText xml:space="preserve"> HYPERLINK \l _Toc5644 </w:instrText>
      </w:r>
      <w:r>
        <w:rPr>
          <w:rFonts w:ascii="宋体" w:hAnsi="宋体" w:cs="宋体"/>
          <w:i/>
          <w:caps/>
        </w:rPr>
        <w:fldChar w:fldCharType="separate"/>
      </w:r>
      <w:r>
        <w:rPr>
          <w:rFonts w:hint="eastAsia" w:ascii="宋体" w:hAnsi="宋体" w:eastAsia="宋体" w:cs="宋体"/>
          <w:szCs w:val="28"/>
        </w:rPr>
        <w:t>七、相关费用</w:t>
      </w:r>
      <w:r>
        <w:tab/>
      </w:r>
      <w:r>
        <w:fldChar w:fldCharType="begin"/>
      </w:r>
      <w:r>
        <w:instrText xml:space="preserve"> PAGEREF _Toc5644 \h </w:instrText>
      </w:r>
      <w:r>
        <w:fldChar w:fldCharType="separate"/>
      </w:r>
      <w:r>
        <w:t>18</w:t>
      </w:r>
      <w:r>
        <w:fldChar w:fldCharType="end"/>
      </w:r>
      <w:r>
        <w:rPr>
          <w:rFonts w:ascii="宋体" w:hAnsi="宋体" w:cs="宋体"/>
          <w:i/>
          <w:caps/>
        </w:rPr>
        <w:fldChar w:fldCharType="end"/>
      </w:r>
    </w:p>
    <w:p>
      <w:pPr>
        <w:pStyle w:val="62"/>
        <w:tabs>
          <w:tab w:val="right" w:leader="dot" w:pos="9071"/>
        </w:tabs>
      </w:pPr>
      <w:r>
        <w:rPr>
          <w:rFonts w:ascii="宋体" w:hAnsi="宋体" w:cs="宋体"/>
          <w:i/>
          <w:caps/>
        </w:rPr>
        <w:fldChar w:fldCharType="begin"/>
      </w:r>
      <w:r>
        <w:rPr>
          <w:rFonts w:ascii="宋体" w:hAnsi="宋体" w:cs="宋体"/>
          <w:i/>
          <w:caps/>
        </w:rPr>
        <w:instrText xml:space="preserve"> HYPERLINK \l _Toc9420 </w:instrText>
      </w:r>
      <w:r>
        <w:rPr>
          <w:rFonts w:ascii="宋体" w:hAnsi="宋体" w:cs="宋体"/>
          <w:i/>
          <w:caps/>
        </w:rPr>
        <w:fldChar w:fldCharType="separate"/>
      </w:r>
      <w:r>
        <w:rPr>
          <w:rFonts w:hint="eastAsia" w:ascii="宋体" w:hAnsi="宋体" w:eastAsia="宋体" w:cs="宋体"/>
          <w:szCs w:val="28"/>
        </w:rPr>
        <w:t>八、解释权</w:t>
      </w:r>
      <w:r>
        <w:tab/>
      </w:r>
      <w:r>
        <w:fldChar w:fldCharType="begin"/>
      </w:r>
      <w:r>
        <w:instrText xml:space="preserve"> PAGEREF _Toc9420 \h </w:instrText>
      </w:r>
      <w:r>
        <w:fldChar w:fldCharType="separate"/>
      </w:r>
      <w:r>
        <w:t>18</w:t>
      </w:r>
      <w:r>
        <w:fldChar w:fldCharType="end"/>
      </w:r>
      <w:r>
        <w:rPr>
          <w:rFonts w:ascii="宋体" w:hAnsi="宋体" w:cs="宋体"/>
          <w:i/>
          <w:caps/>
        </w:rPr>
        <w:fldChar w:fldCharType="end"/>
      </w:r>
    </w:p>
    <w:p>
      <w:pPr>
        <w:pStyle w:val="62"/>
        <w:tabs>
          <w:tab w:val="right" w:leader="dot" w:pos="9071"/>
        </w:tabs>
      </w:pPr>
      <w:r>
        <w:rPr>
          <w:rFonts w:ascii="宋体" w:hAnsi="宋体" w:cs="宋体"/>
          <w:i/>
          <w:caps/>
        </w:rPr>
        <w:fldChar w:fldCharType="begin"/>
      </w:r>
      <w:r>
        <w:rPr>
          <w:rFonts w:ascii="宋体" w:hAnsi="宋体" w:cs="宋体"/>
          <w:i/>
          <w:caps/>
        </w:rPr>
        <w:instrText xml:space="preserve"> HYPERLINK \l _Toc11848 </w:instrText>
      </w:r>
      <w:r>
        <w:rPr>
          <w:rFonts w:ascii="宋体" w:hAnsi="宋体" w:cs="宋体"/>
          <w:i/>
          <w:caps/>
        </w:rPr>
        <w:fldChar w:fldCharType="separate"/>
      </w:r>
      <w:r>
        <w:rPr>
          <w:rFonts w:hint="eastAsia" w:ascii="宋体" w:hAnsi="宋体" w:eastAsia="宋体" w:cs="宋体"/>
          <w:szCs w:val="28"/>
        </w:rPr>
        <w:t>九、其他</w:t>
      </w:r>
      <w:r>
        <w:tab/>
      </w:r>
      <w:r>
        <w:fldChar w:fldCharType="begin"/>
      </w:r>
      <w:r>
        <w:instrText xml:space="preserve"> PAGEREF _Toc11848 \h </w:instrText>
      </w:r>
      <w:r>
        <w:fldChar w:fldCharType="separate"/>
      </w:r>
      <w:r>
        <w:t>18</w:t>
      </w:r>
      <w:r>
        <w:fldChar w:fldCharType="end"/>
      </w:r>
      <w:r>
        <w:rPr>
          <w:rFonts w:ascii="宋体" w:hAnsi="宋体" w:cs="宋体"/>
          <w:i/>
          <w:caps/>
        </w:rPr>
        <w:fldChar w:fldCharType="end"/>
      </w:r>
    </w:p>
    <w:p>
      <w:pPr>
        <w:pStyle w:val="52"/>
        <w:tabs>
          <w:tab w:val="right" w:leader="dot" w:pos="9071"/>
        </w:tabs>
      </w:pPr>
      <w:r>
        <w:rPr>
          <w:rFonts w:ascii="宋体" w:hAnsi="宋体" w:cs="宋体"/>
          <w:i/>
          <w:caps/>
        </w:rPr>
        <w:fldChar w:fldCharType="begin"/>
      </w:r>
      <w:r>
        <w:rPr>
          <w:rFonts w:ascii="宋体" w:hAnsi="宋体" w:cs="宋体"/>
          <w:i/>
          <w:caps/>
        </w:rPr>
        <w:instrText xml:space="preserve"> HYPERLINK \l _Toc20746 </w:instrText>
      </w:r>
      <w:r>
        <w:rPr>
          <w:rFonts w:ascii="宋体" w:hAnsi="宋体" w:cs="宋体"/>
          <w:i/>
          <w:caps/>
        </w:rPr>
        <w:fldChar w:fldCharType="separate"/>
      </w:r>
      <w:r>
        <w:rPr>
          <w:rFonts w:ascii="宋体" w:hAnsi="宋体"/>
        </w:rPr>
        <w:t>第三章</w:t>
      </w:r>
      <w:r>
        <w:rPr>
          <w:rFonts w:hint="eastAsia" w:ascii="宋体" w:hAnsi="宋体"/>
        </w:rPr>
        <w:t xml:space="preserve">  评标方法</w:t>
      </w:r>
      <w:r>
        <w:tab/>
      </w:r>
      <w:r>
        <w:fldChar w:fldCharType="begin"/>
      </w:r>
      <w:r>
        <w:instrText xml:space="preserve"> PAGEREF _Toc20746 \h </w:instrText>
      </w:r>
      <w:r>
        <w:fldChar w:fldCharType="separate"/>
      </w:r>
      <w:r>
        <w:t>19</w:t>
      </w:r>
      <w:r>
        <w:fldChar w:fldCharType="end"/>
      </w:r>
      <w:r>
        <w:rPr>
          <w:rFonts w:ascii="宋体" w:hAnsi="宋体" w:cs="宋体"/>
          <w:i/>
          <w:caps/>
        </w:rPr>
        <w:fldChar w:fldCharType="end"/>
      </w:r>
    </w:p>
    <w:p>
      <w:pPr>
        <w:pStyle w:val="52"/>
        <w:tabs>
          <w:tab w:val="right" w:leader="dot" w:pos="9071"/>
        </w:tabs>
      </w:pPr>
      <w:r>
        <w:rPr>
          <w:rFonts w:ascii="宋体" w:hAnsi="宋体" w:cs="宋体"/>
          <w:i/>
          <w:caps/>
        </w:rPr>
        <w:fldChar w:fldCharType="begin"/>
      </w:r>
      <w:r>
        <w:rPr>
          <w:rFonts w:ascii="宋体" w:hAnsi="宋体" w:cs="宋体"/>
          <w:i/>
          <w:caps/>
        </w:rPr>
        <w:instrText xml:space="preserve"> HYPERLINK \l _Toc18893 </w:instrText>
      </w:r>
      <w:r>
        <w:rPr>
          <w:rFonts w:ascii="宋体" w:hAnsi="宋体" w:cs="宋体"/>
          <w:i/>
          <w:caps/>
        </w:rPr>
        <w:fldChar w:fldCharType="separate"/>
      </w:r>
      <w:r>
        <w:rPr>
          <w:rFonts w:hint="eastAsia" w:ascii="宋体" w:hAnsi="宋体"/>
        </w:rPr>
        <w:t>第四章  技术规格及技术要求</w:t>
      </w:r>
      <w:r>
        <w:tab/>
      </w:r>
      <w:r>
        <w:fldChar w:fldCharType="begin"/>
      </w:r>
      <w:r>
        <w:instrText xml:space="preserve"> PAGEREF _Toc18893 \h </w:instrText>
      </w:r>
      <w:r>
        <w:fldChar w:fldCharType="separate"/>
      </w:r>
      <w:r>
        <w:t>21</w:t>
      </w:r>
      <w:r>
        <w:fldChar w:fldCharType="end"/>
      </w:r>
      <w:r>
        <w:rPr>
          <w:rFonts w:ascii="宋体" w:hAnsi="宋体" w:cs="宋体"/>
          <w:i/>
          <w:caps/>
        </w:rPr>
        <w:fldChar w:fldCharType="end"/>
      </w:r>
    </w:p>
    <w:p>
      <w:pPr>
        <w:pStyle w:val="52"/>
        <w:tabs>
          <w:tab w:val="right" w:leader="dot" w:pos="9071"/>
        </w:tabs>
      </w:pPr>
      <w:r>
        <w:rPr>
          <w:rFonts w:ascii="宋体" w:hAnsi="宋体" w:cs="宋体"/>
          <w:i/>
          <w:caps/>
        </w:rPr>
        <w:fldChar w:fldCharType="begin"/>
      </w:r>
      <w:r>
        <w:rPr>
          <w:rFonts w:ascii="宋体" w:hAnsi="宋体" w:cs="宋体"/>
          <w:i/>
          <w:caps/>
        </w:rPr>
        <w:instrText xml:space="preserve"> HYPERLINK \l _Toc8284 </w:instrText>
      </w:r>
      <w:r>
        <w:rPr>
          <w:rFonts w:ascii="宋体" w:hAnsi="宋体" w:cs="宋体"/>
          <w:i/>
          <w:caps/>
        </w:rPr>
        <w:fldChar w:fldCharType="separate"/>
      </w:r>
      <w:r>
        <w:rPr>
          <w:rFonts w:hint="eastAsia" w:ascii="宋体" w:hAnsi="宋体" w:eastAsia="宋体" w:cs="宋体"/>
          <w:bCs w:val="0"/>
          <w:kern w:val="2"/>
          <w:szCs w:val="21"/>
        </w:rPr>
        <w:t>1．项目概况及货物的使用环境</w:t>
      </w:r>
      <w:r>
        <w:tab/>
      </w:r>
      <w:r>
        <w:fldChar w:fldCharType="begin"/>
      </w:r>
      <w:r>
        <w:instrText xml:space="preserve"> PAGEREF _Toc8284 \h </w:instrText>
      </w:r>
      <w:r>
        <w:fldChar w:fldCharType="separate"/>
      </w:r>
      <w:r>
        <w:t>21</w:t>
      </w:r>
      <w:r>
        <w:fldChar w:fldCharType="end"/>
      </w:r>
      <w:r>
        <w:rPr>
          <w:rFonts w:ascii="宋体" w:hAnsi="宋体" w:cs="宋体"/>
          <w:i/>
          <w:caps/>
        </w:rPr>
        <w:fldChar w:fldCharType="end"/>
      </w:r>
    </w:p>
    <w:p>
      <w:pPr>
        <w:pStyle w:val="52"/>
        <w:tabs>
          <w:tab w:val="right" w:leader="dot" w:pos="9071"/>
        </w:tabs>
      </w:pPr>
      <w:r>
        <w:rPr>
          <w:rFonts w:ascii="宋体" w:hAnsi="宋体" w:cs="宋体"/>
          <w:i/>
          <w:caps/>
        </w:rPr>
        <w:fldChar w:fldCharType="begin"/>
      </w:r>
      <w:r>
        <w:rPr>
          <w:rFonts w:ascii="宋体" w:hAnsi="宋体" w:cs="宋体"/>
          <w:i/>
          <w:caps/>
        </w:rPr>
        <w:instrText xml:space="preserve"> HYPERLINK \l _Toc28250 </w:instrText>
      </w:r>
      <w:r>
        <w:rPr>
          <w:rFonts w:ascii="宋体" w:hAnsi="宋体" w:cs="宋体"/>
          <w:i/>
          <w:caps/>
        </w:rPr>
        <w:fldChar w:fldCharType="separate"/>
      </w:r>
      <w:r>
        <w:rPr>
          <w:rFonts w:hint="eastAsia" w:ascii="宋体" w:hAnsi="宋体" w:eastAsia="宋体" w:cs="宋体"/>
          <w:bCs w:val="0"/>
          <w:kern w:val="2"/>
          <w:szCs w:val="21"/>
        </w:rPr>
        <w:t>2．货物需求一览表</w:t>
      </w:r>
      <w:r>
        <w:tab/>
      </w:r>
      <w:r>
        <w:fldChar w:fldCharType="begin"/>
      </w:r>
      <w:r>
        <w:instrText xml:space="preserve"> PAGEREF _Toc28250 \h </w:instrText>
      </w:r>
      <w:r>
        <w:fldChar w:fldCharType="separate"/>
      </w:r>
      <w:r>
        <w:t>21</w:t>
      </w:r>
      <w:r>
        <w:fldChar w:fldCharType="end"/>
      </w:r>
      <w:r>
        <w:rPr>
          <w:rFonts w:ascii="宋体" w:hAnsi="宋体" w:cs="宋体"/>
          <w:i/>
          <w:caps/>
        </w:rPr>
        <w:fldChar w:fldCharType="end"/>
      </w:r>
    </w:p>
    <w:p>
      <w:pPr>
        <w:pStyle w:val="52"/>
        <w:tabs>
          <w:tab w:val="right" w:leader="dot" w:pos="9071"/>
        </w:tabs>
      </w:pPr>
      <w:r>
        <w:rPr>
          <w:rFonts w:ascii="宋体" w:hAnsi="宋体" w:cs="宋体"/>
          <w:i/>
          <w:caps/>
        </w:rPr>
        <w:fldChar w:fldCharType="begin"/>
      </w:r>
      <w:r>
        <w:rPr>
          <w:rFonts w:ascii="宋体" w:hAnsi="宋体" w:cs="宋体"/>
          <w:i/>
          <w:caps/>
        </w:rPr>
        <w:instrText xml:space="preserve"> HYPERLINK \l _Toc4818 </w:instrText>
      </w:r>
      <w:r>
        <w:rPr>
          <w:rFonts w:ascii="宋体" w:hAnsi="宋体" w:cs="宋体"/>
          <w:i/>
          <w:caps/>
        </w:rPr>
        <w:fldChar w:fldCharType="separate"/>
      </w:r>
      <w:r>
        <w:rPr>
          <w:rFonts w:hint="eastAsia" w:ascii="宋体" w:hAnsi="宋体" w:eastAsia="宋体" w:cs="宋体"/>
          <w:bCs w:val="0"/>
          <w:kern w:val="2"/>
          <w:szCs w:val="21"/>
        </w:rPr>
        <w:t>1、供货内容</w:t>
      </w:r>
      <w:r>
        <w:tab/>
      </w:r>
      <w:r>
        <w:fldChar w:fldCharType="begin"/>
      </w:r>
      <w:r>
        <w:instrText xml:space="preserve"> PAGEREF _Toc4818 \h </w:instrText>
      </w:r>
      <w:r>
        <w:fldChar w:fldCharType="separate"/>
      </w:r>
      <w:r>
        <w:t>21</w:t>
      </w:r>
      <w:r>
        <w:fldChar w:fldCharType="end"/>
      </w:r>
      <w:r>
        <w:rPr>
          <w:rFonts w:ascii="宋体" w:hAnsi="宋体" w:cs="宋体"/>
          <w:i/>
          <w:caps/>
        </w:rPr>
        <w:fldChar w:fldCharType="end"/>
      </w:r>
    </w:p>
    <w:p>
      <w:pPr>
        <w:pStyle w:val="52"/>
        <w:tabs>
          <w:tab w:val="right" w:leader="dot" w:pos="9071"/>
        </w:tabs>
      </w:pPr>
      <w:r>
        <w:rPr>
          <w:rFonts w:ascii="宋体" w:hAnsi="宋体" w:cs="宋体"/>
          <w:i/>
          <w:caps/>
        </w:rPr>
        <w:fldChar w:fldCharType="begin"/>
      </w:r>
      <w:r>
        <w:rPr>
          <w:rFonts w:ascii="宋体" w:hAnsi="宋体" w:cs="宋体"/>
          <w:i/>
          <w:caps/>
        </w:rPr>
        <w:instrText xml:space="preserve"> HYPERLINK \l _Toc16705 </w:instrText>
      </w:r>
      <w:r>
        <w:rPr>
          <w:rFonts w:ascii="宋体" w:hAnsi="宋体" w:cs="宋体"/>
          <w:i/>
          <w:caps/>
        </w:rPr>
        <w:fldChar w:fldCharType="separate"/>
      </w:r>
      <w:r>
        <w:rPr>
          <w:rFonts w:hint="eastAsia" w:ascii="宋体" w:hAnsi="宋体"/>
        </w:rPr>
        <w:t>第五章   设备采购合同</w:t>
      </w:r>
      <w:r>
        <w:tab/>
      </w:r>
      <w:r>
        <w:fldChar w:fldCharType="begin"/>
      </w:r>
      <w:r>
        <w:instrText xml:space="preserve"> PAGEREF _Toc16705 \h </w:instrText>
      </w:r>
      <w:r>
        <w:fldChar w:fldCharType="separate"/>
      </w:r>
      <w:r>
        <w:t>46</w:t>
      </w:r>
      <w:r>
        <w:fldChar w:fldCharType="end"/>
      </w:r>
      <w:r>
        <w:rPr>
          <w:rFonts w:ascii="宋体" w:hAnsi="宋体" w:cs="宋体"/>
          <w:i/>
          <w:caps/>
        </w:rPr>
        <w:fldChar w:fldCharType="end"/>
      </w:r>
    </w:p>
    <w:p>
      <w:pPr>
        <w:pStyle w:val="52"/>
        <w:tabs>
          <w:tab w:val="right" w:leader="dot" w:pos="9071"/>
        </w:tabs>
      </w:pPr>
      <w:r>
        <w:rPr>
          <w:rFonts w:ascii="宋体" w:hAnsi="宋体" w:cs="宋体"/>
          <w:i/>
          <w:caps/>
        </w:rPr>
        <w:fldChar w:fldCharType="begin"/>
      </w:r>
      <w:r>
        <w:rPr>
          <w:rFonts w:ascii="宋体" w:hAnsi="宋体" w:cs="宋体"/>
          <w:i/>
          <w:caps/>
        </w:rPr>
        <w:instrText xml:space="preserve"> HYPERLINK \l _Toc29600 </w:instrText>
      </w:r>
      <w:r>
        <w:rPr>
          <w:rFonts w:ascii="宋体" w:hAnsi="宋体" w:cs="宋体"/>
          <w:i/>
          <w:caps/>
        </w:rPr>
        <w:fldChar w:fldCharType="separate"/>
      </w:r>
      <w:r>
        <w:rPr>
          <w:rFonts w:hint="eastAsia" w:ascii="黑体" w:hAnsi="黑体" w:eastAsia="黑体" w:cstheme="minorEastAsia"/>
          <w:szCs w:val="28"/>
        </w:rPr>
        <w:t>1 合同设备</w:t>
      </w:r>
      <w:r>
        <w:tab/>
      </w:r>
      <w:r>
        <w:fldChar w:fldCharType="begin"/>
      </w:r>
      <w:r>
        <w:instrText xml:space="preserve"> PAGEREF _Toc29600 \h </w:instrText>
      </w:r>
      <w:r>
        <w:fldChar w:fldCharType="separate"/>
      </w:r>
      <w:r>
        <w:t>47</w:t>
      </w:r>
      <w:r>
        <w:fldChar w:fldCharType="end"/>
      </w:r>
      <w:r>
        <w:rPr>
          <w:rFonts w:ascii="宋体" w:hAnsi="宋体" w:cs="宋体"/>
          <w:i/>
          <w:caps/>
        </w:rPr>
        <w:fldChar w:fldCharType="end"/>
      </w:r>
    </w:p>
    <w:p>
      <w:pPr>
        <w:pStyle w:val="52"/>
        <w:tabs>
          <w:tab w:val="right" w:leader="dot" w:pos="9071"/>
        </w:tabs>
      </w:pPr>
      <w:r>
        <w:rPr>
          <w:rFonts w:ascii="宋体" w:hAnsi="宋体" w:cs="宋体"/>
          <w:i/>
          <w:caps/>
        </w:rPr>
        <w:fldChar w:fldCharType="begin"/>
      </w:r>
      <w:r>
        <w:rPr>
          <w:rFonts w:ascii="宋体" w:hAnsi="宋体" w:cs="宋体"/>
          <w:i/>
          <w:caps/>
        </w:rPr>
        <w:instrText xml:space="preserve"> HYPERLINK \l _Toc5645 </w:instrText>
      </w:r>
      <w:r>
        <w:rPr>
          <w:rFonts w:ascii="宋体" w:hAnsi="宋体" w:cs="宋体"/>
          <w:i/>
          <w:caps/>
        </w:rPr>
        <w:fldChar w:fldCharType="separate"/>
      </w:r>
      <w:r>
        <w:rPr>
          <w:rFonts w:hint="eastAsia" w:ascii="黑体" w:hAnsi="黑体" w:eastAsia="黑体" w:cstheme="minorEastAsia"/>
          <w:szCs w:val="28"/>
        </w:rPr>
        <w:t>2 包装</w:t>
      </w:r>
      <w:r>
        <w:tab/>
      </w:r>
      <w:r>
        <w:fldChar w:fldCharType="begin"/>
      </w:r>
      <w:r>
        <w:instrText xml:space="preserve"> PAGEREF _Toc5645 \h </w:instrText>
      </w:r>
      <w:r>
        <w:fldChar w:fldCharType="separate"/>
      </w:r>
      <w:r>
        <w:t>47</w:t>
      </w:r>
      <w:r>
        <w:fldChar w:fldCharType="end"/>
      </w:r>
      <w:r>
        <w:rPr>
          <w:rFonts w:ascii="宋体" w:hAnsi="宋体" w:cs="宋体"/>
          <w:i/>
          <w:caps/>
        </w:rPr>
        <w:fldChar w:fldCharType="end"/>
      </w:r>
    </w:p>
    <w:p>
      <w:pPr>
        <w:pStyle w:val="52"/>
        <w:tabs>
          <w:tab w:val="right" w:leader="dot" w:pos="9071"/>
        </w:tabs>
      </w:pPr>
      <w:r>
        <w:rPr>
          <w:rFonts w:ascii="宋体" w:hAnsi="宋体" w:cs="宋体"/>
          <w:i/>
          <w:caps/>
        </w:rPr>
        <w:fldChar w:fldCharType="begin"/>
      </w:r>
      <w:r>
        <w:rPr>
          <w:rFonts w:ascii="宋体" w:hAnsi="宋体" w:cs="宋体"/>
          <w:i/>
          <w:caps/>
        </w:rPr>
        <w:instrText xml:space="preserve"> HYPERLINK \l _Toc19481 </w:instrText>
      </w:r>
      <w:r>
        <w:rPr>
          <w:rFonts w:ascii="宋体" w:hAnsi="宋体" w:cs="宋体"/>
          <w:i/>
          <w:caps/>
        </w:rPr>
        <w:fldChar w:fldCharType="separate"/>
      </w:r>
      <w:r>
        <w:rPr>
          <w:rFonts w:hint="eastAsia" w:ascii="黑体" w:hAnsi="黑体" w:eastAsia="黑体" w:cstheme="minorEastAsia"/>
          <w:szCs w:val="28"/>
        </w:rPr>
        <w:t>3 运输标记</w:t>
      </w:r>
      <w:r>
        <w:tab/>
      </w:r>
      <w:r>
        <w:fldChar w:fldCharType="begin"/>
      </w:r>
      <w:r>
        <w:instrText xml:space="preserve"> PAGEREF _Toc19481 \h </w:instrText>
      </w:r>
      <w:r>
        <w:fldChar w:fldCharType="separate"/>
      </w:r>
      <w:r>
        <w:t>47</w:t>
      </w:r>
      <w:r>
        <w:fldChar w:fldCharType="end"/>
      </w:r>
      <w:r>
        <w:rPr>
          <w:rFonts w:ascii="宋体" w:hAnsi="宋体" w:cs="宋体"/>
          <w:i/>
          <w:caps/>
        </w:rPr>
        <w:fldChar w:fldCharType="end"/>
      </w:r>
    </w:p>
    <w:p>
      <w:pPr>
        <w:pStyle w:val="52"/>
        <w:tabs>
          <w:tab w:val="right" w:leader="dot" w:pos="9071"/>
        </w:tabs>
      </w:pPr>
      <w:r>
        <w:rPr>
          <w:rFonts w:ascii="宋体" w:hAnsi="宋体" w:cs="宋体"/>
          <w:i/>
          <w:caps/>
        </w:rPr>
        <w:fldChar w:fldCharType="begin"/>
      </w:r>
      <w:r>
        <w:rPr>
          <w:rFonts w:ascii="宋体" w:hAnsi="宋体" w:cs="宋体"/>
          <w:i/>
          <w:caps/>
        </w:rPr>
        <w:instrText xml:space="preserve"> HYPERLINK \l _Toc13355 </w:instrText>
      </w:r>
      <w:r>
        <w:rPr>
          <w:rFonts w:ascii="宋体" w:hAnsi="宋体" w:cs="宋体"/>
          <w:i/>
          <w:caps/>
        </w:rPr>
        <w:fldChar w:fldCharType="separate"/>
      </w:r>
      <w:r>
        <w:rPr>
          <w:rFonts w:hint="eastAsia" w:ascii="黑体" w:hAnsi="黑体" w:eastAsia="黑体" w:cstheme="minorEastAsia"/>
          <w:szCs w:val="28"/>
        </w:rPr>
        <w:t>4 检验</w:t>
      </w:r>
      <w:r>
        <w:tab/>
      </w:r>
      <w:r>
        <w:fldChar w:fldCharType="begin"/>
      </w:r>
      <w:r>
        <w:instrText xml:space="preserve"> PAGEREF _Toc13355 \h </w:instrText>
      </w:r>
      <w:r>
        <w:fldChar w:fldCharType="separate"/>
      </w:r>
      <w:r>
        <w:t>48</w:t>
      </w:r>
      <w:r>
        <w:fldChar w:fldCharType="end"/>
      </w:r>
      <w:r>
        <w:rPr>
          <w:rFonts w:ascii="宋体" w:hAnsi="宋体" w:cs="宋体"/>
          <w:i/>
          <w:caps/>
        </w:rPr>
        <w:fldChar w:fldCharType="end"/>
      </w:r>
    </w:p>
    <w:p>
      <w:pPr>
        <w:pStyle w:val="52"/>
        <w:tabs>
          <w:tab w:val="right" w:leader="dot" w:pos="9071"/>
        </w:tabs>
      </w:pPr>
      <w:r>
        <w:rPr>
          <w:rFonts w:ascii="宋体" w:hAnsi="宋体" w:cs="宋体"/>
          <w:i/>
          <w:caps/>
        </w:rPr>
        <w:fldChar w:fldCharType="begin"/>
      </w:r>
      <w:r>
        <w:rPr>
          <w:rFonts w:ascii="宋体" w:hAnsi="宋体" w:cs="宋体"/>
          <w:i/>
          <w:caps/>
        </w:rPr>
        <w:instrText xml:space="preserve"> HYPERLINK \l _Toc30399 </w:instrText>
      </w:r>
      <w:r>
        <w:rPr>
          <w:rFonts w:ascii="宋体" w:hAnsi="宋体" w:cs="宋体"/>
          <w:i/>
          <w:caps/>
        </w:rPr>
        <w:fldChar w:fldCharType="separate"/>
      </w:r>
      <w:r>
        <w:rPr>
          <w:rFonts w:hint="eastAsia" w:ascii="黑体" w:hAnsi="黑体" w:eastAsia="黑体" w:cstheme="minorEastAsia"/>
          <w:szCs w:val="28"/>
        </w:rPr>
        <w:t>5 权利担保</w:t>
      </w:r>
      <w:r>
        <w:tab/>
      </w:r>
      <w:r>
        <w:fldChar w:fldCharType="begin"/>
      </w:r>
      <w:r>
        <w:instrText xml:space="preserve"> PAGEREF _Toc30399 \h </w:instrText>
      </w:r>
      <w:r>
        <w:fldChar w:fldCharType="separate"/>
      </w:r>
      <w:r>
        <w:t>48</w:t>
      </w:r>
      <w:r>
        <w:fldChar w:fldCharType="end"/>
      </w:r>
      <w:r>
        <w:rPr>
          <w:rFonts w:ascii="宋体" w:hAnsi="宋体" w:cs="宋体"/>
          <w:i/>
          <w:caps/>
        </w:rPr>
        <w:fldChar w:fldCharType="end"/>
      </w:r>
    </w:p>
    <w:p>
      <w:pPr>
        <w:pStyle w:val="52"/>
        <w:tabs>
          <w:tab w:val="right" w:leader="dot" w:pos="9071"/>
        </w:tabs>
      </w:pPr>
      <w:r>
        <w:rPr>
          <w:rFonts w:ascii="宋体" w:hAnsi="宋体" w:cs="宋体"/>
          <w:i/>
          <w:caps/>
        </w:rPr>
        <w:fldChar w:fldCharType="begin"/>
      </w:r>
      <w:r>
        <w:rPr>
          <w:rFonts w:ascii="宋体" w:hAnsi="宋体" w:cs="宋体"/>
          <w:i/>
          <w:caps/>
        </w:rPr>
        <w:instrText xml:space="preserve"> HYPERLINK \l _Toc12889 </w:instrText>
      </w:r>
      <w:r>
        <w:rPr>
          <w:rFonts w:ascii="宋体" w:hAnsi="宋体" w:cs="宋体"/>
          <w:i/>
          <w:caps/>
        </w:rPr>
        <w:fldChar w:fldCharType="separate"/>
      </w:r>
      <w:r>
        <w:rPr>
          <w:rFonts w:hint="eastAsia" w:ascii="黑体" w:hAnsi="黑体" w:eastAsia="黑体" w:cstheme="minorEastAsia"/>
          <w:szCs w:val="28"/>
        </w:rPr>
        <w:t>6 交货</w:t>
      </w:r>
      <w:r>
        <w:tab/>
      </w:r>
      <w:r>
        <w:fldChar w:fldCharType="begin"/>
      </w:r>
      <w:r>
        <w:instrText xml:space="preserve"> PAGEREF _Toc12889 \h </w:instrText>
      </w:r>
      <w:r>
        <w:fldChar w:fldCharType="separate"/>
      </w:r>
      <w:r>
        <w:t>49</w:t>
      </w:r>
      <w:r>
        <w:fldChar w:fldCharType="end"/>
      </w:r>
      <w:r>
        <w:rPr>
          <w:rFonts w:ascii="宋体" w:hAnsi="宋体" w:cs="宋体"/>
          <w:i/>
          <w:caps/>
        </w:rPr>
        <w:fldChar w:fldCharType="end"/>
      </w:r>
    </w:p>
    <w:p>
      <w:pPr>
        <w:pStyle w:val="52"/>
        <w:tabs>
          <w:tab w:val="right" w:leader="dot" w:pos="9071"/>
        </w:tabs>
      </w:pPr>
      <w:r>
        <w:rPr>
          <w:rFonts w:ascii="宋体" w:hAnsi="宋体" w:cs="宋体"/>
          <w:i/>
          <w:caps/>
        </w:rPr>
        <w:fldChar w:fldCharType="begin"/>
      </w:r>
      <w:r>
        <w:rPr>
          <w:rFonts w:ascii="宋体" w:hAnsi="宋体" w:cs="宋体"/>
          <w:i/>
          <w:caps/>
        </w:rPr>
        <w:instrText xml:space="preserve"> HYPERLINK \l _Toc23165 </w:instrText>
      </w:r>
      <w:r>
        <w:rPr>
          <w:rFonts w:ascii="宋体" w:hAnsi="宋体" w:cs="宋体"/>
          <w:i/>
          <w:caps/>
        </w:rPr>
        <w:fldChar w:fldCharType="separate"/>
      </w:r>
      <w:r>
        <w:rPr>
          <w:rFonts w:hint="eastAsia" w:ascii="黑体" w:hAnsi="黑体" w:eastAsia="黑体" w:cstheme="minorEastAsia"/>
          <w:szCs w:val="28"/>
        </w:rPr>
        <w:t>7 安装、调试</w:t>
      </w:r>
      <w:r>
        <w:tab/>
      </w:r>
      <w:r>
        <w:fldChar w:fldCharType="begin"/>
      </w:r>
      <w:r>
        <w:instrText xml:space="preserve"> PAGEREF _Toc23165 \h </w:instrText>
      </w:r>
      <w:r>
        <w:fldChar w:fldCharType="separate"/>
      </w:r>
      <w:r>
        <w:t>50</w:t>
      </w:r>
      <w:r>
        <w:fldChar w:fldCharType="end"/>
      </w:r>
      <w:r>
        <w:rPr>
          <w:rFonts w:ascii="宋体" w:hAnsi="宋体" w:cs="宋体"/>
          <w:i/>
          <w:caps/>
        </w:rPr>
        <w:fldChar w:fldCharType="end"/>
      </w:r>
    </w:p>
    <w:p>
      <w:pPr>
        <w:pStyle w:val="52"/>
        <w:tabs>
          <w:tab w:val="right" w:leader="dot" w:pos="9071"/>
        </w:tabs>
      </w:pPr>
      <w:r>
        <w:rPr>
          <w:rFonts w:ascii="宋体" w:hAnsi="宋体" w:cs="宋体"/>
          <w:i/>
          <w:caps/>
        </w:rPr>
        <w:fldChar w:fldCharType="begin"/>
      </w:r>
      <w:r>
        <w:rPr>
          <w:rFonts w:ascii="宋体" w:hAnsi="宋体" w:cs="宋体"/>
          <w:i/>
          <w:caps/>
        </w:rPr>
        <w:instrText xml:space="preserve"> HYPERLINK \l _Toc25193 </w:instrText>
      </w:r>
      <w:r>
        <w:rPr>
          <w:rFonts w:ascii="宋体" w:hAnsi="宋体" w:cs="宋体"/>
          <w:i/>
          <w:caps/>
        </w:rPr>
        <w:fldChar w:fldCharType="separate"/>
      </w:r>
      <w:r>
        <w:rPr>
          <w:rFonts w:hint="eastAsia" w:ascii="黑体" w:hAnsi="黑体" w:eastAsia="黑体" w:cstheme="minorEastAsia"/>
          <w:szCs w:val="28"/>
        </w:rPr>
        <w:t>8 价款与支付</w:t>
      </w:r>
      <w:r>
        <w:tab/>
      </w:r>
      <w:r>
        <w:fldChar w:fldCharType="begin"/>
      </w:r>
      <w:r>
        <w:instrText xml:space="preserve"> PAGEREF _Toc25193 \h </w:instrText>
      </w:r>
      <w:r>
        <w:fldChar w:fldCharType="separate"/>
      </w:r>
      <w:r>
        <w:t>50</w:t>
      </w:r>
      <w:r>
        <w:fldChar w:fldCharType="end"/>
      </w:r>
      <w:r>
        <w:rPr>
          <w:rFonts w:ascii="宋体" w:hAnsi="宋体" w:cs="宋体"/>
          <w:i/>
          <w:caps/>
        </w:rPr>
        <w:fldChar w:fldCharType="end"/>
      </w:r>
    </w:p>
    <w:p>
      <w:pPr>
        <w:pStyle w:val="52"/>
        <w:tabs>
          <w:tab w:val="right" w:leader="dot" w:pos="9071"/>
        </w:tabs>
      </w:pPr>
      <w:r>
        <w:rPr>
          <w:rFonts w:ascii="宋体" w:hAnsi="宋体" w:cs="宋体"/>
          <w:i/>
          <w:caps/>
        </w:rPr>
        <w:fldChar w:fldCharType="begin"/>
      </w:r>
      <w:r>
        <w:rPr>
          <w:rFonts w:ascii="宋体" w:hAnsi="宋体" w:cs="宋体"/>
          <w:i/>
          <w:caps/>
        </w:rPr>
        <w:instrText xml:space="preserve"> HYPERLINK \l _Toc22028 </w:instrText>
      </w:r>
      <w:r>
        <w:rPr>
          <w:rFonts w:ascii="宋体" w:hAnsi="宋体" w:cs="宋体"/>
          <w:i/>
          <w:caps/>
        </w:rPr>
        <w:fldChar w:fldCharType="separate"/>
      </w:r>
      <w:r>
        <w:rPr>
          <w:rFonts w:hint="eastAsia" w:ascii="黑体" w:hAnsi="黑体" w:eastAsia="黑体" w:cstheme="minorEastAsia"/>
          <w:szCs w:val="28"/>
        </w:rPr>
        <w:t>9 质量保证及售后服务</w:t>
      </w:r>
      <w:r>
        <w:tab/>
      </w:r>
      <w:r>
        <w:fldChar w:fldCharType="begin"/>
      </w:r>
      <w:r>
        <w:instrText xml:space="preserve"> PAGEREF _Toc22028 \h </w:instrText>
      </w:r>
      <w:r>
        <w:fldChar w:fldCharType="separate"/>
      </w:r>
      <w:r>
        <w:t>51</w:t>
      </w:r>
      <w:r>
        <w:fldChar w:fldCharType="end"/>
      </w:r>
      <w:r>
        <w:rPr>
          <w:rFonts w:ascii="宋体" w:hAnsi="宋体" w:cs="宋体"/>
          <w:i/>
          <w:caps/>
        </w:rPr>
        <w:fldChar w:fldCharType="end"/>
      </w:r>
    </w:p>
    <w:p>
      <w:pPr>
        <w:pStyle w:val="52"/>
        <w:tabs>
          <w:tab w:val="right" w:leader="dot" w:pos="9071"/>
        </w:tabs>
      </w:pPr>
      <w:r>
        <w:rPr>
          <w:rFonts w:ascii="宋体" w:hAnsi="宋体" w:cs="宋体"/>
          <w:i/>
          <w:caps/>
        </w:rPr>
        <w:fldChar w:fldCharType="begin"/>
      </w:r>
      <w:r>
        <w:rPr>
          <w:rFonts w:ascii="宋体" w:hAnsi="宋体" w:cs="宋体"/>
          <w:i/>
          <w:caps/>
        </w:rPr>
        <w:instrText xml:space="preserve"> HYPERLINK \l _Toc29598 </w:instrText>
      </w:r>
      <w:r>
        <w:rPr>
          <w:rFonts w:ascii="宋体" w:hAnsi="宋体" w:cs="宋体"/>
          <w:i/>
          <w:caps/>
        </w:rPr>
        <w:fldChar w:fldCharType="separate"/>
      </w:r>
      <w:r>
        <w:rPr>
          <w:rFonts w:hint="eastAsia" w:ascii="黑体" w:hAnsi="黑体" w:eastAsia="黑体" w:cstheme="minorEastAsia"/>
          <w:szCs w:val="28"/>
        </w:rPr>
        <w:t>10法定责任</w:t>
      </w:r>
      <w:r>
        <w:tab/>
      </w:r>
      <w:r>
        <w:fldChar w:fldCharType="begin"/>
      </w:r>
      <w:r>
        <w:instrText xml:space="preserve"> PAGEREF _Toc29598 \h </w:instrText>
      </w:r>
      <w:r>
        <w:fldChar w:fldCharType="separate"/>
      </w:r>
      <w:r>
        <w:t>52</w:t>
      </w:r>
      <w:r>
        <w:fldChar w:fldCharType="end"/>
      </w:r>
      <w:r>
        <w:rPr>
          <w:rFonts w:ascii="宋体" w:hAnsi="宋体" w:cs="宋体"/>
          <w:i/>
          <w:caps/>
        </w:rPr>
        <w:fldChar w:fldCharType="end"/>
      </w:r>
    </w:p>
    <w:p>
      <w:pPr>
        <w:pStyle w:val="52"/>
        <w:tabs>
          <w:tab w:val="right" w:leader="dot" w:pos="9071"/>
        </w:tabs>
      </w:pPr>
      <w:r>
        <w:rPr>
          <w:rFonts w:ascii="宋体" w:hAnsi="宋体" w:cs="宋体"/>
          <w:i/>
          <w:caps/>
        </w:rPr>
        <w:fldChar w:fldCharType="begin"/>
      </w:r>
      <w:r>
        <w:rPr>
          <w:rFonts w:ascii="宋体" w:hAnsi="宋体" w:cs="宋体"/>
          <w:i/>
          <w:caps/>
        </w:rPr>
        <w:instrText xml:space="preserve"> HYPERLINK \l _Toc8550 </w:instrText>
      </w:r>
      <w:r>
        <w:rPr>
          <w:rFonts w:ascii="宋体" w:hAnsi="宋体" w:cs="宋体"/>
          <w:i/>
          <w:caps/>
        </w:rPr>
        <w:fldChar w:fldCharType="separate"/>
      </w:r>
      <w:r>
        <w:rPr>
          <w:rFonts w:hint="eastAsia" w:ascii="黑体" w:hAnsi="黑体" w:eastAsia="黑体" w:cstheme="minorEastAsia"/>
          <w:szCs w:val="28"/>
        </w:rPr>
        <w:t>11 违约责任</w:t>
      </w:r>
      <w:r>
        <w:tab/>
      </w:r>
      <w:r>
        <w:fldChar w:fldCharType="begin"/>
      </w:r>
      <w:r>
        <w:instrText xml:space="preserve"> PAGEREF _Toc8550 \h </w:instrText>
      </w:r>
      <w:r>
        <w:fldChar w:fldCharType="separate"/>
      </w:r>
      <w:r>
        <w:t>52</w:t>
      </w:r>
      <w:r>
        <w:fldChar w:fldCharType="end"/>
      </w:r>
      <w:r>
        <w:rPr>
          <w:rFonts w:ascii="宋体" w:hAnsi="宋体" w:cs="宋体"/>
          <w:i/>
          <w:caps/>
        </w:rPr>
        <w:fldChar w:fldCharType="end"/>
      </w:r>
    </w:p>
    <w:p>
      <w:pPr>
        <w:pStyle w:val="52"/>
        <w:tabs>
          <w:tab w:val="right" w:leader="dot" w:pos="9071"/>
        </w:tabs>
      </w:pPr>
      <w:r>
        <w:rPr>
          <w:rFonts w:ascii="宋体" w:hAnsi="宋体" w:cs="宋体"/>
          <w:i/>
          <w:caps/>
        </w:rPr>
        <w:fldChar w:fldCharType="begin"/>
      </w:r>
      <w:r>
        <w:rPr>
          <w:rFonts w:ascii="宋体" w:hAnsi="宋体" w:cs="宋体"/>
          <w:i/>
          <w:caps/>
        </w:rPr>
        <w:instrText xml:space="preserve"> HYPERLINK \l _Toc29891 </w:instrText>
      </w:r>
      <w:r>
        <w:rPr>
          <w:rFonts w:ascii="宋体" w:hAnsi="宋体" w:cs="宋体"/>
          <w:i/>
          <w:caps/>
        </w:rPr>
        <w:fldChar w:fldCharType="separate"/>
      </w:r>
      <w:r>
        <w:rPr>
          <w:rFonts w:hint="eastAsia" w:ascii="黑体" w:hAnsi="黑体" w:eastAsia="黑体" w:cstheme="minorEastAsia"/>
          <w:szCs w:val="28"/>
        </w:rPr>
        <w:t>12 合同的终止与解除</w:t>
      </w:r>
      <w:r>
        <w:tab/>
      </w:r>
      <w:r>
        <w:fldChar w:fldCharType="begin"/>
      </w:r>
      <w:r>
        <w:instrText xml:space="preserve"> PAGEREF _Toc29891 \h </w:instrText>
      </w:r>
      <w:r>
        <w:fldChar w:fldCharType="separate"/>
      </w:r>
      <w:r>
        <w:t>53</w:t>
      </w:r>
      <w:r>
        <w:fldChar w:fldCharType="end"/>
      </w:r>
      <w:r>
        <w:rPr>
          <w:rFonts w:ascii="宋体" w:hAnsi="宋体" w:cs="宋体"/>
          <w:i/>
          <w:caps/>
        </w:rPr>
        <w:fldChar w:fldCharType="end"/>
      </w:r>
    </w:p>
    <w:p>
      <w:pPr>
        <w:pStyle w:val="52"/>
        <w:tabs>
          <w:tab w:val="right" w:leader="dot" w:pos="9071"/>
        </w:tabs>
      </w:pPr>
      <w:r>
        <w:rPr>
          <w:rFonts w:ascii="宋体" w:hAnsi="宋体" w:cs="宋体"/>
          <w:i/>
          <w:caps/>
        </w:rPr>
        <w:fldChar w:fldCharType="begin"/>
      </w:r>
      <w:r>
        <w:rPr>
          <w:rFonts w:ascii="宋体" w:hAnsi="宋体" w:cs="宋体"/>
          <w:i/>
          <w:caps/>
        </w:rPr>
        <w:instrText xml:space="preserve"> HYPERLINK \l _Toc21501 </w:instrText>
      </w:r>
      <w:r>
        <w:rPr>
          <w:rFonts w:ascii="宋体" w:hAnsi="宋体" w:cs="宋体"/>
          <w:i/>
          <w:caps/>
        </w:rPr>
        <w:fldChar w:fldCharType="separate"/>
      </w:r>
      <w:r>
        <w:rPr>
          <w:rFonts w:hint="eastAsia" w:ascii="黑体" w:hAnsi="黑体" w:eastAsia="黑体" w:cstheme="minorEastAsia"/>
          <w:szCs w:val="28"/>
        </w:rPr>
        <w:t>13 不可抗力</w:t>
      </w:r>
      <w:r>
        <w:tab/>
      </w:r>
      <w:r>
        <w:fldChar w:fldCharType="begin"/>
      </w:r>
      <w:r>
        <w:instrText xml:space="preserve"> PAGEREF _Toc21501 \h </w:instrText>
      </w:r>
      <w:r>
        <w:fldChar w:fldCharType="separate"/>
      </w:r>
      <w:r>
        <w:t>54</w:t>
      </w:r>
      <w:r>
        <w:fldChar w:fldCharType="end"/>
      </w:r>
      <w:r>
        <w:rPr>
          <w:rFonts w:ascii="宋体" w:hAnsi="宋体" w:cs="宋体"/>
          <w:i/>
          <w:caps/>
        </w:rPr>
        <w:fldChar w:fldCharType="end"/>
      </w:r>
    </w:p>
    <w:p>
      <w:pPr>
        <w:pStyle w:val="52"/>
        <w:tabs>
          <w:tab w:val="right" w:leader="dot" w:pos="9071"/>
        </w:tabs>
      </w:pPr>
      <w:r>
        <w:rPr>
          <w:rFonts w:ascii="宋体" w:hAnsi="宋体" w:cs="宋体"/>
          <w:i/>
          <w:caps/>
        </w:rPr>
        <w:fldChar w:fldCharType="begin"/>
      </w:r>
      <w:r>
        <w:rPr>
          <w:rFonts w:ascii="宋体" w:hAnsi="宋体" w:cs="宋体"/>
          <w:i/>
          <w:caps/>
        </w:rPr>
        <w:instrText xml:space="preserve"> HYPERLINK \l _Toc7181 </w:instrText>
      </w:r>
      <w:r>
        <w:rPr>
          <w:rFonts w:ascii="宋体" w:hAnsi="宋体" w:cs="宋体"/>
          <w:i/>
          <w:caps/>
        </w:rPr>
        <w:fldChar w:fldCharType="separate"/>
      </w:r>
      <w:r>
        <w:rPr>
          <w:rFonts w:hint="eastAsia" w:ascii="黑体" w:hAnsi="黑体" w:eastAsia="黑体" w:cstheme="minorEastAsia"/>
          <w:szCs w:val="28"/>
        </w:rPr>
        <w:t>14 通讯</w:t>
      </w:r>
      <w:r>
        <w:tab/>
      </w:r>
      <w:r>
        <w:fldChar w:fldCharType="begin"/>
      </w:r>
      <w:r>
        <w:instrText xml:space="preserve"> PAGEREF _Toc7181 \h </w:instrText>
      </w:r>
      <w:r>
        <w:fldChar w:fldCharType="separate"/>
      </w:r>
      <w:r>
        <w:t>54</w:t>
      </w:r>
      <w:r>
        <w:fldChar w:fldCharType="end"/>
      </w:r>
      <w:r>
        <w:rPr>
          <w:rFonts w:ascii="宋体" w:hAnsi="宋体" w:cs="宋体"/>
          <w:i/>
          <w:caps/>
        </w:rPr>
        <w:fldChar w:fldCharType="end"/>
      </w:r>
    </w:p>
    <w:p>
      <w:pPr>
        <w:pStyle w:val="52"/>
        <w:tabs>
          <w:tab w:val="right" w:leader="dot" w:pos="9071"/>
        </w:tabs>
      </w:pPr>
      <w:r>
        <w:rPr>
          <w:rFonts w:ascii="宋体" w:hAnsi="宋体" w:cs="宋体"/>
          <w:i/>
          <w:caps/>
        </w:rPr>
        <w:fldChar w:fldCharType="begin"/>
      </w:r>
      <w:r>
        <w:rPr>
          <w:rFonts w:ascii="宋体" w:hAnsi="宋体" w:cs="宋体"/>
          <w:i/>
          <w:caps/>
        </w:rPr>
        <w:instrText xml:space="preserve"> HYPERLINK \l _Toc32147 </w:instrText>
      </w:r>
      <w:r>
        <w:rPr>
          <w:rFonts w:ascii="宋体" w:hAnsi="宋体" w:cs="宋体"/>
          <w:i/>
          <w:caps/>
        </w:rPr>
        <w:fldChar w:fldCharType="separate"/>
      </w:r>
      <w:r>
        <w:rPr>
          <w:rFonts w:hint="eastAsia" w:ascii="黑体" w:hAnsi="黑体" w:eastAsia="黑体" w:cstheme="minorEastAsia"/>
          <w:szCs w:val="28"/>
        </w:rPr>
        <w:t>15 适用法律及争议解决</w:t>
      </w:r>
      <w:r>
        <w:tab/>
      </w:r>
      <w:r>
        <w:fldChar w:fldCharType="begin"/>
      </w:r>
      <w:r>
        <w:instrText xml:space="preserve"> PAGEREF _Toc32147 \h </w:instrText>
      </w:r>
      <w:r>
        <w:fldChar w:fldCharType="separate"/>
      </w:r>
      <w:r>
        <w:t>55</w:t>
      </w:r>
      <w:r>
        <w:fldChar w:fldCharType="end"/>
      </w:r>
      <w:r>
        <w:rPr>
          <w:rFonts w:ascii="宋体" w:hAnsi="宋体" w:cs="宋体"/>
          <w:i/>
          <w:caps/>
        </w:rPr>
        <w:fldChar w:fldCharType="end"/>
      </w:r>
    </w:p>
    <w:p>
      <w:pPr>
        <w:pStyle w:val="52"/>
        <w:tabs>
          <w:tab w:val="right" w:leader="dot" w:pos="9071"/>
        </w:tabs>
      </w:pPr>
      <w:r>
        <w:rPr>
          <w:rFonts w:ascii="宋体" w:hAnsi="宋体" w:cs="宋体"/>
          <w:i/>
          <w:caps/>
        </w:rPr>
        <w:fldChar w:fldCharType="begin"/>
      </w:r>
      <w:r>
        <w:rPr>
          <w:rFonts w:ascii="宋体" w:hAnsi="宋体" w:cs="宋体"/>
          <w:i/>
          <w:caps/>
        </w:rPr>
        <w:instrText xml:space="preserve"> HYPERLINK \l _Toc11023 </w:instrText>
      </w:r>
      <w:r>
        <w:rPr>
          <w:rFonts w:ascii="宋体" w:hAnsi="宋体" w:cs="宋体"/>
          <w:i/>
          <w:caps/>
        </w:rPr>
        <w:fldChar w:fldCharType="separate"/>
      </w:r>
      <w:r>
        <w:rPr>
          <w:rFonts w:hint="eastAsia" w:ascii="黑体" w:hAnsi="黑体" w:eastAsia="黑体" w:cstheme="minorEastAsia"/>
          <w:szCs w:val="28"/>
        </w:rPr>
        <w:t>16 附件</w:t>
      </w:r>
      <w:r>
        <w:tab/>
      </w:r>
      <w:r>
        <w:fldChar w:fldCharType="begin"/>
      </w:r>
      <w:r>
        <w:instrText xml:space="preserve"> PAGEREF _Toc11023 \h </w:instrText>
      </w:r>
      <w:r>
        <w:fldChar w:fldCharType="separate"/>
      </w:r>
      <w:r>
        <w:t>55</w:t>
      </w:r>
      <w:r>
        <w:fldChar w:fldCharType="end"/>
      </w:r>
      <w:r>
        <w:rPr>
          <w:rFonts w:ascii="宋体" w:hAnsi="宋体" w:cs="宋体"/>
          <w:i/>
          <w:caps/>
        </w:rPr>
        <w:fldChar w:fldCharType="end"/>
      </w:r>
    </w:p>
    <w:p>
      <w:pPr>
        <w:pStyle w:val="52"/>
        <w:tabs>
          <w:tab w:val="right" w:leader="dot" w:pos="9071"/>
        </w:tabs>
      </w:pPr>
      <w:r>
        <w:rPr>
          <w:rFonts w:ascii="宋体" w:hAnsi="宋体" w:cs="宋体"/>
          <w:i/>
          <w:caps/>
        </w:rPr>
        <w:fldChar w:fldCharType="begin"/>
      </w:r>
      <w:r>
        <w:rPr>
          <w:rFonts w:ascii="宋体" w:hAnsi="宋体" w:cs="宋体"/>
          <w:i/>
          <w:caps/>
        </w:rPr>
        <w:instrText xml:space="preserve"> HYPERLINK \l _Toc28386 </w:instrText>
      </w:r>
      <w:r>
        <w:rPr>
          <w:rFonts w:ascii="宋体" w:hAnsi="宋体" w:cs="宋体"/>
          <w:i/>
          <w:caps/>
        </w:rPr>
        <w:fldChar w:fldCharType="separate"/>
      </w:r>
      <w:r>
        <w:rPr>
          <w:rFonts w:hint="eastAsia" w:ascii="黑体" w:hAnsi="黑体" w:eastAsia="黑体" w:cstheme="minorEastAsia"/>
          <w:szCs w:val="28"/>
        </w:rPr>
        <w:t>17 其他规定</w:t>
      </w:r>
      <w:r>
        <w:tab/>
      </w:r>
      <w:r>
        <w:fldChar w:fldCharType="begin"/>
      </w:r>
      <w:r>
        <w:instrText xml:space="preserve"> PAGEREF _Toc28386 \h </w:instrText>
      </w:r>
      <w:r>
        <w:fldChar w:fldCharType="separate"/>
      </w:r>
      <w:r>
        <w:t>55</w:t>
      </w:r>
      <w:r>
        <w:fldChar w:fldCharType="end"/>
      </w:r>
      <w:r>
        <w:rPr>
          <w:rFonts w:ascii="宋体" w:hAnsi="宋体" w:cs="宋体"/>
          <w:i/>
          <w:caps/>
        </w:rPr>
        <w:fldChar w:fldCharType="end"/>
      </w:r>
    </w:p>
    <w:p>
      <w:pPr>
        <w:pStyle w:val="52"/>
        <w:tabs>
          <w:tab w:val="right" w:leader="dot" w:pos="9071"/>
        </w:tabs>
      </w:pPr>
      <w:r>
        <w:rPr>
          <w:rFonts w:ascii="宋体" w:hAnsi="宋体" w:cs="宋体"/>
          <w:i/>
          <w:caps/>
        </w:rPr>
        <w:fldChar w:fldCharType="begin"/>
      </w:r>
      <w:r>
        <w:rPr>
          <w:rFonts w:ascii="宋体" w:hAnsi="宋体" w:cs="宋体"/>
          <w:i/>
          <w:caps/>
        </w:rPr>
        <w:instrText xml:space="preserve"> HYPERLINK \l _Toc14149 </w:instrText>
      </w:r>
      <w:r>
        <w:rPr>
          <w:rFonts w:ascii="宋体" w:hAnsi="宋体" w:cs="宋体"/>
          <w:i/>
          <w:caps/>
        </w:rPr>
        <w:fldChar w:fldCharType="separate"/>
      </w:r>
      <w:r>
        <w:rPr>
          <w:rFonts w:hint="eastAsia" w:ascii="黑体" w:hAnsi="黑体" w:eastAsia="黑体" w:cstheme="minorEastAsia"/>
          <w:szCs w:val="28"/>
        </w:rPr>
        <w:t>18 签署事项</w:t>
      </w:r>
      <w:r>
        <w:tab/>
      </w:r>
      <w:r>
        <w:fldChar w:fldCharType="begin"/>
      </w:r>
      <w:r>
        <w:instrText xml:space="preserve"> PAGEREF _Toc14149 \h </w:instrText>
      </w:r>
      <w:r>
        <w:fldChar w:fldCharType="separate"/>
      </w:r>
      <w:r>
        <w:t>56</w:t>
      </w:r>
      <w:r>
        <w:fldChar w:fldCharType="end"/>
      </w:r>
      <w:r>
        <w:rPr>
          <w:rFonts w:ascii="宋体" w:hAnsi="宋体" w:cs="宋体"/>
          <w:i/>
          <w:caps/>
        </w:rPr>
        <w:fldChar w:fldCharType="end"/>
      </w:r>
    </w:p>
    <w:p>
      <w:pPr>
        <w:pStyle w:val="52"/>
        <w:tabs>
          <w:tab w:val="right" w:leader="dot" w:pos="9071"/>
        </w:tabs>
      </w:pPr>
      <w:r>
        <w:rPr>
          <w:rFonts w:ascii="宋体" w:hAnsi="宋体" w:cs="宋体"/>
          <w:i/>
          <w:caps/>
        </w:rPr>
        <w:fldChar w:fldCharType="begin"/>
      </w:r>
      <w:r>
        <w:rPr>
          <w:rFonts w:ascii="宋体" w:hAnsi="宋体" w:cs="宋体"/>
          <w:i/>
          <w:caps/>
        </w:rPr>
        <w:instrText xml:space="preserve"> HYPERLINK \l _Toc30839 </w:instrText>
      </w:r>
      <w:r>
        <w:rPr>
          <w:rFonts w:ascii="宋体" w:hAnsi="宋体" w:cs="宋体"/>
          <w:i/>
          <w:caps/>
        </w:rPr>
        <w:fldChar w:fldCharType="separate"/>
      </w:r>
      <w:r>
        <w:rPr>
          <w:rFonts w:hint="eastAsia" w:ascii="黑体" w:hAnsi="黑体" w:eastAsia="黑体" w:cstheme="minorEastAsia"/>
          <w:szCs w:val="28"/>
        </w:rPr>
        <w:t>附件一：设备清单明细表</w:t>
      </w:r>
      <w:r>
        <w:tab/>
      </w:r>
      <w:r>
        <w:fldChar w:fldCharType="begin"/>
      </w:r>
      <w:r>
        <w:instrText xml:space="preserve"> PAGEREF _Toc30839 \h </w:instrText>
      </w:r>
      <w:r>
        <w:fldChar w:fldCharType="separate"/>
      </w:r>
      <w:r>
        <w:t>56</w:t>
      </w:r>
      <w:r>
        <w:fldChar w:fldCharType="end"/>
      </w:r>
      <w:r>
        <w:rPr>
          <w:rFonts w:ascii="宋体" w:hAnsi="宋体" w:cs="宋体"/>
          <w:i/>
          <w:caps/>
        </w:rPr>
        <w:fldChar w:fldCharType="end"/>
      </w:r>
    </w:p>
    <w:p>
      <w:pPr>
        <w:pStyle w:val="3"/>
        <w:tabs>
          <w:tab w:val="right" w:leader="dot" w:pos="9071"/>
        </w:tabs>
      </w:pPr>
      <w:r>
        <w:rPr>
          <w:rFonts w:ascii="宋体" w:hAnsi="宋体" w:cs="宋体"/>
          <w:i/>
          <w:caps/>
        </w:rPr>
        <w:fldChar w:fldCharType="begin"/>
      </w:r>
      <w:r>
        <w:rPr>
          <w:rFonts w:ascii="宋体" w:hAnsi="宋体" w:cs="宋体"/>
          <w:i/>
          <w:caps/>
        </w:rPr>
        <w:instrText xml:space="preserve"> HYPERLINK \l _Toc9218 </w:instrText>
      </w:r>
      <w:r>
        <w:rPr>
          <w:rFonts w:ascii="宋体" w:hAnsi="宋体" w:cs="宋体"/>
          <w:i/>
          <w:caps/>
        </w:rPr>
        <w:fldChar w:fldCharType="separate"/>
      </w:r>
      <w:r>
        <w:rPr>
          <w:rFonts w:hint="eastAsia" w:ascii="宋体" w:hAnsi="宋体" w:cs="宋体"/>
          <w:bCs w:val="0"/>
          <w:szCs w:val="24"/>
        </w:rPr>
        <w:t>附件一：投标函</w:t>
      </w:r>
      <w:r>
        <w:tab/>
      </w:r>
      <w:r>
        <w:fldChar w:fldCharType="begin"/>
      </w:r>
      <w:r>
        <w:instrText xml:space="preserve"> PAGEREF _Toc9218 \h </w:instrText>
      </w:r>
      <w:r>
        <w:fldChar w:fldCharType="separate"/>
      </w:r>
      <w:r>
        <w:t>58</w:t>
      </w:r>
      <w:r>
        <w:fldChar w:fldCharType="end"/>
      </w:r>
      <w:r>
        <w:rPr>
          <w:rFonts w:ascii="宋体" w:hAnsi="宋体" w:cs="宋体"/>
          <w:i/>
          <w:caps/>
        </w:rPr>
        <w:fldChar w:fldCharType="end"/>
      </w:r>
    </w:p>
    <w:p>
      <w:pPr>
        <w:pStyle w:val="3"/>
        <w:tabs>
          <w:tab w:val="right" w:leader="dot" w:pos="9071"/>
        </w:tabs>
      </w:pPr>
      <w:r>
        <w:rPr>
          <w:rFonts w:ascii="宋体" w:hAnsi="宋体" w:cs="宋体"/>
          <w:i/>
          <w:caps/>
        </w:rPr>
        <w:fldChar w:fldCharType="begin"/>
      </w:r>
      <w:r>
        <w:rPr>
          <w:rFonts w:ascii="宋体" w:hAnsi="宋体" w:cs="宋体"/>
          <w:i/>
          <w:caps/>
        </w:rPr>
        <w:instrText xml:space="preserve"> HYPERLINK \l _Toc22891 </w:instrText>
      </w:r>
      <w:r>
        <w:rPr>
          <w:rFonts w:ascii="宋体" w:hAnsi="宋体" w:cs="宋体"/>
          <w:i/>
          <w:caps/>
        </w:rPr>
        <w:fldChar w:fldCharType="separate"/>
      </w:r>
      <w:r>
        <w:rPr>
          <w:rFonts w:hint="eastAsia" w:ascii="宋体" w:hAnsi="宋体" w:cs="宋体"/>
          <w:bCs w:val="0"/>
          <w:szCs w:val="24"/>
        </w:rPr>
        <w:t>附件二：授权委托书</w:t>
      </w:r>
      <w:r>
        <w:tab/>
      </w:r>
      <w:r>
        <w:fldChar w:fldCharType="begin"/>
      </w:r>
      <w:r>
        <w:instrText xml:space="preserve"> PAGEREF _Toc22891 \h </w:instrText>
      </w:r>
      <w:r>
        <w:fldChar w:fldCharType="separate"/>
      </w:r>
      <w:r>
        <w:t>59</w:t>
      </w:r>
      <w:r>
        <w:fldChar w:fldCharType="end"/>
      </w:r>
      <w:r>
        <w:rPr>
          <w:rFonts w:ascii="宋体" w:hAnsi="宋体" w:cs="宋体"/>
          <w:i/>
          <w:caps/>
        </w:rPr>
        <w:fldChar w:fldCharType="end"/>
      </w:r>
    </w:p>
    <w:p>
      <w:pPr>
        <w:pStyle w:val="3"/>
        <w:tabs>
          <w:tab w:val="right" w:leader="dot" w:pos="9071"/>
        </w:tabs>
      </w:pPr>
      <w:r>
        <w:rPr>
          <w:rFonts w:ascii="宋体" w:hAnsi="宋体" w:cs="宋体"/>
          <w:i/>
          <w:caps/>
        </w:rPr>
        <w:fldChar w:fldCharType="begin"/>
      </w:r>
      <w:r>
        <w:rPr>
          <w:rFonts w:ascii="宋体" w:hAnsi="宋体" w:cs="宋体"/>
          <w:i/>
          <w:caps/>
        </w:rPr>
        <w:instrText xml:space="preserve"> HYPERLINK \l _Toc16582 </w:instrText>
      </w:r>
      <w:r>
        <w:rPr>
          <w:rFonts w:ascii="宋体" w:hAnsi="宋体" w:cs="宋体"/>
          <w:i/>
          <w:caps/>
        </w:rPr>
        <w:fldChar w:fldCharType="separate"/>
      </w:r>
      <w:r>
        <w:rPr>
          <w:rFonts w:hint="eastAsia" w:ascii="宋体" w:hAnsi="宋体" w:cs="宋体"/>
          <w:bCs w:val="0"/>
          <w:szCs w:val="24"/>
        </w:rPr>
        <w:t>附件三、投标方基本情况表</w:t>
      </w:r>
      <w:r>
        <w:tab/>
      </w:r>
      <w:r>
        <w:fldChar w:fldCharType="begin"/>
      </w:r>
      <w:r>
        <w:instrText xml:space="preserve"> PAGEREF _Toc16582 \h </w:instrText>
      </w:r>
      <w:r>
        <w:fldChar w:fldCharType="separate"/>
      </w:r>
      <w:r>
        <w:t>60</w:t>
      </w:r>
      <w:r>
        <w:fldChar w:fldCharType="end"/>
      </w:r>
      <w:r>
        <w:rPr>
          <w:rFonts w:ascii="宋体" w:hAnsi="宋体" w:cs="宋体"/>
          <w:i/>
          <w:caps/>
        </w:rPr>
        <w:fldChar w:fldCharType="end"/>
      </w:r>
    </w:p>
    <w:p>
      <w:pPr>
        <w:pStyle w:val="3"/>
        <w:tabs>
          <w:tab w:val="right" w:leader="dot" w:pos="9071"/>
        </w:tabs>
      </w:pPr>
      <w:r>
        <w:rPr>
          <w:rFonts w:ascii="宋体" w:hAnsi="宋体" w:cs="宋体"/>
          <w:i/>
          <w:caps/>
        </w:rPr>
        <w:fldChar w:fldCharType="begin"/>
      </w:r>
      <w:r>
        <w:rPr>
          <w:rFonts w:ascii="宋体" w:hAnsi="宋体" w:cs="宋体"/>
          <w:i/>
          <w:caps/>
        </w:rPr>
        <w:instrText xml:space="preserve"> HYPERLINK \l _Toc9440 </w:instrText>
      </w:r>
      <w:r>
        <w:rPr>
          <w:rFonts w:ascii="宋体" w:hAnsi="宋体" w:cs="宋体"/>
          <w:i/>
          <w:caps/>
        </w:rPr>
        <w:fldChar w:fldCharType="separate"/>
      </w:r>
      <w:r>
        <w:rPr>
          <w:rFonts w:hint="eastAsia" w:ascii="宋体" w:hAnsi="宋体" w:cs="宋体"/>
          <w:bCs w:val="0"/>
          <w:szCs w:val="24"/>
        </w:rPr>
        <w:t>附件四：开标一览表</w:t>
      </w:r>
      <w:r>
        <w:tab/>
      </w:r>
      <w:r>
        <w:fldChar w:fldCharType="begin"/>
      </w:r>
      <w:r>
        <w:instrText xml:space="preserve"> PAGEREF _Toc9440 \h </w:instrText>
      </w:r>
      <w:r>
        <w:fldChar w:fldCharType="separate"/>
      </w:r>
      <w:r>
        <w:t>61</w:t>
      </w:r>
      <w:r>
        <w:fldChar w:fldCharType="end"/>
      </w:r>
      <w:r>
        <w:rPr>
          <w:rFonts w:ascii="宋体" w:hAnsi="宋体" w:cs="宋体"/>
          <w:i/>
          <w:caps/>
        </w:rPr>
        <w:fldChar w:fldCharType="end"/>
      </w:r>
    </w:p>
    <w:p>
      <w:pPr>
        <w:pStyle w:val="3"/>
        <w:tabs>
          <w:tab w:val="right" w:leader="dot" w:pos="9071"/>
        </w:tabs>
      </w:pPr>
      <w:r>
        <w:rPr>
          <w:rFonts w:ascii="宋体" w:hAnsi="宋体" w:cs="宋体"/>
          <w:i/>
          <w:caps/>
        </w:rPr>
        <w:fldChar w:fldCharType="begin"/>
      </w:r>
      <w:r>
        <w:rPr>
          <w:rFonts w:ascii="宋体" w:hAnsi="宋体" w:cs="宋体"/>
          <w:i/>
          <w:caps/>
        </w:rPr>
        <w:instrText xml:space="preserve"> HYPERLINK \l _Toc22341 </w:instrText>
      </w:r>
      <w:r>
        <w:rPr>
          <w:rFonts w:ascii="宋体" w:hAnsi="宋体" w:cs="宋体"/>
          <w:i/>
          <w:caps/>
        </w:rPr>
        <w:fldChar w:fldCharType="separate"/>
      </w:r>
      <w:r>
        <w:rPr>
          <w:rFonts w:hint="eastAsia" w:ascii="宋体" w:hAnsi="宋体" w:cs="宋体"/>
          <w:bCs w:val="0"/>
          <w:szCs w:val="24"/>
        </w:rPr>
        <w:t>附件五、投标分项报价表</w:t>
      </w:r>
      <w:r>
        <w:tab/>
      </w:r>
      <w:r>
        <w:fldChar w:fldCharType="begin"/>
      </w:r>
      <w:r>
        <w:instrText xml:space="preserve"> PAGEREF _Toc22341 \h </w:instrText>
      </w:r>
      <w:r>
        <w:fldChar w:fldCharType="separate"/>
      </w:r>
      <w:r>
        <w:t>62</w:t>
      </w:r>
      <w:r>
        <w:fldChar w:fldCharType="end"/>
      </w:r>
      <w:r>
        <w:rPr>
          <w:rFonts w:ascii="宋体" w:hAnsi="宋体" w:cs="宋体"/>
          <w:i/>
          <w:caps/>
        </w:rPr>
        <w:fldChar w:fldCharType="end"/>
      </w:r>
    </w:p>
    <w:p>
      <w:pPr>
        <w:pStyle w:val="3"/>
        <w:tabs>
          <w:tab w:val="right" w:leader="dot" w:pos="9071"/>
        </w:tabs>
      </w:pPr>
      <w:r>
        <w:rPr>
          <w:rFonts w:ascii="宋体" w:hAnsi="宋体" w:cs="宋体"/>
          <w:i/>
          <w:caps/>
        </w:rPr>
        <w:fldChar w:fldCharType="begin"/>
      </w:r>
      <w:r>
        <w:rPr>
          <w:rFonts w:ascii="宋体" w:hAnsi="宋体" w:cs="宋体"/>
          <w:i/>
          <w:caps/>
        </w:rPr>
        <w:instrText xml:space="preserve"> HYPERLINK \l _Toc23659 </w:instrText>
      </w:r>
      <w:r>
        <w:rPr>
          <w:rFonts w:ascii="宋体" w:hAnsi="宋体" w:cs="宋体"/>
          <w:i/>
          <w:caps/>
        </w:rPr>
        <w:fldChar w:fldCharType="separate"/>
      </w:r>
      <w:r>
        <w:rPr>
          <w:rFonts w:hint="eastAsia" w:ascii="宋体" w:hAnsi="宋体" w:cs="宋体"/>
          <w:bCs w:val="0"/>
          <w:szCs w:val="24"/>
        </w:rPr>
        <w:t>附件六、设备投标报价分解表</w:t>
      </w:r>
      <w:r>
        <w:tab/>
      </w:r>
      <w:r>
        <w:fldChar w:fldCharType="begin"/>
      </w:r>
      <w:r>
        <w:instrText xml:space="preserve"> PAGEREF _Toc23659 \h </w:instrText>
      </w:r>
      <w:r>
        <w:fldChar w:fldCharType="separate"/>
      </w:r>
      <w:r>
        <w:t>63</w:t>
      </w:r>
      <w:r>
        <w:fldChar w:fldCharType="end"/>
      </w:r>
      <w:r>
        <w:rPr>
          <w:rFonts w:ascii="宋体" w:hAnsi="宋体" w:cs="宋体"/>
          <w:i/>
          <w:caps/>
        </w:rPr>
        <w:fldChar w:fldCharType="end"/>
      </w:r>
    </w:p>
    <w:p>
      <w:pPr>
        <w:pStyle w:val="3"/>
        <w:tabs>
          <w:tab w:val="right" w:leader="dot" w:pos="9071"/>
        </w:tabs>
      </w:pPr>
      <w:r>
        <w:rPr>
          <w:rFonts w:ascii="宋体" w:hAnsi="宋体" w:cs="宋体"/>
          <w:i/>
          <w:caps/>
        </w:rPr>
        <w:fldChar w:fldCharType="begin"/>
      </w:r>
      <w:r>
        <w:rPr>
          <w:rFonts w:ascii="宋体" w:hAnsi="宋体" w:cs="宋体"/>
          <w:i/>
          <w:caps/>
        </w:rPr>
        <w:instrText xml:space="preserve"> HYPERLINK \l _Toc3752 </w:instrText>
      </w:r>
      <w:r>
        <w:rPr>
          <w:rFonts w:ascii="宋体" w:hAnsi="宋体" w:cs="宋体"/>
          <w:i/>
          <w:caps/>
        </w:rPr>
        <w:fldChar w:fldCharType="separate"/>
      </w:r>
      <w:r>
        <w:rPr>
          <w:rFonts w:hint="eastAsia" w:ascii="宋体" w:hAnsi="宋体" w:cs="宋体"/>
          <w:bCs w:val="0"/>
          <w:szCs w:val="24"/>
        </w:rPr>
        <w:t>附件七、技术规格偏离表</w:t>
      </w:r>
      <w:r>
        <w:tab/>
      </w:r>
      <w:r>
        <w:fldChar w:fldCharType="begin"/>
      </w:r>
      <w:r>
        <w:instrText xml:space="preserve"> PAGEREF _Toc3752 \h </w:instrText>
      </w:r>
      <w:r>
        <w:fldChar w:fldCharType="separate"/>
      </w:r>
      <w:r>
        <w:t>64</w:t>
      </w:r>
      <w:r>
        <w:fldChar w:fldCharType="end"/>
      </w:r>
      <w:r>
        <w:rPr>
          <w:rFonts w:ascii="宋体" w:hAnsi="宋体" w:cs="宋体"/>
          <w:i/>
          <w:caps/>
        </w:rPr>
        <w:fldChar w:fldCharType="end"/>
      </w:r>
    </w:p>
    <w:p>
      <w:pPr>
        <w:pStyle w:val="3"/>
        <w:tabs>
          <w:tab w:val="right" w:leader="dot" w:pos="9071"/>
        </w:tabs>
      </w:pPr>
      <w:r>
        <w:rPr>
          <w:rFonts w:ascii="宋体" w:hAnsi="宋体" w:cs="宋体"/>
          <w:i/>
          <w:caps/>
        </w:rPr>
        <w:fldChar w:fldCharType="begin"/>
      </w:r>
      <w:r>
        <w:rPr>
          <w:rFonts w:ascii="宋体" w:hAnsi="宋体" w:cs="宋体"/>
          <w:i/>
          <w:caps/>
        </w:rPr>
        <w:instrText xml:space="preserve"> HYPERLINK \l _Toc11990 </w:instrText>
      </w:r>
      <w:r>
        <w:rPr>
          <w:rFonts w:ascii="宋体" w:hAnsi="宋体" w:cs="宋体"/>
          <w:i/>
          <w:caps/>
        </w:rPr>
        <w:fldChar w:fldCharType="separate"/>
      </w:r>
      <w:r>
        <w:rPr>
          <w:rFonts w:hint="eastAsia" w:ascii="宋体" w:hAnsi="宋体" w:cs="宋体"/>
          <w:bCs w:val="0"/>
          <w:szCs w:val="24"/>
        </w:rPr>
        <w:t>附件八、商务条款偏离表</w:t>
      </w:r>
      <w:r>
        <w:tab/>
      </w:r>
      <w:r>
        <w:fldChar w:fldCharType="begin"/>
      </w:r>
      <w:r>
        <w:instrText xml:space="preserve"> PAGEREF _Toc11990 \h </w:instrText>
      </w:r>
      <w:r>
        <w:fldChar w:fldCharType="separate"/>
      </w:r>
      <w:r>
        <w:t>65</w:t>
      </w:r>
      <w:r>
        <w:fldChar w:fldCharType="end"/>
      </w:r>
      <w:r>
        <w:rPr>
          <w:rFonts w:ascii="宋体" w:hAnsi="宋体" w:cs="宋体"/>
          <w:i/>
          <w:caps/>
        </w:rPr>
        <w:fldChar w:fldCharType="end"/>
      </w:r>
    </w:p>
    <w:p>
      <w:pPr>
        <w:pStyle w:val="3"/>
        <w:tabs>
          <w:tab w:val="right" w:leader="dot" w:pos="9071"/>
        </w:tabs>
      </w:pPr>
      <w:r>
        <w:rPr>
          <w:rFonts w:ascii="宋体" w:hAnsi="宋体" w:cs="宋体"/>
          <w:i/>
          <w:caps/>
        </w:rPr>
        <w:fldChar w:fldCharType="begin"/>
      </w:r>
      <w:r>
        <w:rPr>
          <w:rFonts w:ascii="宋体" w:hAnsi="宋体" w:cs="宋体"/>
          <w:i/>
          <w:caps/>
        </w:rPr>
        <w:instrText xml:space="preserve"> HYPERLINK \l _Toc30155 </w:instrText>
      </w:r>
      <w:r>
        <w:rPr>
          <w:rFonts w:ascii="宋体" w:hAnsi="宋体" w:cs="宋体"/>
          <w:i/>
          <w:caps/>
        </w:rPr>
        <w:fldChar w:fldCharType="separate"/>
      </w:r>
      <w:r>
        <w:rPr>
          <w:rFonts w:hint="eastAsia" w:ascii="宋体" w:hAnsi="宋体" w:cs="宋体"/>
          <w:bCs w:val="0"/>
          <w:szCs w:val="24"/>
        </w:rPr>
        <w:t>附件九、经营业绩一览表</w:t>
      </w:r>
      <w:r>
        <w:tab/>
      </w:r>
      <w:r>
        <w:fldChar w:fldCharType="begin"/>
      </w:r>
      <w:r>
        <w:instrText xml:space="preserve"> PAGEREF _Toc30155 \h </w:instrText>
      </w:r>
      <w:r>
        <w:fldChar w:fldCharType="separate"/>
      </w:r>
      <w:r>
        <w:t>66</w:t>
      </w:r>
      <w:r>
        <w:fldChar w:fldCharType="end"/>
      </w:r>
      <w:r>
        <w:rPr>
          <w:rFonts w:ascii="宋体" w:hAnsi="宋体" w:cs="宋体"/>
          <w:i/>
          <w:caps/>
        </w:rPr>
        <w:fldChar w:fldCharType="end"/>
      </w:r>
    </w:p>
    <w:p>
      <w:pPr>
        <w:pStyle w:val="3"/>
        <w:tabs>
          <w:tab w:val="right" w:leader="dot" w:pos="9071"/>
        </w:tabs>
      </w:pPr>
      <w:r>
        <w:rPr>
          <w:rFonts w:ascii="宋体" w:hAnsi="宋体" w:cs="宋体"/>
          <w:i/>
          <w:caps/>
        </w:rPr>
        <w:fldChar w:fldCharType="begin"/>
      </w:r>
      <w:r>
        <w:rPr>
          <w:rFonts w:ascii="宋体" w:hAnsi="宋体" w:cs="宋体"/>
          <w:i/>
          <w:caps/>
        </w:rPr>
        <w:instrText xml:space="preserve"> HYPERLINK \l _Toc1499 </w:instrText>
      </w:r>
      <w:r>
        <w:rPr>
          <w:rFonts w:ascii="宋体" w:hAnsi="宋体" w:cs="宋体"/>
          <w:i/>
          <w:caps/>
        </w:rPr>
        <w:fldChar w:fldCharType="separate"/>
      </w:r>
      <w:r>
        <w:rPr>
          <w:rFonts w:hint="eastAsia" w:ascii="宋体" w:hAnsi="宋体" w:cs="宋体"/>
          <w:bCs w:val="0"/>
          <w:szCs w:val="24"/>
        </w:rPr>
        <w:t>附件十、服务承诺函</w:t>
      </w:r>
      <w:r>
        <w:tab/>
      </w:r>
      <w:r>
        <w:fldChar w:fldCharType="begin"/>
      </w:r>
      <w:r>
        <w:instrText xml:space="preserve"> PAGEREF _Toc1499 \h </w:instrText>
      </w:r>
      <w:r>
        <w:fldChar w:fldCharType="separate"/>
      </w:r>
      <w:r>
        <w:t>67</w:t>
      </w:r>
      <w:r>
        <w:fldChar w:fldCharType="end"/>
      </w:r>
      <w:r>
        <w:rPr>
          <w:rFonts w:ascii="宋体" w:hAnsi="宋体" w:cs="宋体"/>
          <w:i/>
          <w:caps/>
        </w:rPr>
        <w:fldChar w:fldCharType="end"/>
      </w:r>
    </w:p>
    <w:p>
      <w:pPr>
        <w:pStyle w:val="3"/>
        <w:tabs>
          <w:tab w:val="right" w:leader="dot" w:pos="9071"/>
        </w:tabs>
      </w:pPr>
      <w:r>
        <w:rPr>
          <w:rFonts w:ascii="宋体" w:hAnsi="宋体" w:cs="宋体"/>
          <w:i/>
          <w:caps/>
        </w:rPr>
        <w:fldChar w:fldCharType="begin"/>
      </w:r>
      <w:r>
        <w:rPr>
          <w:rFonts w:ascii="宋体" w:hAnsi="宋体" w:cs="宋体"/>
          <w:i/>
          <w:caps/>
        </w:rPr>
        <w:instrText xml:space="preserve"> HYPERLINK \l _Toc21645 </w:instrText>
      </w:r>
      <w:r>
        <w:rPr>
          <w:rFonts w:ascii="宋体" w:hAnsi="宋体" w:cs="宋体"/>
          <w:i/>
          <w:caps/>
        </w:rPr>
        <w:fldChar w:fldCharType="separate"/>
      </w:r>
      <w:r>
        <w:rPr>
          <w:rFonts w:hint="eastAsia" w:ascii="宋体" w:hAnsi="宋体" w:cs="宋体"/>
          <w:bCs w:val="0"/>
          <w:szCs w:val="24"/>
        </w:rPr>
        <w:t>附件十一、设备质量承诺函</w:t>
      </w:r>
      <w:r>
        <w:tab/>
      </w:r>
      <w:r>
        <w:fldChar w:fldCharType="begin"/>
      </w:r>
      <w:r>
        <w:instrText xml:space="preserve"> PAGEREF _Toc21645 \h </w:instrText>
      </w:r>
      <w:r>
        <w:fldChar w:fldCharType="separate"/>
      </w:r>
      <w:r>
        <w:t>68</w:t>
      </w:r>
      <w:r>
        <w:fldChar w:fldCharType="end"/>
      </w:r>
      <w:r>
        <w:rPr>
          <w:rFonts w:ascii="宋体" w:hAnsi="宋体" w:cs="宋体"/>
          <w:i/>
          <w:caps/>
        </w:rPr>
        <w:fldChar w:fldCharType="end"/>
      </w:r>
    </w:p>
    <w:p>
      <w:pPr>
        <w:pStyle w:val="3"/>
        <w:tabs>
          <w:tab w:val="right" w:leader="dot" w:pos="9071"/>
        </w:tabs>
      </w:pPr>
      <w:r>
        <w:rPr>
          <w:rFonts w:ascii="宋体" w:hAnsi="宋体" w:cs="宋体"/>
          <w:i/>
          <w:caps/>
        </w:rPr>
        <w:fldChar w:fldCharType="begin"/>
      </w:r>
      <w:r>
        <w:rPr>
          <w:rFonts w:ascii="宋体" w:hAnsi="宋体" w:cs="宋体"/>
          <w:i/>
          <w:caps/>
        </w:rPr>
        <w:instrText xml:space="preserve"> HYPERLINK \l _Toc8902 </w:instrText>
      </w:r>
      <w:r>
        <w:rPr>
          <w:rFonts w:ascii="宋体" w:hAnsi="宋体" w:cs="宋体"/>
          <w:i/>
          <w:caps/>
        </w:rPr>
        <w:fldChar w:fldCharType="separate"/>
      </w:r>
      <w:r>
        <w:rPr>
          <w:rFonts w:hint="eastAsia" w:ascii="宋体" w:hAnsi="宋体" w:cs="宋体"/>
          <w:bCs w:val="0"/>
          <w:szCs w:val="24"/>
        </w:rPr>
        <w:t>附件十二</w:t>
      </w:r>
      <w:r>
        <w:rPr>
          <w:rFonts w:ascii="宋体" w:hAnsi="宋体" w:cs="宋体"/>
          <w:bCs w:val="0"/>
          <w:szCs w:val="24"/>
        </w:rPr>
        <w:t xml:space="preserve">: </w:t>
      </w:r>
      <w:r>
        <w:rPr>
          <w:rFonts w:hint="eastAsia" w:ascii="宋体" w:hAnsi="宋体" w:cs="宋体"/>
          <w:bCs w:val="0"/>
          <w:szCs w:val="24"/>
        </w:rPr>
        <w:t>封面格式（参考）</w:t>
      </w:r>
      <w:r>
        <w:tab/>
      </w:r>
      <w:r>
        <w:fldChar w:fldCharType="begin"/>
      </w:r>
      <w:r>
        <w:instrText xml:space="preserve"> PAGEREF _Toc8902 \h </w:instrText>
      </w:r>
      <w:r>
        <w:fldChar w:fldCharType="separate"/>
      </w:r>
      <w:r>
        <w:t>69</w:t>
      </w:r>
      <w:r>
        <w:fldChar w:fldCharType="end"/>
      </w:r>
      <w:r>
        <w:rPr>
          <w:rFonts w:ascii="宋体" w:hAnsi="宋体" w:cs="宋体"/>
          <w:i/>
          <w:caps/>
        </w:rPr>
        <w:fldChar w:fldCharType="end"/>
      </w:r>
    </w:p>
    <w:p>
      <w:pPr>
        <w:pStyle w:val="2"/>
        <w:spacing w:after="120" w:afterLines="50" w:line="360" w:lineRule="exact"/>
        <w:rPr>
          <w:rFonts w:ascii="宋体" w:hAnsi="宋体" w:cs="宋体"/>
          <w:i/>
          <w:caps/>
        </w:rPr>
      </w:pPr>
      <w:r>
        <w:rPr>
          <w:rFonts w:ascii="宋体" w:hAnsi="宋体" w:cs="宋体"/>
          <w:i/>
          <w:caps/>
        </w:rPr>
        <w:fldChar w:fldCharType="end"/>
      </w:r>
    </w:p>
    <w:p>
      <w:pPr>
        <w:rPr>
          <w:rFonts w:ascii="宋体" w:hAnsi="宋体" w:cs="宋体"/>
          <w:i/>
          <w:caps/>
        </w:rPr>
      </w:pPr>
    </w:p>
    <w:p>
      <w:pPr>
        <w:rPr>
          <w:rFonts w:ascii="宋体" w:hAnsi="宋体" w:cs="宋体"/>
          <w:i/>
          <w:caps/>
        </w:rPr>
      </w:pPr>
    </w:p>
    <w:p>
      <w:pPr>
        <w:pStyle w:val="2"/>
        <w:spacing w:after="120" w:afterLines="50" w:line="360" w:lineRule="exact"/>
        <w:rPr>
          <w:rFonts w:ascii="宋体" w:hAnsi="宋体"/>
        </w:rPr>
      </w:pPr>
    </w:p>
    <w:p>
      <w:pPr>
        <w:pStyle w:val="2"/>
        <w:spacing w:after="120" w:afterLines="50" w:line="360" w:lineRule="exact"/>
        <w:rPr>
          <w:rFonts w:ascii="宋体" w:hAnsi="宋体"/>
        </w:rPr>
      </w:pPr>
    </w:p>
    <w:p>
      <w:pPr>
        <w:pStyle w:val="2"/>
        <w:spacing w:after="120" w:afterLines="50" w:line="360" w:lineRule="exact"/>
        <w:rPr>
          <w:rFonts w:ascii="宋体" w:hAnsi="宋体"/>
        </w:rPr>
      </w:pPr>
    </w:p>
    <w:p>
      <w:pPr>
        <w:pStyle w:val="2"/>
        <w:spacing w:after="120" w:afterLines="50" w:line="360" w:lineRule="exact"/>
        <w:rPr>
          <w:rFonts w:ascii="宋体" w:hAnsi="宋体"/>
        </w:rPr>
      </w:pPr>
    </w:p>
    <w:p>
      <w:pPr>
        <w:pStyle w:val="2"/>
        <w:spacing w:after="120" w:afterLines="50" w:line="360" w:lineRule="exact"/>
        <w:rPr>
          <w:rFonts w:hint="eastAsia" w:ascii="宋体" w:hAnsi="宋体"/>
        </w:rPr>
      </w:pPr>
    </w:p>
    <w:p>
      <w:pPr>
        <w:pStyle w:val="2"/>
        <w:spacing w:after="120" w:afterLines="50" w:line="360" w:lineRule="exact"/>
        <w:rPr>
          <w:rFonts w:hint="eastAsia" w:ascii="宋体" w:hAnsi="宋体"/>
        </w:rPr>
      </w:pPr>
    </w:p>
    <w:p>
      <w:pPr>
        <w:pStyle w:val="2"/>
        <w:spacing w:after="120" w:afterLines="50" w:line="360" w:lineRule="exact"/>
        <w:rPr>
          <w:rFonts w:hint="eastAsia" w:ascii="宋体" w:hAnsi="宋体"/>
        </w:rPr>
      </w:pPr>
    </w:p>
    <w:p>
      <w:pPr>
        <w:pStyle w:val="2"/>
        <w:spacing w:after="120" w:afterLines="50" w:line="360" w:lineRule="exact"/>
        <w:rPr>
          <w:rFonts w:hint="eastAsia" w:ascii="宋体" w:hAnsi="宋体"/>
        </w:rPr>
      </w:pPr>
    </w:p>
    <w:p>
      <w:pPr>
        <w:pStyle w:val="2"/>
        <w:spacing w:after="120" w:afterLines="50" w:line="360" w:lineRule="exact"/>
        <w:rPr>
          <w:rFonts w:ascii="宋体" w:hAnsi="宋体"/>
        </w:rPr>
      </w:pPr>
      <w:bookmarkStart w:id="0" w:name="_Toc19610"/>
      <w:r>
        <w:rPr>
          <w:rFonts w:hint="eastAsia" w:ascii="宋体" w:hAnsi="宋体"/>
        </w:rPr>
        <w:t>第一章招标公告</w:t>
      </w:r>
      <w:bookmarkEnd w:id="0"/>
    </w:p>
    <w:p>
      <w:pPr>
        <w:spacing w:line="360" w:lineRule="auto"/>
        <w:ind w:firstLine="480" w:firstLineChars="200"/>
        <w:rPr>
          <w:rFonts w:ascii="宋体" w:hAnsi="宋体"/>
          <w:sz w:val="24"/>
        </w:rPr>
      </w:pPr>
      <w:r>
        <w:rPr>
          <w:rFonts w:hint="eastAsia" w:ascii="宋体" w:hAnsi="宋体"/>
          <w:sz w:val="24"/>
        </w:rPr>
        <w:t>根据中国重汽集团济南商用车有限公司</w:t>
      </w:r>
      <w:r>
        <w:rPr>
          <w:rFonts w:hint="eastAsia" w:ascii="宋体" w:hAnsi="宋体"/>
          <w:bCs/>
          <w:sz w:val="24"/>
        </w:rPr>
        <w:t>的使用需求，对</w:t>
      </w:r>
      <w:r>
        <w:rPr>
          <w:rFonts w:hint="eastAsia" w:ascii="宋体" w:hAnsi="宋体"/>
          <w:bCs/>
          <w:sz w:val="24"/>
          <w:u w:val="single"/>
          <w:lang w:val="en-US" w:eastAsia="zh-CN"/>
        </w:rPr>
        <w:t>平货箱</w:t>
      </w:r>
      <w:r>
        <w:rPr>
          <w:rFonts w:hint="eastAsia" w:ascii="宋体" w:hAnsi="宋体"/>
          <w:bCs/>
          <w:sz w:val="24"/>
          <w:u w:val="single"/>
        </w:rPr>
        <w:t>皮卡</w:t>
      </w:r>
      <w:r>
        <w:rPr>
          <w:rFonts w:hint="eastAsia" w:ascii="宋体" w:hAnsi="宋体"/>
          <w:bCs/>
          <w:sz w:val="24"/>
          <w:u w:val="single"/>
          <w:lang w:val="en-US" w:eastAsia="zh-CN"/>
        </w:rPr>
        <w:t>冲压</w:t>
      </w:r>
      <w:r>
        <w:rPr>
          <w:rFonts w:hint="eastAsia" w:ascii="宋体" w:hAnsi="宋体"/>
          <w:bCs/>
          <w:sz w:val="24"/>
          <w:u w:val="single"/>
        </w:rPr>
        <w:t>模</w:t>
      </w:r>
      <w:r>
        <w:rPr>
          <w:rFonts w:hint="eastAsia" w:ascii="宋体" w:hAnsi="宋体"/>
          <w:bCs/>
          <w:sz w:val="24"/>
          <w:u w:val="single"/>
          <w:lang w:val="en-US" w:eastAsia="zh-CN"/>
        </w:rPr>
        <w:t>检</w:t>
      </w:r>
      <w:r>
        <w:rPr>
          <w:rFonts w:hint="eastAsia" w:ascii="宋体" w:hAnsi="宋体"/>
          <w:bCs/>
          <w:sz w:val="24"/>
          <w:u w:val="single"/>
        </w:rPr>
        <w:t>具</w:t>
      </w:r>
      <w:r>
        <w:rPr>
          <w:rFonts w:hint="eastAsia" w:ascii="宋体" w:hAnsi="宋体"/>
          <w:sz w:val="24"/>
        </w:rPr>
        <w:t>进行公开招标，资金已落实，具备招标条件，欢迎合格潜在投标方</w:t>
      </w:r>
      <w:r>
        <w:rPr>
          <w:rFonts w:hint="eastAsia" w:ascii="宋体" w:hAnsi="宋体" w:cs="仿宋_GB2312"/>
          <w:kern w:val="0"/>
          <w:sz w:val="24"/>
        </w:rPr>
        <w:t>前来参加投标，本项目允许分投分中</w:t>
      </w:r>
      <w:r>
        <w:rPr>
          <w:rFonts w:hint="eastAsia" w:ascii="宋体" w:hAnsi="宋体"/>
          <w:sz w:val="24"/>
        </w:rPr>
        <w:t>。</w:t>
      </w:r>
    </w:p>
    <w:p>
      <w:pPr>
        <w:spacing w:line="360" w:lineRule="auto"/>
        <w:rPr>
          <w:rFonts w:ascii="宋体" w:hAnsi="宋体"/>
          <w:b/>
          <w:sz w:val="24"/>
        </w:rPr>
      </w:pPr>
      <w:r>
        <w:rPr>
          <w:rFonts w:hint="eastAsia" w:ascii="宋体" w:hAnsi="宋体"/>
          <w:b/>
          <w:sz w:val="24"/>
        </w:rPr>
        <w:t>1、项目名称</w:t>
      </w:r>
    </w:p>
    <w:p>
      <w:pPr>
        <w:spacing w:line="360" w:lineRule="auto"/>
        <w:ind w:firstLine="480" w:firstLineChars="200"/>
        <w:rPr>
          <w:rFonts w:ascii="宋体" w:hAnsi="宋体"/>
          <w:sz w:val="24"/>
          <w:u w:val="single"/>
        </w:rPr>
      </w:pPr>
      <w:r>
        <w:rPr>
          <w:rFonts w:hint="eastAsia" w:ascii="宋体" w:hAnsi="宋体"/>
          <w:sz w:val="24"/>
        </w:rPr>
        <w:t>项目名称：</w:t>
      </w:r>
      <w:r>
        <w:rPr>
          <w:rFonts w:hint="eastAsia" w:ascii="宋体" w:hAnsi="宋体"/>
          <w:sz w:val="24"/>
          <w:u w:val="single"/>
          <w:lang w:val="en-US" w:eastAsia="zh-CN"/>
        </w:rPr>
        <w:t>平货箱皮卡</w:t>
      </w:r>
      <w:r>
        <w:rPr>
          <w:rFonts w:hint="eastAsia" w:ascii="宋体" w:hAnsi="宋体"/>
          <w:sz w:val="24"/>
          <w:u w:val="single"/>
        </w:rPr>
        <w:t>冲压模</w:t>
      </w:r>
      <w:r>
        <w:rPr>
          <w:rFonts w:hint="eastAsia" w:ascii="宋体" w:hAnsi="宋体"/>
          <w:sz w:val="24"/>
          <w:u w:val="single"/>
          <w:lang w:val="en-US" w:eastAsia="zh-CN"/>
        </w:rPr>
        <w:t>检</w:t>
      </w:r>
      <w:r>
        <w:rPr>
          <w:rFonts w:hint="eastAsia" w:ascii="宋体" w:hAnsi="宋体"/>
          <w:sz w:val="24"/>
          <w:u w:val="single"/>
        </w:rPr>
        <w:t>具</w:t>
      </w:r>
      <w:r>
        <w:rPr>
          <w:rFonts w:hint="eastAsia" w:ascii="宋体" w:hAnsi="宋体"/>
          <w:bCs/>
          <w:sz w:val="24"/>
          <w:u w:val="single"/>
        </w:rPr>
        <w:t>项目</w:t>
      </w:r>
    </w:p>
    <w:p>
      <w:pPr>
        <w:spacing w:line="360" w:lineRule="auto"/>
        <w:rPr>
          <w:rFonts w:ascii="宋体" w:hAnsi="宋体"/>
          <w:b/>
          <w:sz w:val="24"/>
        </w:rPr>
      </w:pPr>
      <w:r>
        <w:rPr>
          <w:rFonts w:hint="eastAsia" w:ascii="宋体" w:hAnsi="宋体"/>
          <w:b/>
          <w:sz w:val="24"/>
        </w:rPr>
        <w:t>2、招标内容</w:t>
      </w:r>
    </w:p>
    <w:p>
      <w:pPr>
        <w:spacing w:line="360" w:lineRule="auto"/>
        <w:ind w:firstLine="480" w:firstLineChars="200"/>
        <w:rPr>
          <w:rFonts w:ascii="宋体" w:hAnsi="宋体"/>
          <w:bCs/>
          <w:sz w:val="24"/>
        </w:rPr>
      </w:pPr>
      <w:r>
        <w:rPr>
          <w:rFonts w:hint="eastAsia" w:ascii="宋体" w:hAnsi="宋体"/>
          <w:bCs/>
          <w:sz w:val="24"/>
        </w:rPr>
        <w:t>本次招标为</w:t>
      </w:r>
      <w:r>
        <w:rPr>
          <w:rFonts w:hint="eastAsia" w:ascii="宋体" w:hAnsi="宋体"/>
          <w:bCs/>
          <w:sz w:val="24"/>
          <w:u w:val="single"/>
          <w:lang w:val="en-US" w:eastAsia="zh-CN"/>
        </w:rPr>
        <w:t>平货箱</w:t>
      </w:r>
      <w:r>
        <w:rPr>
          <w:rFonts w:hint="eastAsia" w:ascii="宋体" w:hAnsi="宋体"/>
          <w:bCs/>
          <w:sz w:val="24"/>
          <w:u w:val="single"/>
        </w:rPr>
        <w:t>皮卡模</w:t>
      </w:r>
      <w:r>
        <w:rPr>
          <w:rFonts w:hint="eastAsia" w:ascii="宋体" w:hAnsi="宋体"/>
          <w:bCs/>
          <w:sz w:val="24"/>
          <w:u w:val="single"/>
          <w:lang w:val="en-US" w:eastAsia="zh-CN"/>
        </w:rPr>
        <w:t>检</w:t>
      </w:r>
      <w:r>
        <w:rPr>
          <w:rFonts w:hint="eastAsia" w:ascii="宋体" w:hAnsi="宋体"/>
          <w:bCs/>
          <w:sz w:val="24"/>
          <w:u w:val="single"/>
        </w:rPr>
        <w:t>具的</w:t>
      </w:r>
      <w:r>
        <w:rPr>
          <w:rFonts w:hint="eastAsia" w:ascii="宋体" w:hAnsi="宋体"/>
          <w:sz w:val="24"/>
        </w:rPr>
        <w:t>采购</w:t>
      </w:r>
      <w:r>
        <w:rPr>
          <w:rFonts w:hint="eastAsia" w:ascii="宋体" w:hAnsi="宋体"/>
          <w:bCs/>
          <w:sz w:val="24"/>
        </w:rPr>
        <w:t>，交钥匙工程。</w:t>
      </w:r>
    </w:p>
    <w:p>
      <w:pPr>
        <w:spacing w:line="360" w:lineRule="auto"/>
        <w:ind w:firstLine="480" w:firstLineChars="200"/>
        <w:jc w:val="left"/>
        <w:rPr>
          <w:rFonts w:ascii="宋体" w:hAnsi="宋体"/>
          <w:sz w:val="24"/>
        </w:rPr>
      </w:pPr>
      <w:r>
        <w:rPr>
          <w:rFonts w:hint="eastAsia" w:ascii="宋体" w:hAnsi="宋体"/>
          <w:bCs/>
          <w:sz w:val="24"/>
        </w:rPr>
        <w:t>投标报价</w:t>
      </w:r>
      <w:r>
        <w:rPr>
          <w:rFonts w:hint="eastAsia" w:ascii="宋体" w:hAnsi="宋体"/>
          <w:sz w:val="24"/>
        </w:rPr>
        <w:t>包括：</w:t>
      </w:r>
      <w:r>
        <w:rPr>
          <w:rFonts w:hint="eastAsia" w:ascii="宋体" w:hAnsi="宋体"/>
          <w:sz w:val="24"/>
          <w:u w:val="single"/>
        </w:rPr>
        <w:t>全部（全新）产品价、运杂费（包括现场卸车费）、</w:t>
      </w:r>
      <w:r>
        <w:rPr>
          <w:rFonts w:hint="eastAsia" w:ascii="宋体" w:hAnsi="宋体"/>
          <w:bCs/>
          <w:sz w:val="24"/>
          <w:u w:val="single"/>
        </w:rPr>
        <w:t>设计、制</w:t>
      </w:r>
      <w:r>
        <w:rPr>
          <w:rFonts w:hint="eastAsia" w:ascii="宋体" w:hAnsi="宋体"/>
          <w:sz w:val="24"/>
          <w:u w:val="single"/>
        </w:rPr>
        <w:t>造、安装、调试</w:t>
      </w:r>
      <w:r>
        <w:rPr>
          <w:rFonts w:hint="eastAsia" w:ascii="宋体" w:hAnsi="宋体"/>
          <w:bCs/>
          <w:sz w:val="24"/>
          <w:u w:val="single"/>
        </w:rPr>
        <w:t>、验收、</w:t>
      </w:r>
      <w:r>
        <w:rPr>
          <w:rFonts w:hint="eastAsia" w:ascii="宋体" w:hAnsi="宋体"/>
          <w:sz w:val="24"/>
          <w:u w:val="single"/>
        </w:rPr>
        <w:t>技术及售后服务费、技术资料费等所有费用的总和。所有投标均以人民币报价</w:t>
      </w:r>
      <w:r>
        <w:rPr>
          <w:rFonts w:hint="eastAsia" w:ascii="宋体" w:hAnsi="宋体"/>
          <w:sz w:val="24"/>
        </w:rPr>
        <w:t>。</w:t>
      </w:r>
    </w:p>
    <w:p>
      <w:pPr>
        <w:spacing w:line="360" w:lineRule="auto"/>
        <w:rPr>
          <w:rFonts w:ascii="宋体" w:hAnsi="宋体"/>
          <w:sz w:val="24"/>
          <w:szCs w:val="22"/>
        </w:rPr>
      </w:pPr>
      <w:r>
        <w:rPr>
          <w:rFonts w:hint="eastAsia" w:ascii="宋体" w:hAnsi="宋体"/>
          <w:b/>
          <w:sz w:val="24"/>
        </w:rPr>
        <w:t>3、投标方资格要求</w:t>
      </w:r>
    </w:p>
    <w:p>
      <w:pPr>
        <w:spacing w:line="360" w:lineRule="auto"/>
        <w:ind w:firstLine="360" w:firstLineChars="150"/>
        <w:rPr>
          <w:rFonts w:ascii="宋体" w:hAnsi="宋体"/>
          <w:kern w:val="0"/>
          <w:sz w:val="24"/>
        </w:rPr>
      </w:pPr>
      <w:r>
        <w:rPr>
          <w:rFonts w:hint="eastAsia" w:ascii="宋体" w:hAnsi="宋体"/>
          <w:kern w:val="0"/>
          <w:sz w:val="24"/>
        </w:rPr>
        <w:t>3.1投标方必须是在中华人民共和国境内注册的独立法人机构，具有独立承担民事责任能力，</w:t>
      </w:r>
      <w:r>
        <w:rPr>
          <w:rFonts w:hint="eastAsia" w:ascii="宋体" w:hAnsi="宋体"/>
          <w:kern w:val="0"/>
          <w:sz w:val="24"/>
          <w:u w:val="single"/>
        </w:rPr>
        <w:t>成立满三年</w:t>
      </w:r>
      <w:r>
        <w:rPr>
          <w:rFonts w:hint="eastAsia" w:ascii="宋体" w:hAnsi="宋体"/>
          <w:kern w:val="0"/>
          <w:sz w:val="24"/>
        </w:rPr>
        <w:t>（以营业执照成立日期到开标当日满三年为准）。</w:t>
      </w:r>
    </w:p>
    <w:p>
      <w:pPr>
        <w:spacing w:line="360" w:lineRule="auto"/>
        <w:ind w:firstLine="360" w:firstLineChars="150"/>
        <w:rPr>
          <w:rFonts w:ascii="宋体" w:hAnsi="宋体"/>
          <w:kern w:val="0"/>
          <w:sz w:val="24"/>
        </w:rPr>
      </w:pPr>
      <w:r>
        <w:rPr>
          <w:rFonts w:hint="eastAsia" w:ascii="宋体" w:hAnsi="宋体"/>
          <w:kern w:val="0"/>
          <w:sz w:val="24"/>
        </w:rPr>
        <w:t>3.2投标方的注册资本不少于</w:t>
      </w:r>
      <w:r>
        <w:rPr>
          <w:rFonts w:hint="eastAsia" w:ascii="宋体" w:hAnsi="宋体"/>
          <w:kern w:val="0"/>
          <w:sz w:val="24"/>
          <w:u w:val="single"/>
        </w:rPr>
        <w:t>5000</w:t>
      </w:r>
      <w:r>
        <w:rPr>
          <w:rFonts w:hint="eastAsia" w:ascii="宋体" w:hAnsi="宋体"/>
          <w:kern w:val="0"/>
          <w:sz w:val="24"/>
        </w:rPr>
        <w:t>万元。</w:t>
      </w:r>
      <w:r>
        <w:rPr>
          <w:rFonts w:hint="eastAsia" w:ascii="宋体" w:hAnsi="宋体"/>
          <w:kern w:val="0"/>
          <w:sz w:val="24"/>
          <w:u w:val="single"/>
        </w:rPr>
        <w:t>具有车身冲压模具的设计、加工及安装调试能力</w:t>
      </w:r>
      <w:r>
        <w:rPr>
          <w:rFonts w:hint="eastAsia" w:ascii="宋体" w:hAnsi="宋体"/>
          <w:kern w:val="0"/>
          <w:sz w:val="24"/>
        </w:rPr>
        <w:t>。</w:t>
      </w:r>
    </w:p>
    <w:p>
      <w:pPr>
        <w:spacing w:line="360" w:lineRule="auto"/>
        <w:ind w:firstLine="360" w:firstLineChars="150"/>
        <w:rPr>
          <w:rFonts w:ascii="宋体" w:hAnsi="宋体"/>
          <w:kern w:val="0"/>
          <w:sz w:val="24"/>
        </w:rPr>
      </w:pPr>
      <w:r>
        <w:rPr>
          <w:rFonts w:hint="eastAsia" w:ascii="宋体" w:hAnsi="宋体"/>
          <w:kern w:val="0"/>
          <w:sz w:val="24"/>
        </w:rPr>
        <w:t>3.3投标方满足技术、质量、资金等要求，财务状况良好、经营稳定，具有全面履约的能力，</w:t>
      </w:r>
      <w:r>
        <w:rPr>
          <w:rFonts w:hint="eastAsia" w:ascii="宋体" w:hAnsi="宋体"/>
          <w:kern w:val="0"/>
          <w:sz w:val="24"/>
          <w:u w:val="single"/>
        </w:rPr>
        <w:t>能提供相关信用等级和完税证明</w:t>
      </w:r>
      <w:r>
        <w:rPr>
          <w:rFonts w:hint="eastAsia" w:ascii="宋体" w:hAnsi="宋体"/>
          <w:kern w:val="0"/>
          <w:sz w:val="24"/>
        </w:rPr>
        <w:t>。</w:t>
      </w:r>
    </w:p>
    <w:p>
      <w:pPr>
        <w:spacing w:line="360" w:lineRule="auto"/>
        <w:ind w:firstLine="360" w:firstLineChars="150"/>
        <w:rPr>
          <w:rFonts w:ascii="宋体" w:hAnsi="宋体"/>
          <w:kern w:val="0"/>
          <w:sz w:val="24"/>
        </w:rPr>
      </w:pPr>
      <w:r>
        <w:rPr>
          <w:rFonts w:hint="eastAsia" w:ascii="宋体" w:hAnsi="宋体"/>
          <w:kern w:val="0"/>
          <w:sz w:val="24"/>
        </w:rPr>
        <w:t>3.4公司信誉良好，无违法违规等不良行为，</w:t>
      </w:r>
      <w:r>
        <w:rPr>
          <w:rFonts w:hint="eastAsia" w:ascii="宋体" w:hAnsi="宋体"/>
          <w:kern w:val="0"/>
          <w:sz w:val="24"/>
          <w:u w:val="single"/>
        </w:rPr>
        <w:t>在“信用中国”中未列入联合惩戒失信人名单</w:t>
      </w:r>
      <w:r>
        <w:rPr>
          <w:rFonts w:hint="eastAsia" w:ascii="宋体" w:hAnsi="宋体"/>
          <w:kern w:val="0"/>
          <w:sz w:val="24"/>
        </w:rPr>
        <w:t>。</w:t>
      </w:r>
    </w:p>
    <w:p>
      <w:pPr>
        <w:spacing w:line="360" w:lineRule="auto"/>
        <w:ind w:firstLine="360" w:firstLineChars="150"/>
        <w:rPr>
          <w:rFonts w:ascii="宋体" w:hAnsi="宋体"/>
          <w:kern w:val="0"/>
          <w:sz w:val="24"/>
        </w:rPr>
      </w:pPr>
      <w:r>
        <w:rPr>
          <w:rFonts w:hint="eastAsia" w:ascii="宋体" w:hAnsi="宋体"/>
          <w:kern w:val="0"/>
          <w:sz w:val="24"/>
        </w:rPr>
        <w:t>3.5无招标违规、谎报年度报告信息、提供虚假资质资料等行为或其他与本投标业务有关的行政处罚记录</w:t>
      </w:r>
      <w:r>
        <w:rPr>
          <w:rFonts w:hint="eastAsia" w:ascii="宋体" w:hAnsi="宋体"/>
          <w:kern w:val="0"/>
          <w:sz w:val="24"/>
        </w:rPr>
        <w:t>。</w:t>
      </w:r>
    </w:p>
    <w:p>
      <w:pPr>
        <w:spacing w:line="360" w:lineRule="auto"/>
        <w:ind w:firstLine="360" w:firstLineChars="150"/>
        <w:rPr>
          <w:rFonts w:ascii="宋体" w:hAnsi="宋体"/>
          <w:kern w:val="0"/>
          <w:sz w:val="24"/>
        </w:rPr>
      </w:pPr>
      <w:r>
        <w:rPr>
          <w:rFonts w:hint="eastAsia" w:ascii="宋体" w:hAnsi="宋体"/>
          <w:kern w:val="0"/>
          <w:sz w:val="24"/>
        </w:rPr>
        <w:t>3.6投标方的直接或间接股东、法定代表人、董事、监事、高管非重汽员工及其亲属。</w:t>
      </w:r>
    </w:p>
    <w:p>
      <w:pPr>
        <w:spacing w:line="360" w:lineRule="auto"/>
        <w:ind w:firstLine="360" w:firstLineChars="150"/>
        <w:rPr>
          <w:rFonts w:ascii="宋体" w:hAnsi="宋体"/>
          <w:kern w:val="0"/>
          <w:sz w:val="24"/>
        </w:rPr>
      </w:pPr>
      <w:r>
        <w:rPr>
          <w:rFonts w:hint="eastAsia" w:ascii="宋体" w:hAnsi="宋体"/>
          <w:kern w:val="0"/>
          <w:sz w:val="24"/>
        </w:rPr>
        <w:t>3.7没有被中国重汽集团列入黑名单。</w:t>
      </w:r>
    </w:p>
    <w:p>
      <w:pPr>
        <w:spacing w:line="360" w:lineRule="auto"/>
        <w:ind w:firstLine="360" w:firstLineChars="150"/>
        <w:rPr>
          <w:rFonts w:hint="eastAsia" w:ascii="宋体" w:hAnsi="宋体"/>
          <w:kern w:val="0"/>
          <w:sz w:val="24"/>
        </w:rPr>
      </w:pPr>
      <w:r>
        <w:rPr>
          <w:rFonts w:hint="eastAsia" w:ascii="宋体" w:hAnsi="宋体"/>
          <w:kern w:val="0"/>
          <w:sz w:val="24"/>
        </w:rPr>
        <w:t>3.8法律法规对合格投标方的其他要求、规定。</w:t>
      </w:r>
    </w:p>
    <w:p>
      <w:pPr>
        <w:spacing w:line="360" w:lineRule="auto"/>
        <w:ind w:firstLine="360" w:firstLineChars="150"/>
        <w:rPr>
          <w:rFonts w:hint="default" w:ascii="宋体" w:hAnsi="宋体" w:eastAsia="宋体"/>
          <w:kern w:val="0"/>
          <w:sz w:val="24"/>
          <w:lang w:val="en-US" w:eastAsia="zh-CN"/>
        </w:rPr>
      </w:pPr>
      <w:r>
        <w:rPr>
          <w:rFonts w:hint="eastAsia" w:ascii="宋体" w:hAnsi="宋体"/>
          <w:kern w:val="0"/>
          <w:sz w:val="24"/>
          <w:lang w:val="en-US" w:eastAsia="zh-CN"/>
        </w:rPr>
        <w:t>3.9投标方为</w:t>
      </w:r>
      <w:r>
        <w:rPr>
          <w:rFonts w:hint="eastAsia" w:ascii="宋体" w:hAnsi="宋体"/>
          <w:kern w:val="0"/>
          <w:sz w:val="24"/>
        </w:rPr>
        <w:t>国内知名的模具企业，</w:t>
      </w:r>
      <w:r>
        <w:rPr>
          <w:rFonts w:hint="eastAsia" w:ascii="宋体" w:hAnsi="宋体"/>
          <w:kern w:val="0"/>
          <w:sz w:val="24"/>
          <w:u w:val="single"/>
        </w:rPr>
        <w:t>乘用车车身冲压模具AA级企业</w:t>
      </w:r>
      <w:r>
        <w:rPr>
          <w:rFonts w:hint="eastAsia" w:ascii="宋体" w:hAnsi="宋体"/>
          <w:kern w:val="0"/>
          <w:sz w:val="24"/>
        </w:rPr>
        <w:t>。</w:t>
      </w:r>
    </w:p>
    <w:p>
      <w:pPr>
        <w:spacing w:line="360" w:lineRule="auto"/>
        <w:ind w:firstLine="360" w:firstLineChars="150"/>
        <w:rPr>
          <w:rFonts w:hint="default" w:ascii="宋体" w:hAnsi="宋体" w:eastAsia="宋体"/>
          <w:kern w:val="0"/>
          <w:sz w:val="24"/>
          <w:u w:val="single"/>
          <w:lang w:val="en-US" w:eastAsia="zh-CN"/>
        </w:rPr>
      </w:pPr>
      <w:r>
        <w:rPr>
          <w:rFonts w:hint="eastAsia" w:ascii="宋体" w:hAnsi="宋体"/>
          <w:kern w:val="0"/>
          <w:sz w:val="24"/>
          <w:u w:val="single"/>
          <w:lang w:val="en-US" w:eastAsia="zh-CN"/>
        </w:rPr>
        <w:t>3.10本项目允许投标方分包，但分包承包方需经招标方许可方可承接。</w:t>
      </w:r>
    </w:p>
    <w:p>
      <w:pPr>
        <w:spacing w:line="360" w:lineRule="auto"/>
        <w:rPr>
          <w:rFonts w:ascii="宋体" w:hAnsi="宋体"/>
          <w:b/>
          <w:sz w:val="24"/>
        </w:rPr>
      </w:pPr>
      <w:r>
        <w:rPr>
          <w:rFonts w:hint="eastAsia" w:ascii="宋体" w:hAnsi="宋体"/>
          <w:b/>
          <w:sz w:val="24"/>
        </w:rPr>
        <w:t>4、</w:t>
      </w:r>
      <w:r>
        <w:rPr>
          <w:rFonts w:hint="eastAsia" w:ascii="宋体" w:hAnsi="宋体"/>
          <w:b/>
          <w:bCs/>
          <w:sz w:val="24"/>
        </w:rPr>
        <w:t>招标文件的获取</w:t>
      </w:r>
    </w:p>
    <w:p>
      <w:pPr>
        <w:spacing w:line="360" w:lineRule="auto"/>
        <w:ind w:firstLine="480" w:firstLineChars="200"/>
        <w:rPr>
          <w:rFonts w:ascii="宋体" w:hAnsi="宋体"/>
          <w:bCs/>
          <w:sz w:val="24"/>
        </w:rPr>
      </w:pPr>
      <w:r>
        <w:rPr>
          <w:rFonts w:hint="eastAsia" w:ascii="宋体" w:hAnsi="宋体"/>
          <w:bCs/>
          <w:sz w:val="24"/>
        </w:rPr>
        <w:t>4</w:t>
      </w:r>
      <w:r>
        <w:rPr>
          <w:rFonts w:ascii="宋体" w:hAnsi="宋体"/>
          <w:bCs/>
          <w:sz w:val="24"/>
        </w:rPr>
        <w:t>.1报名</w:t>
      </w:r>
      <w:r>
        <w:rPr>
          <w:rFonts w:hint="eastAsia" w:ascii="宋体" w:hAnsi="宋体"/>
          <w:bCs/>
          <w:sz w:val="24"/>
        </w:rPr>
        <w:t>时间：</w:t>
      </w:r>
      <w:r>
        <w:rPr>
          <w:rFonts w:hint="eastAsia" w:ascii="宋体" w:hAnsi="宋体"/>
          <w:bCs/>
          <w:sz w:val="24"/>
          <w:highlight w:val="yellow"/>
          <w:u w:val="single"/>
        </w:rPr>
        <w:t>202</w:t>
      </w:r>
      <w:r>
        <w:rPr>
          <w:rFonts w:hint="eastAsia" w:ascii="宋体" w:hAnsi="宋体"/>
          <w:bCs/>
          <w:sz w:val="24"/>
          <w:highlight w:val="yellow"/>
          <w:u w:val="single"/>
          <w:lang w:val="en-US" w:eastAsia="zh-CN"/>
        </w:rPr>
        <w:t>2</w:t>
      </w:r>
      <w:r>
        <w:rPr>
          <w:rFonts w:ascii="宋体" w:hAnsi="宋体"/>
          <w:bCs/>
          <w:sz w:val="24"/>
          <w:highlight w:val="yellow"/>
          <w:u w:val="single"/>
        </w:rPr>
        <w:t>年</w:t>
      </w:r>
      <w:r>
        <w:rPr>
          <w:rFonts w:hint="eastAsia" w:ascii="宋体" w:hAnsi="宋体"/>
          <w:bCs/>
          <w:sz w:val="24"/>
          <w:highlight w:val="yellow"/>
          <w:u w:val="single"/>
          <w:lang w:val="en-US" w:eastAsia="zh-CN"/>
        </w:rPr>
        <w:t>11</w:t>
      </w:r>
      <w:r>
        <w:rPr>
          <w:rFonts w:ascii="宋体" w:hAnsi="宋体"/>
          <w:bCs/>
          <w:sz w:val="24"/>
          <w:highlight w:val="yellow"/>
          <w:u w:val="single"/>
        </w:rPr>
        <w:t>月</w:t>
      </w:r>
      <w:r>
        <w:rPr>
          <w:rFonts w:hint="eastAsia" w:ascii="宋体" w:hAnsi="宋体"/>
          <w:bCs/>
          <w:sz w:val="24"/>
          <w:highlight w:val="yellow"/>
          <w:u w:val="single"/>
        </w:rPr>
        <w:t>1</w:t>
      </w:r>
      <w:r>
        <w:rPr>
          <w:rFonts w:hint="eastAsia" w:ascii="宋体" w:hAnsi="宋体"/>
          <w:bCs/>
          <w:sz w:val="24"/>
          <w:highlight w:val="yellow"/>
          <w:u w:val="single"/>
          <w:lang w:val="en-US" w:eastAsia="zh-CN"/>
        </w:rPr>
        <w:t>5</w:t>
      </w:r>
      <w:r>
        <w:rPr>
          <w:rFonts w:ascii="宋体" w:hAnsi="宋体"/>
          <w:bCs/>
          <w:sz w:val="24"/>
          <w:highlight w:val="yellow"/>
          <w:u w:val="single"/>
        </w:rPr>
        <w:t>日</w:t>
      </w:r>
      <w:r>
        <w:rPr>
          <w:rFonts w:hint="eastAsia" w:ascii="宋体" w:hAnsi="宋体"/>
          <w:bCs/>
          <w:sz w:val="24"/>
          <w:highlight w:val="yellow"/>
        </w:rPr>
        <w:t>—</w:t>
      </w:r>
      <w:r>
        <w:rPr>
          <w:rFonts w:hint="eastAsia" w:ascii="宋体" w:hAnsi="宋体"/>
          <w:bCs/>
          <w:sz w:val="24"/>
          <w:highlight w:val="yellow"/>
          <w:u w:val="single"/>
        </w:rPr>
        <w:t>202</w:t>
      </w:r>
      <w:r>
        <w:rPr>
          <w:rFonts w:hint="eastAsia" w:ascii="宋体" w:hAnsi="宋体"/>
          <w:bCs/>
          <w:sz w:val="24"/>
          <w:highlight w:val="yellow"/>
          <w:u w:val="single"/>
          <w:lang w:val="en-US" w:eastAsia="zh-CN"/>
        </w:rPr>
        <w:t>2</w:t>
      </w:r>
      <w:r>
        <w:rPr>
          <w:rFonts w:ascii="宋体" w:hAnsi="宋体"/>
          <w:bCs/>
          <w:sz w:val="24"/>
          <w:highlight w:val="yellow"/>
          <w:u w:val="single"/>
        </w:rPr>
        <w:t>年</w:t>
      </w:r>
      <w:r>
        <w:rPr>
          <w:rFonts w:hint="eastAsia" w:ascii="宋体" w:hAnsi="宋体"/>
          <w:bCs/>
          <w:sz w:val="24"/>
          <w:highlight w:val="yellow"/>
          <w:u w:val="single"/>
          <w:lang w:val="en-US" w:eastAsia="zh-CN"/>
        </w:rPr>
        <w:t>11</w:t>
      </w:r>
      <w:r>
        <w:rPr>
          <w:rFonts w:ascii="宋体" w:hAnsi="宋体"/>
          <w:bCs/>
          <w:sz w:val="24"/>
          <w:highlight w:val="yellow"/>
          <w:u w:val="single"/>
        </w:rPr>
        <w:t>月</w:t>
      </w:r>
      <w:r>
        <w:rPr>
          <w:rFonts w:hint="eastAsia" w:ascii="宋体" w:hAnsi="宋体"/>
          <w:bCs/>
          <w:sz w:val="24"/>
          <w:highlight w:val="yellow"/>
          <w:u w:val="single"/>
          <w:lang w:val="en-US" w:eastAsia="zh-CN"/>
        </w:rPr>
        <w:t>22</w:t>
      </w:r>
      <w:r>
        <w:rPr>
          <w:rFonts w:hint="eastAsia" w:ascii="宋体" w:hAnsi="宋体"/>
          <w:bCs/>
          <w:sz w:val="24"/>
          <w:highlight w:val="yellow"/>
          <w:u w:val="single"/>
        </w:rPr>
        <w:t>日</w:t>
      </w:r>
      <w:r>
        <w:rPr>
          <w:rFonts w:hint="eastAsia" w:ascii="宋体" w:hAnsi="宋体"/>
          <w:bCs/>
          <w:sz w:val="24"/>
          <w:u w:val="single"/>
        </w:rPr>
        <w:t xml:space="preserve"> </w:t>
      </w:r>
      <w:r>
        <w:rPr>
          <w:rFonts w:hint="eastAsia" w:ascii="宋体" w:hAnsi="宋体"/>
          <w:bCs/>
          <w:sz w:val="24"/>
        </w:rPr>
        <w:t>上午8：30到17:00（节假日除外）</w:t>
      </w:r>
      <w:r>
        <w:rPr>
          <w:rFonts w:hint="eastAsia" w:ascii="宋体" w:hAnsi="宋体" w:cs="宋体"/>
          <w:kern w:val="0"/>
          <w:sz w:val="24"/>
        </w:rPr>
        <w:t xml:space="preserve">。                                                                                                                                                                                                                                                                                                                   </w:t>
      </w:r>
    </w:p>
    <w:p>
      <w:pPr>
        <w:spacing w:line="360" w:lineRule="auto"/>
        <w:ind w:firstLine="480" w:firstLineChars="200"/>
        <w:rPr>
          <w:rFonts w:ascii="宋体" w:hAnsi="宋体"/>
          <w:bCs/>
          <w:sz w:val="24"/>
        </w:rPr>
      </w:pPr>
      <w:r>
        <w:rPr>
          <w:rFonts w:hint="eastAsia" w:ascii="宋体" w:hAnsi="宋体"/>
          <w:bCs/>
          <w:sz w:val="24"/>
        </w:rPr>
        <w:t>4.2报名方式：</w:t>
      </w:r>
    </w:p>
    <w:p>
      <w:pPr>
        <w:spacing w:line="360" w:lineRule="auto"/>
        <w:ind w:firstLine="480" w:firstLineChars="200"/>
        <w:rPr>
          <w:rFonts w:ascii="宋体" w:hAnsi="宋体"/>
          <w:bCs/>
          <w:sz w:val="24"/>
        </w:rPr>
      </w:pPr>
      <w:r>
        <w:rPr>
          <w:rFonts w:hint="eastAsia" w:ascii="宋体" w:hAnsi="宋体" w:cs="宋体"/>
          <w:kern w:val="0"/>
          <w:sz w:val="24"/>
        </w:rPr>
        <w:t>报名需提交以下信息发送至招标方联系人邮箱（</w:t>
      </w:r>
      <w:r>
        <w:rPr>
          <w:rFonts w:hint="eastAsia" w:ascii="宋体" w:hAnsi="宋体" w:cs="宋体"/>
          <w:kern w:val="0"/>
          <w:sz w:val="24"/>
          <w:lang w:val="en-US" w:eastAsia="zh-CN"/>
        </w:rPr>
        <w:t>qkbyuxin</w:t>
      </w:r>
      <w:r>
        <w:rPr>
          <w:rFonts w:hint="eastAsia" w:ascii="宋体" w:hAnsi="宋体" w:cs="宋体"/>
          <w:b w:val="0"/>
          <w:bCs w:val="0"/>
          <w:kern w:val="0"/>
          <w:sz w:val="24"/>
          <w:u w:val="single"/>
        </w:rPr>
        <w:t>@sinotruk.com</w:t>
      </w:r>
      <w:r>
        <w:rPr>
          <w:rFonts w:hint="eastAsia" w:ascii="宋体" w:hAnsi="宋体" w:cs="宋体"/>
          <w:kern w:val="0"/>
          <w:sz w:val="24"/>
        </w:rPr>
        <w:t>）：</w:t>
      </w:r>
    </w:p>
    <w:p>
      <w:pPr>
        <w:spacing w:line="360" w:lineRule="auto"/>
        <w:ind w:firstLine="480" w:firstLineChars="200"/>
        <w:rPr>
          <w:rFonts w:ascii="宋体" w:hAnsi="宋体"/>
          <w:bCs/>
          <w:sz w:val="24"/>
        </w:rPr>
      </w:pPr>
      <w:r>
        <w:rPr>
          <w:rFonts w:hint="eastAsia" w:ascii="宋体" w:hAnsi="宋体"/>
          <w:bCs/>
          <w:sz w:val="24"/>
        </w:rPr>
        <w:t>①投标方公司全称；②投标方被授权人姓名、联系电话；③投标方接受招标文件及招标通知的邮箱；</w:t>
      </w:r>
      <w:r>
        <w:rPr>
          <w:rFonts w:ascii="宋体" w:hAnsi="宋体"/>
          <w:bCs/>
          <w:sz w:val="24"/>
        </w:rPr>
        <w:fldChar w:fldCharType="begin"/>
      </w:r>
      <w:r>
        <w:rPr>
          <w:rFonts w:hint="eastAsia" w:ascii="宋体" w:hAnsi="宋体"/>
          <w:bCs/>
          <w:sz w:val="24"/>
        </w:rPr>
        <w:instrText xml:space="preserve">= 4 \* GB3</w:instrText>
      </w:r>
      <w:r>
        <w:rPr>
          <w:rFonts w:ascii="宋体" w:hAnsi="宋体"/>
          <w:bCs/>
          <w:sz w:val="24"/>
        </w:rPr>
        <w:fldChar w:fldCharType="separate"/>
      </w:r>
      <w:r>
        <w:rPr>
          <w:rFonts w:hint="eastAsia" w:ascii="宋体" w:hAnsi="宋体"/>
          <w:bCs/>
          <w:sz w:val="24"/>
        </w:rPr>
        <w:t>④</w:t>
      </w:r>
      <w:r>
        <w:rPr>
          <w:rFonts w:ascii="宋体" w:hAnsi="宋体"/>
          <w:bCs/>
          <w:sz w:val="24"/>
        </w:rPr>
        <w:fldChar w:fldCharType="end"/>
      </w:r>
      <w:r>
        <w:rPr>
          <w:rFonts w:hint="eastAsia" w:ascii="宋体" w:hAnsi="宋体"/>
          <w:bCs/>
          <w:sz w:val="24"/>
        </w:rPr>
        <w:t>投标保证金汇款回执（备注项目名称及相关信息）。</w:t>
      </w:r>
    </w:p>
    <w:p>
      <w:pPr>
        <w:spacing w:line="360" w:lineRule="auto"/>
        <w:ind w:firstLine="480" w:firstLineChars="200"/>
        <w:rPr>
          <w:rFonts w:ascii="宋体" w:hAnsi="宋体"/>
          <w:bCs/>
          <w:sz w:val="24"/>
        </w:rPr>
      </w:pPr>
      <w:r>
        <w:rPr>
          <w:rFonts w:hint="eastAsia" w:ascii="宋体" w:hAnsi="宋体"/>
          <w:bCs/>
          <w:sz w:val="24"/>
        </w:rPr>
        <w:t>4.3招标文件获取：</w:t>
      </w:r>
    </w:p>
    <w:p>
      <w:pPr>
        <w:spacing w:line="360" w:lineRule="auto"/>
        <w:ind w:firstLine="480" w:firstLineChars="200"/>
        <w:rPr>
          <w:rFonts w:ascii="宋体" w:hAnsi="宋体"/>
          <w:i/>
          <w:iCs/>
          <w:sz w:val="24"/>
        </w:rPr>
      </w:pPr>
      <w:r>
        <w:rPr>
          <w:rFonts w:hint="eastAsia" w:ascii="宋体" w:hAnsi="宋体"/>
          <w:bCs/>
          <w:sz w:val="24"/>
        </w:rPr>
        <w:t>招标方联系人将本项目招标书电子版以电子邮件的形式发送至投标方所提供的邮箱，招标方不对投标方能否通过电子邮件正确或及时接收相关邮件负责，招标方邮件发出即视为送达。</w:t>
      </w:r>
    </w:p>
    <w:p>
      <w:pPr>
        <w:autoSpaceDE w:val="0"/>
        <w:autoSpaceDN w:val="0"/>
        <w:adjustRightInd w:val="0"/>
        <w:snapToGrid w:val="0"/>
        <w:spacing w:line="360" w:lineRule="auto"/>
        <w:jc w:val="left"/>
        <w:rPr>
          <w:rFonts w:ascii="宋体" w:hAnsi="宋体" w:cs="TimesNewRomanPSMT"/>
          <w:b/>
          <w:kern w:val="0"/>
          <w:sz w:val="24"/>
        </w:rPr>
      </w:pPr>
      <w:r>
        <w:rPr>
          <w:rFonts w:hint="eastAsia" w:ascii="宋体" w:hAnsi="宋体" w:cs="TimesNewRomanPSMT"/>
          <w:b/>
          <w:kern w:val="0"/>
          <w:sz w:val="24"/>
        </w:rPr>
        <w:t xml:space="preserve">5. </w:t>
      </w:r>
      <w:r>
        <w:rPr>
          <w:rFonts w:ascii="宋体" w:hAnsi="宋体" w:cs="TimesNewRomanPSMT"/>
          <w:b/>
          <w:kern w:val="0"/>
          <w:sz w:val="24"/>
        </w:rPr>
        <w:t>投标文件的递交</w:t>
      </w:r>
    </w:p>
    <w:p>
      <w:pPr>
        <w:pStyle w:val="26"/>
        <w:spacing w:after="0" w:line="360" w:lineRule="auto"/>
        <w:ind w:firstLine="480" w:firstLineChars="200"/>
        <w:rPr>
          <w:rFonts w:ascii="宋体" w:hAnsi="宋体"/>
          <w:sz w:val="24"/>
        </w:rPr>
      </w:pPr>
      <w:r>
        <w:rPr>
          <w:rFonts w:hint="eastAsia" w:ascii="宋体" w:hAnsi="宋体"/>
          <w:sz w:val="24"/>
        </w:rPr>
        <w:t>5</w:t>
      </w:r>
      <w:r>
        <w:rPr>
          <w:rFonts w:ascii="宋体" w:hAnsi="宋体"/>
          <w:sz w:val="24"/>
        </w:rPr>
        <w:t>.1投标文件递交的截止时间（投标截止时间，下同）</w:t>
      </w:r>
      <w:r>
        <w:rPr>
          <w:rFonts w:hint="eastAsia" w:ascii="宋体" w:hAnsi="宋体" w:cs="宋体"/>
          <w:sz w:val="24"/>
        </w:rPr>
        <w:t>详见招标文件中</w:t>
      </w:r>
      <w:r>
        <w:rPr>
          <w:rFonts w:hint="eastAsia" w:ascii="宋体" w:hAnsi="宋体" w:cs="宋体"/>
          <w:sz w:val="24"/>
          <w:szCs w:val="24"/>
        </w:rPr>
        <w:t>投标</w:t>
      </w:r>
      <w:r>
        <w:rPr>
          <w:rFonts w:hint="eastAsia" w:ascii="宋体" w:hAnsi="宋体"/>
          <w:bCs/>
          <w:sz w:val="24"/>
        </w:rPr>
        <w:t>方</w:t>
      </w:r>
      <w:r>
        <w:rPr>
          <w:rFonts w:hint="eastAsia" w:ascii="宋体" w:hAnsi="宋体" w:cs="宋体"/>
          <w:sz w:val="24"/>
          <w:szCs w:val="24"/>
        </w:rPr>
        <w:t>须知前附表第14项</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5</w:t>
      </w:r>
      <w:r>
        <w:rPr>
          <w:rFonts w:ascii="宋体" w:hAnsi="宋体"/>
          <w:sz w:val="24"/>
        </w:rPr>
        <w:t>.2</w:t>
      </w:r>
      <w:r>
        <w:rPr>
          <w:rFonts w:hint="eastAsia" w:ascii="宋体" w:hAnsi="宋体"/>
          <w:sz w:val="24"/>
        </w:rPr>
        <w:t xml:space="preserve"> 投标文件于开标当日在投标地点现场递交。</w:t>
      </w:r>
    </w:p>
    <w:p>
      <w:pPr>
        <w:spacing w:line="360" w:lineRule="auto"/>
        <w:ind w:firstLine="480" w:firstLineChars="200"/>
        <w:rPr>
          <w:rFonts w:ascii="宋体" w:hAnsi="宋体"/>
          <w:sz w:val="24"/>
        </w:rPr>
      </w:pPr>
      <w:r>
        <w:rPr>
          <w:rFonts w:hint="eastAsia" w:ascii="宋体" w:hAnsi="宋体"/>
          <w:sz w:val="24"/>
        </w:rPr>
        <w:t xml:space="preserve">5.3 </w:t>
      </w:r>
      <w:r>
        <w:rPr>
          <w:rFonts w:ascii="宋体" w:hAnsi="宋体"/>
          <w:sz w:val="24"/>
        </w:rPr>
        <w:t>逾期</w:t>
      </w:r>
      <w:r>
        <w:rPr>
          <w:rFonts w:hint="eastAsia" w:ascii="宋体" w:hAnsi="宋体"/>
          <w:sz w:val="24"/>
        </w:rPr>
        <w:t>递交</w:t>
      </w:r>
      <w:r>
        <w:rPr>
          <w:rFonts w:ascii="宋体" w:hAnsi="宋体"/>
          <w:sz w:val="24"/>
        </w:rPr>
        <w:t>的或者未</w:t>
      </w:r>
      <w:r>
        <w:rPr>
          <w:rFonts w:hint="eastAsia" w:ascii="宋体" w:hAnsi="宋体"/>
          <w:sz w:val="24"/>
        </w:rPr>
        <w:t>在</w:t>
      </w:r>
      <w:r>
        <w:rPr>
          <w:rFonts w:ascii="宋体" w:hAnsi="宋体"/>
          <w:sz w:val="24"/>
        </w:rPr>
        <w:t>指定地点</w:t>
      </w:r>
      <w:r>
        <w:rPr>
          <w:rFonts w:hint="eastAsia" w:ascii="宋体" w:hAnsi="宋体"/>
          <w:sz w:val="24"/>
        </w:rPr>
        <w:t>递交</w:t>
      </w:r>
      <w:r>
        <w:rPr>
          <w:rFonts w:ascii="宋体" w:hAnsi="宋体"/>
          <w:sz w:val="24"/>
        </w:rPr>
        <w:t>的投标文件，招标</w:t>
      </w:r>
      <w:r>
        <w:rPr>
          <w:rFonts w:hint="eastAsia" w:ascii="宋体" w:hAnsi="宋体"/>
          <w:bCs/>
          <w:sz w:val="24"/>
        </w:rPr>
        <w:t>方</w:t>
      </w:r>
      <w:r>
        <w:rPr>
          <w:rFonts w:ascii="宋体" w:hAnsi="宋体"/>
          <w:sz w:val="24"/>
        </w:rPr>
        <w:t>不予受理。</w:t>
      </w:r>
    </w:p>
    <w:p>
      <w:pPr>
        <w:autoSpaceDE w:val="0"/>
        <w:autoSpaceDN w:val="0"/>
        <w:adjustRightInd w:val="0"/>
        <w:snapToGrid w:val="0"/>
        <w:spacing w:line="360" w:lineRule="auto"/>
        <w:jc w:val="left"/>
        <w:rPr>
          <w:rFonts w:ascii="宋体" w:hAnsi="宋体" w:cs="黑体"/>
          <w:b/>
          <w:kern w:val="0"/>
          <w:sz w:val="24"/>
        </w:rPr>
      </w:pPr>
      <w:r>
        <w:rPr>
          <w:rFonts w:hint="eastAsia" w:ascii="宋体" w:hAnsi="宋体" w:cs="TimesNewRomanPSMT"/>
          <w:b/>
          <w:kern w:val="0"/>
          <w:sz w:val="24"/>
        </w:rPr>
        <w:t>6、</w:t>
      </w:r>
      <w:r>
        <w:rPr>
          <w:rFonts w:hint="eastAsia" w:ascii="宋体" w:hAnsi="宋体" w:cs="黑体"/>
          <w:b/>
          <w:kern w:val="0"/>
          <w:sz w:val="24"/>
        </w:rPr>
        <w:t>联系方式</w:t>
      </w:r>
    </w:p>
    <w:p>
      <w:pPr>
        <w:autoSpaceDE w:val="0"/>
        <w:autoSpaceDN w:val="0"/>
        <w:adjustRightInd w:val="0"/>
        <w:snapToGrid w:val="0"/>
        <w:spacing w:line="360" w:lineRule="auto"/>
        <w:ind w:firstLine="240" w:firstLineChars="100"/>
        <w:jc w:val="left"/>
        <w:rPr>
          <w:rFonts w:ascii="宋体" w:hAnsi="宋体"/>
          <w:sz w:val="24"/>
        </w:rPr>
      </w:pPr>
      <w:r>
        <w:rPr>
          <w:rFonts w:hint="eastAsia" w:ascii="宋体" w:hAnsi="宋体"/>
          <w:sz w:val="24"/>
        </w:rPr>
        <w:t xml:space="preserve">招 标 </w:t>
      </w:r>
      <w:r>
        <w:rPr>
          <w:rFonts w:hint="eastAsia" w:ascii="宋体" w:hAnsi="宋体"/>
          <w:bCs/>
          <w:sz w:val="24"/>
        </w:rPr>
        <w:t>方</w:t>
      </w:r>
      <w:r>
        <w:rPr>
          <w:rFonts w:hint="eastAsia" w:ascii="宋体" w:hAnsi="宋体"/>
          <w:sz w:val="24"/>
        </w:rPr>
        <w:t>：</w:t>
      </w:r>
      <w:r>
        <w:rPr>
          <w:rFonts w:hint="eastAsia" w:ascii="宋体" w:hAnsi="宋体"/>
          <w:bCs/>
          <w:sz w:val="24"/>
          <w:szCs w:val="24"/>
        </w:rPr>
        <w:t>中国重汽集团济南商用车有限公司</w:t>
      </w:r>
    </w:p>
    <w:p>
      <w:pPr>
        <w:autoSpaceDE w:val="0"/>
        <w:autoSpaceDN w:val="0"/>
        <w:adjustRightInd w:val="0"/>
        <w:snapToGrid w:val="0"/>
        <w:spacing w:line="360" w:lineRule="auto"/>
        <w:ind w:firstLine="240" w:firstLineChars="100"/>
        <w:jc w:val="left"/>
        <w:rPr>
          <w:rFonts w:hint="eastAsia" w:ascii="宋体" w:hAnsi="宋体" w:eastAsia="宋体"/>
          <w:sz w:val="24"/>
          <w:lang w:eastAsia="zh-CN"/>
        </w:rPr>
      </w:pPr>
      <w:r>
        <w:rPr>
          <w:rFonts w:hint="eastAsia" w:ascii="宋体" w:hAnsi="宋体"/>
          <w:sz w:val="24"/>
        </w:rPr>
        <w:t>联 系 人：</w:t>
      </w:r>
      <w:r>
        <w:rPr>
          <w:rFonts w:hint="eastAsia" w:ascii="宋体" w:hAnsi="宋体"/>
          <w:sz w:val="24"/>
          <w:lang w:val="en-US" w:eastAsia="zh-CN"/>
        </w:rPr>
        <w:t>喻新</w:t>
      </w:r>
    </w:p>
    <w:p>
      <w:pPr>
        <w:autoSpaceDE w:val="0"/>
        <w:autoSpaceDN w:val="0"/>
        <w:adjustRightInd w:val="0"/>
        <w:snapToGrid w:val="0"/>
        <w:spacing w:line="360" w:lineRule="auto"/>
        <w:ind w:firstLine="240" w:firstLineChars="100"/>
        <w:jc w:val="left"/>
        <w:rPr>
          <w:rFonts w:hint="default" w:ascii="宋体" w:hAnsi="宋体" w:eastAsia="宋体"/>
          <w:sz w:val="24"/>
          <w:lang w:val="en-US" w:eastAsia="zh-CN"/>
        </w:rPr>
      </w:pPr>
      <w:r>
        <w:rPr>
          <w:rFonts w:hint="eastAsia" w:ascii="宋体" w:hAnsi="宋体"/>
          <w:sz w:val="24"/>
        </w:rPr>
        <w:t xml:space="preserve">联系电话: </w:t>
      </w:r>
      <w:r>
        <w:rPr>
          <w:rFonts w:hint="eastAsia" w:ascii="宋体" w:hAnsi="宋体"/>
          <w:sz w:val="24"/>
          <w:lang w:val="en-US" w:eastAsia="zh-CN"/>
        </w:rPr>
        <w:t>17853167618</w:t>
      </w:r>
    </w:p>
    <w:p>
      <w:pPr>
        <w:pStyle w:val="2"/>
        <w:jc w:val="left"/>
        <w:rPr>
          <w:rFonts w:ascii="宋体" w:hAnsi="宋体"/>
        </w:rPr>
      </w:pPr>
    </w:p>
    <w:p>
      <w:pPr>
        <w:pStyle w:val="2"/>
        <w:rPr>
          <w:rFonts w:hint="eastAsia" w:ascii="宋体" w:hAnsi="宋体"/>
        </w:rPr>
      </w:pPr>
    </w:p>
    <w:p>
      <w:pPr>
        <w:pStyle w:val="2"/>
        <w:rPr>
          <w:rFonts w:hint="eastAsia" w:ascii="宋体" w:hAnsi="宋体"/>
        </w:rPr>
      </w:pPr>
    </w:p>
    <w:p>
      <w:pPr>
        <w:pStyle w:val="2"/>
        <w:rPr>
          <w:rFonts w:hint="eastAsia" w:ascii="宋体" w:hAnsi="宋体"/>
        </w:rPr>
      </w:pPr>
    </w:p>
    <w:p>
      <w:pPr>
        <w:pStyle w:val="2"/>
        <w:rPr>
          <w:rFonts w:hint="eastAsia" w:ascii="宋体" w:hAnsi="宋体"/>
        </w:rPr>
      </w:pPr>
    </w:p>
    <w:p>
      <w:pPr>
        <w:pStyle w:val="2"/>
        <w:rPr>
          <w:rFonts w:hint="eastAsia" w:ascii="宋体" w:hAnsi="宋体"/>
        </w:rPr>
      </w:pPr>
    </w:p>
    <w:p>
      <w:pPr>
        <w:pStyle w:val="2"/>
        <w:rPr>
          <w:rFonts w:hint="eastAsia" w:ascii="宋体" w:hAnsi="宋体"/>
        </w:rPr>
      </w:pPr>
    </w:p>
    <w:p>
      <w:pPr>
        <w:pStyle w:val="2"/>
        <w:rPr>
          <w:rFonts w:hint="eastAsia" w:ascii="宋体" w:hAnsi="宋体"/>
        </w:rPr>
      </w:pPr>
    </w:p>
    <w:p>
      <w:pPr>
        <w:pStyle w:val="2"/>
        <w:rPr>
          <w:rFonts w:hint="eastAsia" w:ascii="宋体" w:hAnsi="宋体"/>
        </w:rPr>
      </w:pPr>
    </w:p>
    <w:p>
      <w:pPr>
        <w:pStyle w:val="2"/>
        <w:rPr>
          <w:rFonts w:ascii="宋体" w:hAnsi="宋体"/>
        </w:rPr>
      </w:pPr>
      <w:bookmarkStart w:id="1" w:name="_Toc28730"/>
      <w:r>
        <w:rPr>
          <w:rFonts w:hint="eastAsia" w:ascii="宋体" w:hAnsi="宋体"/>
        </w:rPr>
        <w:t>第二章投标方须知</w:t>
      </w:r>
      <w:bookmarkEnd w:id="1"/>
    </w:p>
    <w:p>
      <w:pPr>
        <w:pStyle w:val="2"/>
        <w:rPr>
          <w:rFonts w:ascii="宋体" w:hAnsi="宋体"/>
        </w:rPr>
      </w:pPr>
      <w:bookmarkStart w:id="2" w:name="_Toc16915"/>
      <w:r>
        <w:rPr>
          <w:rFonts w:hint="eastAsia" w:ascii="宋体" w:hAnsi="宋体"/>
        </w:rPr>
        <w:t>投标方须知前附表</w:t>
      </w:r>
      <w:bookmarkEnd w:id="2"/>
    </w:p>
    <w:p>
      <w:pPr>
        <w:spacing w:line="360" w:lineRule="auto"/>
        <w:ind w:firstLine="480" w:firstLineChars="200"/>
        <w:rPr>
          <w:rFonts w:ascii="宋体" w:hAnsi="宋体"/>
          <w:sz w:val="24"/>
          <w:szCs w:val="24"/>
        </w:rPr>
      </w:pPr>
      <w:r>
        <w:rPr>
          <w:rFonts w:hint="eastAsia" w:ascii="宋体" w:hAnsi="宋体" w:cs="宋体"/>
          <w:sz w:val="24"/>
          <w:szCs w:val="24"/>
        </w:rPr>
        <w:t>本表是对“投标方须知”正文的具体补充和修改，如有不一致，以“前附表”为准。</w:t>
      </w:r>
    </w:p>
    <w:tbl>
      <w:tblPr>
        <w:tblStyle w:val="76"/>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645"/>
        <w:gridCol w:w="36"/>
        <w:gridCol w:w="854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13" w:hRule="atLeast"/>
          <w:tblHeader/>
          <w:jc w:val="center"/>
        </w:trPr>
        <w:tc>
          <w:tcPr>
            <w:tcW w:w="645"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24"/>
                <w:szCs w:val="24"/>
              </w:rPr>
            </w:pPr>
            <w:bookmarkStart w:id="3" w:name="_Toc346372875"/>
            <w:r>
              <w:rPr>
                <w:rFonts w:hint="eastAsia" w:ascii="宋体" w:hAnsi="宋体" w:cs="宋体"/>
                <w:sz w:val="24"/>
              </w:rPr>
              <w:t>序号</w:t>
            </w:r>
          </w:p>
        </w:tc>
        <w:tc>
          <w:tcPr>
            <w:tcW w:w="8583"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宋体" w:hAnsi="宋体"/>
                <w:b/>
                <w:bCs/>
                <w:sz w:val="24"/>
                <w:szCs w:val="24"/>
              </w:rPr>
            </w:pPr>
            <w:r>
              <w:rPr>
                <w:rFonts w:hint="eastAsia" w:ascii="宋体" w:hAnsi="宋体" w:cs="宋体"/>
                <w:b/>
                <w:bCs/>
                <w:sz w:val="24"/>
              </w:rPr>
              <w:t>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19" w:hRule="atLeast"/>
          <w:jc w:val="center"/>
        </w:trPr>
        <w:tc>
          <w:tcPr>
            <w:tcW w:w="9228" w:type="dxa"/>
            <w:gridSpan w:val="3"/>
            <w:tcBorders>
              <w:top w:val="single" w:color="auto" w:sz="2" w:space="0"/>
              <w:left w:val="single" w:color="auto" w:sz="2" w:space="0"/>
              <w:bottom w:val="single" w:color="auto" w:sz="2" w:space="0"/>
              <w:right w:val="single" w:color="auto" w:sz="2" w:space="0"/>
            </w:tcBorders>
            <w:vAlign w:val="center"/>
          </w:tcPr>
          <w:p>
            <w:pPr>
              <w:ind w:left="-27" w:firstLine="1"/>
              <w:jc w:val="center"/>
              <w:rPr>
                <w:rFonts w:ascii="宋体" w:hAnsi="宋体"/>
                <w:b/>
                <w:bCs/>
                <w:sz w:val="24"/>
                <w:szCs w:val="24"/>
              </w:rPr>
            </w:pPr>
            <w:r>
              <w:rPr>
                <w:rFonts w:hint="eastAsia" w:ascii="宋体" w:hAnsi="宋体" w:cs="宋体"/>
                <w:b/>
                <w:bCs/>
                <w:sz w:val="24"/>
              </w:rPr>
              <w:t>说明</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263" w:hRule="atLeast"/>
          <w:jc w:val="center"/>
        </w:trPr>
        <w:tc>
          <w:tcPr>
            <w:tcW w:w="645"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24"/>
                <w:szCs w:val="24"/>
              </w:rPr>
            </w:pPr>
            <w:r>
              <w:rPr>
                <w:rFonts w:hint="eastAsia" w:ascii="宋体" w:hAnsi="宋体" w:cs="宋体"/>
                <w:sz w:val="24"/>
              </w:rPr>
              <w:t>1</w:t>
            </w:r>
          </w:p>
        </w:tc>
        <w:tc>
          <w:tcPr>
            <w:tcW w:w="8583" w:type="dxa"/>
            <w:gridSpan w:val="2"/>
            <w:tcBorders>
              <w:top w:val="single" w:color="auto" w:sz="2" w:space="0"/>
              <w:left w:val="single" w:color="auto" w:sz="2" w:space="0"/>
              <w:bottom w:val="single" w:color="auto" w:sz="2" w:space="0"/>
              <w:right w:val="single" w:color="auto" w:sz="2" w:space="0"/>
            </w:tcBorders>
            <w:vAlign w:val="center"/>
          </w:tcPr>
          <w:p>
            <w:pPr>
              <w:ind w:firstLine="480" w:firstLineChars="200"/>
              <w:rPr>
                <w:rFonts w:ascii="宋体" w:hAnsi="宋体"/>
                <w:sz w:val="24"/>
              </w:rPr>
            </w:pPr>
            <w:r>
              <w:rPr>
                <w:rFonts w:hint="eastAsia" w:ascii="宋体" w:hAnsi="宋体"/>
                <w:sz w:val="24"/>
              </w:rPr>
              <w:t>项目名称：</w:t>
            </w:r>
            <w:r>
              <w:rPr>
                <w:rFonts w:hint="eastAsia" w:ascii="宋体" w:hAnsi="宋体"/>
                <w:sz w:val="24"/>
                <w:u w:val="single"/>
                <w:lang w:val="en-US" w:eastAsia="zh-CN"/>
              </w:rPr>
              <w:t>平货箱皮卡</w:t>
            </w:r>
            <w:r>
              <w:rPr>
                <w:rFonts w:hint="eastAsia" w:ascii="宋体" w:hAnsi="宋体"/>
                <w:sz w:val="24"/>
                <w:u w:val="single"/>
              </w:rPr>
              <w:t>冲压模</w:t>
            </w:r>
            <w:r>
              <w:rPr>
                <w:rFonts w:hint="eastAsia" w:ascii="宋体" w:hAnsi="宋体"/>
                <w:sz w:val="24"/>
                <w:u w:val="single"/>
                <w:lang w:val="en-US" w:eastAsia="zh-CN"/>
              </w:rPr>
              <w:t>检</w:t>
            </w:r>
            <w:r>
              <w:rPr>
                <w:rFonts w:hint="eastAsia" w:ascii="宋体" w:hAnsi="宋体"/>
                <w:sz w:val="24"/>
                <w:u w:val="single"/>
              </w:rPr>
              <w:t>具</w:t>
            </w:r>
            <w:r>
              <w:rPr>
                <w:rFonts w:hint="eastAsia" w:ascii="宋体" w:hAnsi="宋体"/>
                <w:bCs/>
                <w:sz w:val="24"/>
                <w:u w:val="single"/>
              </w:rPr>
              <w:t>项目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263" w:hRule="atLeast"/>
          <w:jc w:val="center"/>
        </w:trPr>
        <w:tc>
          <w:tcPr>
            <w:tcW w:w="645"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24"/>
                <w:szCs w:val="24"/>
              </w:rPr>
            </w:pPr>
            <w:r>
              <w:rPr>
                <w:rFonts w:hint="eastAsia" w:ascii="宋体" w:hAnsi="宋体" w:cs="宋体"/>
                <w:sz w:val="24"/>
              </w:rPr>
              <w:t>2</w:t>
            </w:r>
          </w:p>
        </w:tc>
        <w:tc>
          <w:tcPr>
            <w:tcW w:w="8583" w:type="dxa"/>
            <w:gridSpan w:val="2"/>
            <w:tcBorders>
              <w:top w:val="single" w:color="auto" w:sz="2" w:space="0"/>
              <w:left w:val="single" w:color="auto" w:sz="2" w:space="0"/>
              <w:bottom w:val="single" w:color="auto" w:sz="2" w:space="0"/>
              <w:right w:val="single" w:color="auto" w:sz="2" w:space="0"/>
            </w:tcBorders>
            <w:vAlign w:val="center"/>
          </w:tcPr>
          <w:p>
            <w:pPr>
              <w:ind w:firstLine="480" w:firstLineChars="200"/>
              <w:rPr>
                <w:sz w:val="24"/>
                <w:szCs w:val="24"/>
                <w:u w:val="single"/>
              </w:rPr>
            </w:pPr>
            <w:r>
              <w:rPr>
                <w:rFonts w:hint="eastAsia" w:ascii="宋体" w:hAnsi="宋体"/>
                <w:bCs/>
                <w:snapToGrid w:val="0"/>
                <w:kern w:val="0"/>
                <w:sz w:val="24"/>
              </w:rPr>
              <w:t>招标方名称：</w:t>
            </w:r>
            <w:r>
              <w:rPr>
                <w:rFonts w:hint="eastAsia" w:ascii="宋体" w:hAnsi="宋体"/>
                <w:bCs/>
                <w:sz w:val="24"/>
                <w:szCs w:val="24"/>
                <w:u w:val="single"/>
              </w:rPr>
              <w:t>中国重汽集团济南商用车有限公司</w:t>
            </w:r>
          </w:p>
          <w:p>
            <w:pPr>
              <w:ind w:firstLine="480" w:firstLineChars="200"/>
              <w:rPr>
                <w:sz w:val="24"/>
                <w:szCs w:val="24"/>
                <w:u w:val="single"/>
              </w:rPr>
            </w:pPr>
            <w:r>
              <w:rPr>
                <w:rFonts w:hint="eastAsia"/>
                <w:sz w:val="24"/>
                <w:szCs w:val="24"/>
              </w:rPr>
              <w:t>项目地址：</w:t>
            </w:r>
            <w:r>
              <w:rPr>
                <w:rFonts w:hint="eastAsia" w:ascii="宋体" w:hAnsi="宋体"/>
                <w:bCs/>
                <w:sz w:val="24"/>
                <w:szCs w:val="24"/>
                <w:u w:val="single"/>
              </w:rPr>
              <w:t>山东省济南市章丘区</w:t>
            </w:r>
          </w:p>
          <w:p>
            <w:pPr>
              <w:ind w:firstLine="480" w:firstLineChars="200"/>
              <w:rPr>
                <w:sz w:val="24"/>
                <w:szCs w:val="24"/>
              </w:rPr>
            </w:pPr>
            <w:r>
              <w:rPr>
                <w:rFonts w:hint="eastAsia"/>
                <w:sz w:val="24"/>
                <w:szCs w:val="24"/>
              </w:rPr>
              <w:t>联系人：</w:t>
            </w:r>
            <w:r>
              <w:rPr>
                <w:rFonts w:hint="eastAsia"/>
                <w:sz w:val="24"/>
                <w:szCs w:val="24"/>
                <w:u w:val="single"/>
              </w:rPr>
              <w:t>潘荣</w:t>
            </w:r>
          </w:p>
          <w:p>
            <w:pPr>
              <w:ind w:firstLine="480" w:firstLineChars="200"/>
              <w:rPr>
                <w:sz w:val="24"/>
                <w:szCs w:val="24"/>
                <w:u w:val="single"/>
              </w:rPr>
            </w:pPr>
            <w:r>
              <w:rPr>
                <w:rFonts w:hint="eastAsia"/>
                <w:sz w:val="24"/>
                <w:szCs w:val="24"/>
              </w:rPr>
              <w:t>联系电话：</w:t>
            </w:r>
            <w:r>
              <w:rPr>
                <w:rFonts w:hint="eastAsia"/>
                <w:sz w:val="24"/>
                <w:szCs w:val="24"/>
                <w:u w:val="single"/>
              </w:rPr>
              <w:t>0531-58068640</w:t>
            </w:r>
            <w:r>
              <w:rPr>
                <w:rFonts w:hint="eastAsia"/>
                <w:sz w:val="24"/>
                <w:szCs w:val="24"/>
              </w:rPr>
              <w:t>、</w:t>
            </w:r>
            <w:r>
              <w:rPr>
                <w:rFonts w:hint="eastAsia"/>
                <w:sz w:val="24"/>
                <w:szCs w:val="24"/>
                <w:u w:val="single"/>
              </w:rPr>
              <w:t>13605311225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74" w:hRule="atLeast"/>
          <w:jc w:val="center"/>
        </w:trPr>
        <w:tc>
          <w:tcPr>
            <w:tcW w:w="645"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24"/>
                <w:szCs w:val="24"/>
              </w:rPr>
            </w:pPr>
            <w:r>
              <w:rPr>
                <w:rFonts w:hint="eastAsia" w:ascii="宋体" w:hAnsi="宋体" w:cs="宋体"/>
                <w:sz w:val="24"/>
              </w:rPr>
              <w:t>3</w:t>
            </w:r>
          </w:p>
        </w:tc>
        <w:tc>
          <w:tcPr>
            <w:tcW w:w="8583" w:type="dxa"/>
            <w:gridSpan w:val="2"/>
            <w:tcBorders>
              <w:top w:val="single" w:color="auto" w:sz="2" w:space="0"/>
              <w:left w:val="single" w:color="auto" w:sz="2" w:space="0"/>
              <w:bottom w:val="single" w:color="auto" w:sz="2" w:space="0"/>
              <w:right w:val="single" w:color="auto" w:sz="2" w:space="0"/>
            </w:tcBorders>
            <w:vAlign w:val="center"/>
          </w:tcPr>
          <w:p>
            <w:pPr>
              <w:ind w:firstLine="480" w:firstLineChars="200"/>
              <w:rPr>
                <w:rFonts w:ascii="宋体" w:hAnsi="宋体"/>
                <w:sz w:val="24"/>
                <w:szCs w:val="24"/>
              </w:rPr>
            </w:pPr>
            <w:r>
              <w:rPr>
                <w:rFonts w:hint="eastAsia" w:ascii="宋体" w:hAnsi="宋体" w:cs="宋体"/>
                <w:sz w:val="24"/>
              </w:rPr>
              <w:t>资金来源：</w:t>
            </w:r>
            <w:r>
              <w:rPr>
                <w:rFonts w:hint="eastAsia" w:ascii="宋体" w:hAnsi="宋体"/>
                <w:kern w:val="0"/>
                <w:sz w:val="24"/>
              </w:rPr>
              <w:t>企业自筹，已落实；</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32" w:hRule="atLeast"/>
          <w:jc w:val="center"/>
        </w:trPr>
        <w:tc>
          <w:tcPr>
            <w:tcW w:w="645"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24"/>
                <w:szCs w:val="24"/>
              </w:rPr>
            </w:pPr>
            <w:r>
              <w:rPr>
                <w:rFonts w:hint="eastAsia" w:ascii="宋体" w:hAnsi="宋体" w:cs="宋体"/>
                <w:sz w:val="24"/>
              </w:rPr>
              <w:t>4</w:t>
            </w:r>
          </w:p>
        </w:tc>
        <w:tc>
          <w:tcPr>
            <w:tcW w:w="8583" w:type="dxa"/>
            <w:gridSpan w:val="2"/>
            <w:tcBorders>
              <w:top w:val="single" w:color="auto" w:sz="2" w:space="0"/>
              <w:left w:val="single" w:color="auto" w:sz="2" w:space="0"/>
              <w:bottom w:val="single" w:color="auto" w:sz="2" w:space="0"/>
              <w:right w:val="single" w:color="auto" w:sz="2" w:space="0"/>
            </w:tcBorders>
            <w:vAlign w:val="center"/>
          </w:tcPr>
          <w:p>
            <w:pPr>
              <w:ind w:firstLine="360" w:firstLineChars="150"/>
              <w:rPr>
                <w:rFonts w:ascii="宋体" w:hAnsi="宋体"/>
                <w:kern w:val="0"/>
                <w:sz w:val="24"/>
              </w:rPr>
            </w:pPr>
            <w:r>
              <w:rPr>
                <w:rFonts w:hint="eastAsia" w:ascii="宋体" w:hAnsi="宋体"/>
                <w:kern w:val="0"/>
                <w:sz w:val="24"/>
              </w:rPr>
              <w:t>3.1投标</w:t>
            </w:r>
            <w:r>
              <w:rPr>
                <w:rFonts w:hint="eastAsia" w:ascii="宋体" w:hAnsi="宋体"/>
                <w:bCs/>
                <w:sz w:val="24"/>
              </w:rPr>
              <w:t>方</w:t>
            </w:r>
            <w:r>
              <w:rPr>
                <w:rFonts w:hint="eastAsia" w:ascii="宋体" w:hAnsi="宋体"/>
                <w:kern w:val="0"/>
                <w:sz w:val="24"/>
              </w:rPr>
              <w:t>必须是在中华人民共和国境内注册的独立法人机构，具有独立承担民事责任能力，成立满三年（以营业执照成立日期到开标当日满三年为准）。</w:t>
            </w:r>
          </w:p>
          <w:p>
            <w:pPr>
              <w:ind w:firstLine="360" w:firstLineChars="150"/>
              <w:rPr>
                <w:rFonts w:ascii="宋体" w:hAnsi="宋体"/>
                <w:kern w:val="0"/>
                <w:sz w:val="24"/>
                <w:u w:val="single"/>
              </w:rPr>
            </w:pPr>
            <w:r>
              <w:rPr>
                <w:rFonts w:hint="eastAsia" w:ascii="宋体" w:hAnsi="宋体"/>
                <w:kern w:val="0"/>
                <w:sz w:val="24"/>
              </w:rPr>
              <w:t>3.2投标</w:t>
            </w:r>
            <w:r>
              <w:rPr>
                <w:rFonts w:hint="eastAsia" w:ascii="宋体" w:hAnsi="宋体"/>
                <w:bCs/>
                <w:sz w:val="24"/>
              </w:rPr>
              <w:t>方</w:t>
            </w:r>
            <w:r>
              <w:rPr>
                <w:rFonts w:hint="eastAsia" w:ascii="宋体" w:hAnsi="宋体"/>
                <w:kern w:val="0"/>
                <w:sz w:val="24"/>
              </w:rPr>
              <w:t>的注册资本不少于</w:t>
            </w:r>
            <w:r>
              <w:rPr>
                <w:rFonts w:hint="eastAsia" w:ascii="宋体" w:hAnsi="宋体"/>
                <w:kern w:val="0"/>
                <w:sz w:val="24"/>
                <w:u w:val="single"/>
              </w:rPr>
              <w:t>5000</w:t>
            </w:r>
            <w:r>
              <w:rPr>
                <w:rFonts w:hint="eastAsia" w:ascii="宋体" w:hAnsi="宋体"/>
                <w:kern w:val="0"/>
                <w:sz w:val="24"/>
              </w:rPr>
              <w:t>万元。</w:t>
            </w:r>
            <w:r>
              <w:rPr>
                <w:rFonts w:hint="eastAsia" w:ascii="宋体" w:hAnsi="宋体"/>
                <w:kern w:val="0"/>
                <w:sz w:val="24"/>
                <w:u w:val="single"/>
              </w:rPr>
              <w:t>具有车身冲压模具的设计、加工及安装调试能力。</w:t>
            </w:r>
          </w:p>
          <w:p>
            <w:pPr>
              <w:ind w:firstLine="360" w:firstLineChars="150"/>
              <w:rPr>
                <w:rFonts w:ascii="宋体" w:hAnsi="宋体"/>
                <w:kern w:val="0"/>
                <w:sz w:val="24"/>
              </w:rPr>
            </w:pPr>
            <w:r>
              <w:rPr>
                <w:rFonts w:hint="eastAsia" w:ascii="宋体" w:hAnsi="宋体"/>
                <w:kern w:val="0"/>
                <w:sz w:val="24"/>
              </w:rPr>
              <w:t>3.3投标</w:t>
            </w:r>
            <w:r>
              <w:rPr>
                <w:rFonts w:hint="eastAsia" w:ascii="宋体" w:hAnsi="宋体"/>
                <w:bCs/>
                <w:sz w:val="24"/>
              </w:rPr>
              <w:t>方</w:t>
            </w:r>
            <w:r>
              <w:rPr>
                <w:rFonts w:hint="eastAsia" w:ascii="宋体" w:hAnsi="宋体"/>
                <w:kern w:val="0"/>
                <w:sz w:val="24"/>
              </w:rPr>
              <w:t>所投设备属生产许可证管理的或须具有强制性认证证书的，应具有生产许可证或强制性认证证书。</w:t>
            </w:r>
          </w:p>
          <w:p>
            <w:pPr>
              <w:ind w:firstLine="360" w:firstLineChars="150"/>
              <w:rPr>
                <w:rFonts w:ascii="宋体" w:hAnsi="宋体"/>
                <w:kern w:val="0"/>
                <w:sz w:val="24"/>
                <w:u w:val="single"/>
              </w:rPr>
            </w:pPr>
            <w:r>
              <w:rPr>
                <w:rFonts w:hint="eastAsia" w:ascii="宋体" w:hAnsi="宋体"/>
                <w:kern w:val="0"/>
                <w:sz w:val="24"/>
              </w:rPr>
              <w:t>3.4公司信誉良好，无违法违规等不良行为，</w:t>
            </w:r>
            <w:r>
              <w:rPr>
                <w:rFonts w:hint="eastAsia" w:ascii="宋体" w:hAnsi="宋体"/>
                <w:kern w:val="0"/>
                <w:sz w:val="24"/>
                <w:u w:val="single"/>
              </w:rPr>
              <w:t>在“信用中国”中未列入联合惩戒失信人名单。</w:t>
            </w:r>
          </w:p>
          <w:p>
            <w:pPr>
              <w:ind w:firstLine="360" w:firstLineChars="150"/>
              <w:rPr>
                <w:rFonts w:hint="eastAsia" w:ascii="宋体" w:hAnsi="宋体"/>
                <w:kern w:val="0"/>
                <w:sz w:val="24"/>
              </w:rPr>
            </w:pPr>
            <w:r>
              <w:rPr>
                <w:rFonts w:hint="eastAsia" w:ascii="宋体" w:hAnsi="宋体"/>
                <w:kern w:val="0"/>
                <w:sz w:val="24"/>
              </w:rPr>
              <w:t>3.5无招标违规、谎报年度报告信息、提供虚假资质资料等行为或其他与本投标业务有关的</w:t>
            </w:r>
            <w:r>
              <w:rPr>
                <w:rFonts w:hint="eastAsia" w:ascii="宋体" w:hAnsi="宋体"/>
                <w:kern w:val="0"/>
                <w:sz w:val="24"/>
              </w:rPr>
              <w:t>行政处罚记录。</w:t>
            </w:r>
          </w:p>
          <w:p>
            <w:pPr>
              <w:ind w:firstLine="360" w:firstLineChars="150"/>
              <w:rPr>
                <w:rFonts w:ascii="宋体" w:hAnsi="宋体"/>
                <w:kern w:val="0"/>
                <w:sz w:val="24"/>
              </w:rPr>
            </w:pPr>
            <w:r>
              <w:rPr>
                <w:rFonts w:hint="eastAsia" w:ascii="宋体" w:hAnsi="宋体"/>
                <w:kern w:val="0"/>
                <w:sz w:val="24"/>
              </w:rPr>
              <w:t>3.6投标方的直接或间接股东、法定代表人、董事、监事、高管非重汽员工及其亲属。</w:t>
            </w:r>
          </w:p>
          <w:p>
            <w:pPr>
              <w:ind w:firstLine="360" w:firstLineChars="150"/>
              <w:rPr>
                <w:rFonts w:hint="eastAsia" w:ascii="宋体" w:hAnsi="宋体"/>
                <w:kern w:val="0"/>
                <w:sz w:val="24"/>
              </w:rPr>
            </w:pPr>
            <w:r>
              <w:rPr>
                <w:rFonts w:hint="eastAsia" w:ascii="宋体" w:hAnsi="宋体"/>
                <w:kern w:val="0"/>
                <w:sz w:val="24"/>
              </w:rPr>
              <w:t>3.7没有被中国重汽集团列入黑名单。</w:t>
            </w:r>
          </w:p>
          <w:p>
            <w:pPr>
              <w:keepNext w:val="0"/>
              <w:keepLines w:val="0"/>
              <w:pageBreakBefore w:val="0"/>
              <w:widowControl w:val="0"/>
              <w:kinsoku/>
              <w:wordWrap/>
              <w:overflowPunct/>
              <w:topLinePunct w:val="0"/>
              <w:autoSpaceDE/>
              <w:autoSpaceDN/>
              <w:bidi w:val="0"/>
              <w:adjustRightInd/>
              <w:snapToGrid/>
              <w:spacing w:line="240" w:lineRule="auto"/>
              <w:ind w:firstLine="360" w:firstLineChars="150"/>
              <w:textAlignment w:val="auto"/>
              <w:rPr>
                <w:rFonts w:hint="eastAsia" w:ascii="宋体" w:hAnsi="宋体"/>
                <w:kern w:val="0"/>
                <w:sz w:val="24"/>
              </w:rPr>
            </w:pPr>
            <w:r>
              <w:rPr>
                <w:rFonts w:hint="eastAsia" w:ascii="宋体" w:hAnsi="宋体"/>
                <w:kern w:val="0"/>
                <w:sz w:val="24"/>
              </w:rPr>
              <w:t>3.8法律法规对合格投标方的其他要求、规定。</w:t>
            </w:r>
          </w:p>
          <w:p>
            <w:pPr>
              <w:keepNext w:val="0"/>
              <w:keepLines w:val="0"/>
              <w:pageBreakBefore w:val="0"/>
              <w:widowControl w:val="0"/>
              <w:kinsoku/>
              <w:wordWrap/>
              <w:overflowPunct/>
              <w:topLinePunct w:val="0"/>
              <w:autoSpaceDE/>
              <w:autoSpaceDN/>
              <w:bidi w:val="0"/>
              <w:adjustRightInd/>
              <w:snapToGrid/>
              <w:spacing w:line="240" w:lineRule="auto"/>
              <w:ind w:firstLine="360" w:firstLineChars="150"/>
              <w:textAlignment w:val="auto"/>
              <w:rPr>
                <w:rFonts w:hint="default" w:ascii="宋体" w:hAnsi="宋体" w:eastAsia="宋体"/>
                <w:kern w:val="0"/>
                <w:sz w:val="24"/>
                <w:lang w:val="en-US" w:eastAsia="zh-CN"/>
              </w:rPr>
            </w:pPr>
            <w:r>
              <w:rPr>
                <w:rFonts w:hint="eastAsia" w:ascii="宋体" w:hAnsi="宋体"/>
                <w:kern w:val="0"/>
                <w:sz w:val="24"/>
                <w:lang w:val="en-US" w:eastAsia="zh-CN"/>
              </w:rPr>
              <w:t>3.9投标方为</w:t>
            </w:r>
            <w:r>
              <w:rPr>
                <w:rFonts w:hint="eastAsia" w:ascii="宋体" w:hAnsi="宋体"/>
                <w:kern w:val="0"/>
                <w:sz w:val="24"/>
              </w:rPr>
              <w:t>国内知名的模具企业，乘用车车身冲压模具AA级企业。</w:t>
            </w:r>
          </w:p>
          <w:p>
            <w:pPr>
              <w:keepNext w:val="0"/>
              <w:keepLines w:val="0"/>
              <w:pageBreakBefore w:val="0"/>
              <w:widowControl w:val="0"/>
              <w:kinsoku/>
              <w:wordWrap/>
              <w:overflowPunct/>
              <w:topLinePunct w:val="0"/>
              <w:autoSpaceDE/>
              <w:autoSpaceDN/>
              <w:bidi w:val="0"/>
              <w:adjustRightInd/>
              <w:snapToGrid/>
              <w:spacing w:line="240" w:lineRule="auto"/>
              <w:ind w:firstLine="360" w:firstLineChars="150"/>
              <w:textAlignment w:val="auto"/>
              <w:rPr>
                <w:rFonts w:ascii="宋体" w:hAnsi="宋体"/>
                <w:kern w:val="0"/>
                <w:sz w:val="24"/>
              </w:rPr>
            </w:pPr>
            <w:r>
              <w:rPr>
                <w:rFonts w:hint="eastAsia" w:ascii="宋体" w:hAnsi="宋体"/>
                <w:kern w:val="0"/>
                <w:sz w:val="24"/>
                <w:u w:val="single"/>
                <w:lang w:val="en-US" w:eastAsia="zh-CN"/>
              </w:rPr>
              <w:t>3.10本项目允许投标方分包，但分包承包方需经招标方许可方可承接。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32" w:hRule="atLeast"/>
          <w:jc w:val="center"/>
        </w:trPr>
        <w:tc>
          <w:tcPr>
            <w:tcW w:w="9228" w:type="dxa"/>
            <w:gridSpan w:val="3"/>
            <w:tcBorders>
              <w:top w:val="single" w:color="auto" w:sz="2" w:space="0"/>
              <w:left w:val="single" w:color="auto" w:sz="2" w:space="0"/>
              <w:bottom w:val="single" w:color="auto" w:sz="2" w:space="0"/>
              <w:right w:val="single" w:color="auto" w:sz="2" w:space="0"/>
            </w:tcBorders>
            <w:vAlign w:val="center"/>
          </w:tcPr>
          <w:p>
            <w:pPr>
              <w:jc w:val="center"/>
              <w:rPr>
                <w:rFonts w:ascii="宋体" w:hAnsi="宋体"/>
                <w:b/>
                <w:bCs/>
                <w:sz w:val="24"/>
                <w:szCs w:val="24"/>
              </w:rPr>
            </w:pPr>
            <w:r>
              <w:rPr>
                <w:rFonts w:hint="eastAsia" w:ascii="宋体" w:hAnsi="宋体" w:cs="宋体"/>
                <w:b/>
                <w:bCs/>
                <w:sz w:val="24"/>
              </w:rPr>
              <w:t>招标文件的答疑、澄清和修改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32" w:hRule="atLeast"/>
          <w:jc w:val="center"/>
        </w:trPr>
        <w:tc>
          <w:tcPr>
            <w:tcW w:w="645"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24"/>
                <w:szCs w:val="24"/>
              </w:rPr>
            </w:pPr>
            <w:r>
              <w:rPr>
                <w:rFonts w:hint="eastAsia" w:ascii="宋体" w:hAnsi="宋体" w:cs="宋体"/>
                <w:sz w:val="24"/>
              </w:rPr>
              <w:t>5</w:t>
            </w:r>
          </w:p>
        </w:tc>
        <w:tc>
          <w:tcPr>
            <w:tcW w:w="8583" w:type="dxa"/>
            <w:gridSpan w:val="2"/>
            <w:tcBorders>
              <w:top w:val="single" w:color="auto" w:sz="2" w:space="0"/>
              <w:left w:val="single" w:color="auto" w:sz="2" w:space="0"/>
              <w:bottom w:val="single" w:color="auto" w:sz="2" w:space="0"/>
              <w:right w:val="single" w:color="auto" w:sz="2" w:space="0"/>
            </w:tcBorders>
            <w:vAlign w:val="center"/>
          </w:tcPr>
          <w:p>
            <w:pPr>
              <w:snapToGrid w:val="0"/>
              <w:ind w:firstLine="480" w:firstLineChars="200"/>
              <w:rPr>
                <w:rFonts w:ascii="宋体" w:hAnsi="宋体"/>
                <w:sz w:val="24"/>
                <w:szCs w:val="24"/>
              </w:rPr>
            </w:pPr>
            <w:r>
              <w:rPr>
                <w:rFonts w:hint="eastAsia" w:ascii="宋体" w:hAnsi="宋体" w:cs="宋体"/>
                <w:sz w:val="24"/>
              </w:rPr>
              <w:t>提交疑问时间：</w:t>
            </w:r>
            <w:r>
              <w:rPr>
                <w:rFonts w:hint="eastAsia" w:ascii="宋体" w:hAnsi="宋体" w:cs="宋体"/>
                <w:b/>
                <w:sz w:val="24"/>
                <w:u w:val="single"/>
              </w:rPr>
              <w:t xml:space="preserve"> </w:t>
            </w:r>
            <w:r>
              <w:rPr>
                <w:rFonts w:hint="eastAsia" w:ascii="宋体" w:hAnsi="宋体" w:cs="宋体"/>
                <w:b/>
                <w:sz w:val="24"/>
                <w:highlight w:val="yellow"/>
                <w:u w:val="single"/>
              </w:rPr>
              <w:t>202</w:t>
            </w:r>
            <w:r>
              <w:rPr>
                <w:rFonts w:hint="eastAsia" w:ascii="宋体" w:hAnsi="宋体" w:cs="宋体"/>
                <w:b/>
                <w:sz w:val="24"/>
                <w:highlight w:val="yellow"/>
                <w:u w:val="single"/>
                <w:lang w:val="en-US" w:eastAsia="zh-CN"/>
              </w:rPr>
              <w:t>2</w:t>
            </w:r>
            <w:r>
              <w:rPr>
                <w:rFonts w:hint="eastAsia" w:ascii="宋体" w:hAnsi="宋体" w:cs="宋体"/>
                <w:b/>
                <w:sz w:val="24"/>
                <w:highlight w:val="yellow"/>
                <w:u w:val="single"/>
              </w:rPr>
              <w:t xml:space="preserve">年 </w:t>
            </w:r>
            <w:r>
              <w:rPr>
                <w:rFonts w:hint="eastAsia" w:ascii="宋体" w:hAnsi="宋体" w:cs="宋体"/>
                <w:b/>
                <w:sz w:val="24"/>
                <w:highlight w:val="yellow"/>
                <w:u w:val="single"/>
                <w:lang w:val="en-US" w:eastAsia="zh-CN"/>
              </w:rPr>
              <w:t xml:space="preserve">11 </w:t>
            </w:r>
            <w:r>
              <w:rPr>
                <w:rFonts w:hint="eastAsia" w:ascii="宋体" w:hAnsi="宋体" w:cs="宋体"/>
                <w:b/>
                <w:sz w:val="24"/>
                <w:highlight w:val="yellow"/>
                <w:u w:val="single"/>
              </w:rPr>
              <w:t xml:space="preserve">月 </w:t>
            </w:r>
            <w:r>
              <w:rPr>
                <w:rFonts w:hint="eastAsia" w:ascii="宋体" w:hAnsi="宋体" w:cs="宋体"/>
                <w:b/>
                <w:sz w:val="24"/>
                <w:highlight w:val="yellow"/>
                <w:u w:val="single"/>
                <w:lang w:val="en-US" w:eastAsia="zh-CN"/>
              </w:rPr>
              <w:t xml:space="preserve">22 </w:t>
            </w:r>
            <w:r>
              <w:rPr>
                <w:rFonts w:hint="eastAsia" w:ascii="宋体" w:hAnsi="宋体" w:cs="宋体"/>
                <w:b/>
                <w:sz w:val="24"/>
                <w:highlight w:val="yellow"/>
                <w:u w:val="single"/>
              </w:rPr>
              <w:t>日</w:t>
            </w:r>
            <w:r>
              <w:rPr>
                <w:rFonts w:hint="eastAsia" w:ascii="宋体" w:hAnsi="宋体" w:cs="宋体"/>
                <w:b/>
                <w:sz w:val="24"/>
                <w:u w:val="single"/>
              </w:rPr>
              <w:t>17时</w:t>
            </w:r>
            <w:r>
              <w:rPr>
                <w:rFonts w:ascii="宋体" w:hAnsi="宋体" w:cs="宋体"/>
                <w:b/>
                <w:sz w:val="24"/>
                <w:u w:val="single"/>
              </w:rPr>
              <w:t>00</w:t>
            </w:r>
            <w:r>
              <w:rPr>
                <w:rFonts w:hint="eastAsia" w:ascii="宋体" w:hAnsi="宋体" w:cs="宋体"/>
                <w:b/>
                <w:sz w:val="24"/>
                <w:u w:val="single"/>
              </w:rPr>
              <w:t>分前</w:t>
            </w:r>
            <w:r>
              <w:rPr>
                <w:rFonts w:hint="eastAsia" w:ascii="宋体" w:hAnsi="宋体" w:cs="宋体"/>
                <w:sz w:val="24"/>
              </w:rPr>
              <w:t>；</w:t>
            </w:r>
          </w:p>
          <w:p>
            <w:pPr>
              <w:ind w:firstLine="480" w:firstLineChars="200"/>
              <w:jc w:val="left"/>
              <w:rPr>
                <w:rFonts w:ascii="宋体" w:hAnsi="宋体"/>
                <w:b/>
                <w:sz w:val="24"/>
              </w:rPr>
            </w:pPr>
            <w:r>
              <w:rPr>
                <w:rFonts w:hint="eastAsia" w:ascii="宋体" w:hAnsi="宋体" w:cs="宋体"/>
                <w:sz w:val="24"/>
              </w:rPr>
              <w:t>提交疑问方式：</w:t>
            </w:r>
            <w:r>
              <w:rPr>
                <w:rFonts w:hint="eastAsia" w:ascii="宋体" w:hAnsi="宋体"/>
                <w:b/>
                <w:sz w:val="24"/>
              </w:rPr>
              <w:t>将</w:t>
            </w:r>
            <w:bookmarkStart w:id="4" w:name="_Hlt46147779"/>
            <w:bookmarkStart w:id="5" w:name="_Hlt46147778"/>
            <w:r>
              <w:rPr>
                <w:rFonts w:hint="eastAsia" w:ascii="宋体" w:hAnsi="宋体"/>
                <w:b/>
                <w:sz w:val="24"/>
              </w:rPr>
              <w:t>答</w:t>
            </w:r>
            <w:bookmarkEnd w:id="4"/>
            <w:bookmarkEnd w:id="5"/>
            <w:r>
              <w:rPr>
                <w:rFonts w:hint="eastAsia" w:ascii="宋体" w:hAnsi="宋体"/>
                <w:b/>
                <w:sz w:val="24"/>
              </w:rPr>
              <w:t>疑问题发邮件至</w:t>
            </w:r>
            <w:r>
              <w:rPr>
                <w:rFonts w:hint="eastAsia" w:ascii="宋体" w:hAnsi="宋体" w:cs="宋体"/>
                <w:kern w:val="0"/>
                <w:sz w:val="24"/>
                <w:lang w:val="en-US" w:eastAsia="zh-CN"/>
              </w:rPr>
              <w:t>qkbyuxin</w:t>
            </w:r>
            <w:r>
              <w:rPr>
                <w:rFonts w:hint="eastAsia" w:ascii="宋体" w:hAnsi="宋体" w:cs="宋体"/>
                <w:b w:val="0"/>
                <w:bCs w:val="0"/>
                <w:kern w:val="0"/>
                <w:sz w:val="24"/>
                <w:u w:val="single"/>
              </w:rPr>
              <w:t>@sinotruk.com</w:t>
            </w:r>
            <w:bookmarkStart w:id="286" w:name="_GoBack"/>
            <w:bookmarkEnd w:id="286"/>
            <w:r>
              <w:rPr>
                <w:rFonts w:hint="eastAsia" w:ascii="宋体" w:hAnsi="宋体"/>
                <w:b/>
                <w:sz w:val="24"/>
              </w:rPr>
              <w:t>。</w:t>
            </w:r>
          </w:p>
          <w:p>
            <w:pPr>
              <w:snapToGrid w:val="0"/>
              <w:ind w:firstLine="482" w:firstLineChars="200"/>
              <w:rPr>
                <w:rFonts w:ascii="宋体" w:hAnsi="宋体"/>
                <w:sz w:val="24"/>
                <w:szCs w:val="24"/>
              </w:rPr>
            </w:pPr>
            <w:r>
              <w:rPr>
                <w:rFonts w:hint="eastAsia" w:ascii="宋体" w:hAnsi="宋体"/>
                <w:b/>
                <w:sz w:val="24"/>
              </w:rPr>
              <w:t>注：</w:t>
            </w:r>
            <w:r>
              <w:rPr>
                <w:rFonts w:hint="eastAsia" w:ascii="宋体" w:hAnsi="宋体"/>
                <w:b/>
                <w:sz w:val="24"/>
                <w:u w:val="single"/>
              </w:rPr>
              <w:t>如果投标方对招标文件商务、技术部分有疑问，请各投标方在本答疑环节提出。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32" w:hRule="atLeast"/>
          <w:jc w:val="center"/>
        </w:trPr>
        <w:tc>
          <w:tcPr>
            <w:tcW w:w="645"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24"/>
                <w:szCs w:val="24"/>
              </w:rPr>
            </w:pPr>
            <w:r>
              <w:rPr>
                <w:rFonts w:hint="eastAsia" w:ascii="宋体" w:hAnsi="宋体" w:cs="宋体"/>
                <w:sz w:val="24"/>
              </w:rPr>
              <w:t>6</w:t>
            </w:r>
          </w:p>
        </w:tc>
        <w:tc>
          <w:tcPr>
            <w:tcW w:w="8583" w:type="dxa"/>
            <w:gridSpan w:val="2"/>
            <w:tcBorders>
              <w:top w:val="single" w:color="auto" w:sz="2" w:space="0"/>
              <w:left w:val="single" w:color="auto" w:sz="2" w:space="0"/>
              <w:bottom w:val="single" w:color="auto" w:sz="2" w:space="0"/>
              <w:right w:val="single" w:color="auto" w:sz="2" w:space="0"/>
            </w:tcBorders>
            <w:vAlign w:val="center"/>
          </w:tcPr>
          <w:p>
            <w:pPr>
              <w:ind w:firstLine="480" w:firstLineChars="200"/>
              <w:rPr>
                <w:rFonts w:ascii="宋体" w:hAnsi="宋体" w:cs="宋体"/>
                <w:sz w:val="24"/>
                <w:szCs w:val="24"/>
              </w:rPr>
            </w:pPr>
            <w:r>
              <w:rPr>
                <w:rFonts w:hint="eastAsia" w:ascii="宋体" w:hAnsi="宋体" w:cs="宋体"/>
                <w:sz w:val="24"/>
              </w:rPr>
              <w:t>领取答疑、澄清和修改文件时间：开标前</w:t>
            </w:r>
            <w:r>
              <w:rPr>
                <w:rFonts w:hint="eastAsia" w:ascii="宋体" w:hAnsi="宋体" w:cs="宋体"/>
                <w:sz w:val="24"/>
                <w:u w:val="single"/>
              </w:rPr>
              <w:t xml:space="preserve">  1  </w:t>
            </w:r>
            <w:r>
              <w:rPr>
                <w:rFonts w:hint="eastAsia" w:ascii="宋体" w:hAnsi="宋体" w:cs="宋体"/>
                <w:sz w:val="24"/>
              </w:rPr>
              <w:t>天；</w:t>
            </w:r>
          </w:p>
          <w:p>
            <w:pPr>
              <w:ind w:firstLine="480" w:firstLineChars="200"/>
              <w:rPr>
                <w:rFonts w:ascii="宋体" w:hAnsi="宋体"/>
                <w:sz w:val="24"/>
                <w:szCs w:val="24"/>
              </w:rPr>
            </w:pPr>
            <w:r>
              <w:rPr>
                <w:rFonts w:hint="eastAsia" w:ascii="宋体" w:hAnsi="宋体"/>
                <w:sz w:val="24"/>
              </w:rPr>
              <w:t>答疑、澄清和修改文件方式：招标方将以电子邮件的方式将招标文件的答疑澄清文件发送至投标报名时登记的电子邮箱。</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32" w:hRule="atLeast"/>
          <w:jc w:val="center"/>
        </w:trPr>
        <w:tc>
          <w:tcPr>
            <w:tcW w:w="9228" w:type="dxa"/>
            <w:gridSpan w:val="3"/>
            <w:tcBorders>
              <w:top w:val="single" w:color="auto" w:sz="2" w:space="0"/>
              <w:left w:val="single" w:color="auto" w:sz="2" w:space="0"/>
              <w:bottom w:val="single" w:color="auto" w:sz="2" w:space="0"/>
              <w:right w:val="single" w:color="auto" w:sz="2" w:space="0"/>
            </w:tcBorders>
            <w:vAlign w:val="center"/>
          </w:tcPr>
          <w:p>
            <w:pPr>
              <w:jc w:val="center"/>
              <w:rPr>
                <w:rFonts w:ascii="宋体" w:hAnsi="宋体"/>
                <w:b/>
                <w:bCs/>
                <w:sz w:val="24"/>
                <w:szCs w:val="24"/>
              </w:rPr>
            </w:pPr>
            <w:r>
              <w:rPr>
                <w:rFonts w:hint="eastAsia" w:ascii="宋体" w:hAnsi="宋体" w:cs="宋体"/>
                <w:b/>
                <w:bCs/>
                <w:sz w:val="24"/>
              </w:rPr>
              <w:t>投标文件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32" w:hRule="atLeast"/>
          <w:jc w:val="center"/>
        </w:trPr>
        <w:tc>
          <w:tcPr>
            <w:tcW w:w="645"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24"/>
                <w:szCs w:val="24"/>
              </w:rPr>
            </w:pPr>
            <w:r>
              <w:rPr>
                <w:rFonts w:hint="eastAsia" w:ascii="宋体" w:hAnsi="宋体" w:cs="宋体"/>
                <w:sz w:val="24"/>
              </w:rPr>
              <w:t>7</w:t>
            </w:r>
          </w:p>
        </w:tc>
        <w:tc>
          <w:tcPr>
            <w:tcW w:w="8583" w:type="dxa"/>
            <w:gridSpan w:val="2"/>
            <w:tcBorders>
              <w:top w:val="single" w:color="auto" w:sz="2" w:space="0"/>
              <w:left w:val="single" w:color="auto" w:sz="2" w:space="0"/>
              <w:bottom w:val="single" w:color="auto" w:sz="2" w:space="0"/>
              <w:right w:val="single" w:color="auto" w:sz="2" w:space="0"/>
            </w:tcBorders>
            <w:vAlign w:val="center"/>
          </w:tcPr>
          <w:p>
            <w:pPr>
              <w:ind w:firstLine="480" w:firstLineChars="200"/>
              <w:rPr>
                <w:rFonts w:ascii="宋体" w:hAnsi="宋体"/>
                <w:sz w:val="24"/>
                <w:szCs w:val="24"/>
              </w:rPr>
            </w:pPr>
            <w:r>
              <w:rPr>
                <w:rFonts w:hint="eastAsia" w:ascii="宋体" w:hAnsi="宋体" w:cs="宋体"/>
                <w:sz w:val="24"/>
              </w:rPr>
              <w:t>“投标文件组成及份数”详见“投标方须知”第8条。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1267" w:hRule="atLeast"/>
          <w:jc w:val="center"/>
        </w:trPr>
        <w:tc>
          <w:tcPr>
            <w:tcW w:w="645"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24"/>
                <w:szCs w:val="24"/>
              </w:rPr>
            </w:pPr>
            <w:r>
              <w:rPr>
                <w:rFonts w:hint="eastAsia" w:ascii="宋体" w:hAnsi="宋体" w:cs="宋体"/>
                <w:sz w:val="24"/>
              </w:rPr>
              <w:t>8</w:t>
            </w:r>
          </w:p>
        </w:tc>
        <w:tc>
          <w:tcPr>
            <w:tcW w:w="8583" w:type="dxa"/>
            <w:gridSpan w:val="2"/>
            <w:tcBorders>
              <w:top w:val="single" w:color="auto" w:sz="2" w:space="0"/>
              <w:left w:val="single" w:color="auto" w:sz="2" w:space="0"/>
              <w:bottom w:val="single" w:color="auto" w:sz="2" w:space="0"/>
              <w:right w:val="single" w:color="auto" w:sz="2" w:space="0"/>
            </w:tcBorders>
            <w:vAlign w:val="center"/>
          </w:tcPr>
          <w:p>
            <w:pPr>
              <w:pStyle w:val="31"/>
              <w:spacing w:after="0"/>
              <w:ind w:firstLine="480" w:firstLineChars="200"/>
              <w:rPr>
                <w:rFonts w:ascii="宋体" w:hAnsi="宋体" w:cs="宋体"/>
                <w:sz w:val="24"/>
              </w:rPr>
            </w:pPr>
            <w:r>
              <w:rPr>
                <w:rFonts w:hint="eastAsia" w:ascii="宋体" w:hAnsi="宋体" w:cs="宋体"/>
                <w:sz w:val="24"/>
              </w:rPr>
              <w:t>投标文件组成：</w:t>
            </w:r>
          </w:p>
          <w:p>
            <w:pPr>
              <w:pStyle w:val="31"/>
              <w:spacing w:after="0"/>
              <w:ind w:firstLine="480" w:firstLineChars="200"/>
              <w:rPr>
                <w:rFonts w:ascii="宋体" w:hAnsi="宋体" w:cs="宋体"/>
                <w:sz w:val="24"/>
              </w:rPr>
            </w:pPr>
            <w:r>
              <w:rPr>
                <w:rFonts w:hint="eastAsia" w:ascii="宋体" w:hAnsi="宋体" w:cs="宋体"/>
                <w:sz w:val="24"/>
              </w:rPr>
              <w:t>投标文件由</w:t>
            </w:r>
            <w:r>
              <w:rPr>
                <w:rFonts w:hint="eastAsia" w:ascii="宋体" w:hAnsi="宋体" w:cs="宋体"/>
                <w:b/>
                <w:bCs/>
                <w:sz w:val="24"/>
                <w:u w:val="single"/>
              </w:rPr>
              <w:t>资格证明文件</w:t>
            </w:r>
            <w:r>
              <w:rPr>
                <w:rFonts w:hint="eastAsia" w:ascii="宋体" w:hAnsi="宋体" w:cs="宋体"/>
                <w:sz w:val="24"/>
              </w:rPr>
              <w:t>、</w:t>
            </w:r>
            <w:r>
              <w:rPr>
                <w:rFonts w:hint="eastAsia" w:ascii="宋体" w:hAnsi="宋体" w:cs="宋体"/>
                <w:b/>
                <w:bCs/>
                <w:sz w:val="24"/>
                <w:u w:val="single"/>
              </w:rPr>
              <w:t>技术标书</w:t>
            </w:r>
            <w:r>
              <w:rPr>
                <w:rFonts w:hint="eastAsia" w:ascii="宋体" w:hAnsi="宋体" w:cs="宋体"/>
                <w:sz w:val="24"/>
              </w:rPr>
              <w:t>、</w:t>
            </w:r>
            <w:r>
              <w:rPr>
                <w:rFonts w:hint="eastAsia" w:ascii="宋体" w:hAnsi="宋体" w:cs="宋体"/>
                <w:b/>
                <w:bCs/>
                <w:sz w:val="24"/>
                <w:u w:val="single"/>
              </w:rPr>
              <w:t>商务标书</w:t>
            </w:r>
            <w:r>
              <w:rPr>
                <w:rFonts w:hint="eastAsia" w:ascii="宋体" w:hAnsi="宋体" w:cs="宋体"/>
                <w:b/>
                <w:bCs/>
                <w:sz w:val="24"/>
              </w:rPr>
              <w:t>、</w:t>
            </w:r>
            <w:r>
              <w:rPr>
                <w:rFonts w:hint="eastAsia" w:ascii="宋体" w:hAnsi="宋体" w:cs="宋体"/>
                <w:b/>
                <w:bCs/>
                <w:sz w:val="24"/>
                <w:u w:val="single"/>
              </w:rPr>
              <w:t>电子版投标文件</w:t>
            </w:r>
            <w:r>
              <w:rPr>
                <w:rFonts w:hint="eastAsia" w:ascii="宋体" w:hAnsi="宋体" w:cs="宋体"/>
                <w:sz w:val="24"/>
              </w:rPr>
              <w:t>及</w:t>
            </w:r>
            <w:r>
              <w:rPr>
                <w:rFonts w:hint="eastAsia" w:ascii="宋体" w:hAnsi="宋体" w:cs="宋体"/>
                <w:b/>
                <w:bCs/>
                <w:sz w:val="24"/>
                <w:u w:val="single"/>
              </w:rPr>
              <w:t>开标一览表</w:t>
            </w:r>
            <w:r>
              <w:rPr>
                <w:rFonts w:hint="eastAsia" w:ascii="宋体" w:hAnsi="宋体" w:cs="宋体"/>
                <w:sz w:val="24"/>
              </w:rPr>
              <w:t>组成。</w:t>
            </w:r>
          </w:p>
          <w:p>
            <w:pPr>
              <w:pStyle w:val="31"/>
              <w:spacing w:after="0"/>
              <w:ind w:firstLine="480" w:firstLineChars="200"/>
              <w:rPr>
                <w:rFonts w:ascii="宋体" w:hAnsi="宋体"/>
                <w:sz w:val="24"/>
                <w:szCs w:val="24"/>
              </w:rPr>
            </w:pPr>
            <w:r>
              <w:rPr>
                <w:rFonts w:hint="eastAsia" w:ascii="宋体" w:hAnsi="宋体" w:cs="宋体"/>
                <w:sz w:val="24"/>
              </w:rPr>
              <w:t>投标文件份数：</w:t>
            </w:r>
          </w:p>
          <w:p>
            <w:pPr>
              <w:pStyle w:val="31"/>
              <w:spacing w:after="0"/>
              <w:ind w:firstLine="480" w:firstLineChars="200"/>
              <w:rPr>
                <w:rFonts w:ascii="宋体" w:hAnsi="宋体" w:cs="宋体"/>
                <w:sz w:val="24"/>
              </w:rPr>
            </w:pPr>
            <w:r>
              <w:rPr>
                <w:rFonts w:hint="eastAsia" w:ascii="宋体" w:hAnsi="宋体" w:cs="宋体"/>
                <w:sz w:val="24"/>
              </w:rPr>
              <w:t>技术标书、商务标书及资格证明文件均一式</w:t>
            </w:r>
            <w:r>
              <w:rPr>
                <w:rFonts w:hint="eastAsia" w:ascii="宋体" w:hAnsi="宋体" w:cs="宋体"/>
                <w:sz w:val="24"/>
                <w:u w:val="single"/>
              </w:rPr>
              <w:t xml:space="preserve"> 七 </w:t>
            </w:r>
            <w:r>
              <w:rPr>
                <w:rFonts w:hint="eastAsia" w:ascii="宋体" w:hAnsi="宋体" w:cs="宋体"/>
                <w:sz w:val="24"/>
              </w:rPr>
              <w:t>份，其中正本</w:t>
            </w:r>
            <w:r>
              <w:rPr>
                <w:rFonts w:hint="eastAsia" w:ascii="宋体" w:hAnsi="宋体" w:cs="宋体"/>
                <w:sz w:val="24"/>
                <w:u w:val="single"/>
              </w:rPr>
              <w:t xml:space="preserve"> 一 </w:t>
            </w:r>
            <w:r>
              <w:rPr>
                <w:rFonts w:hint="eastAsia" w:ascii="宋体" w:hAnsi="宋体" w:cs="宋体"/>
                <w:sz w:val="24"/>
              </w:rPr>
              <w:t>份和副本</w:t>
            </w:r>
            <w:r>
              <w:rPr>
                <w:rFonts w:hint="eastAsia" w:ascii="宋体" w:hAnsi="宋体" w:cs="宋体"/>
                <w:sz w:val="24"/>
                <w:u w:val="single"/>
              </w:rPr>
              <w:t xml:space="preserve"> 六</w:t>
            </w:r>
            <w:r>
              <w:rPr>
                <w:rFonts w:hint="eastAsia" w:ascii="宋体" w:hAnsi="宋体" w:cs="宋体"/>
                <w:sz w:val="24"/>
              </w:rPr>
              <w:t>份；</w:t>
            </w:r>
          </w:p>
          <w:p>
            <w:pPr>
              <w:pStyle w:val="31"/>
              <w:spacing w:after="0"/>
              <w:ind w:firstLine="482" w:firstLineChars="200"/>
              <w:rPr>
                <w:rFonts w:ascii="宋体" w:hAnsi="宋体" w:cs="宋体"/>
                <w:sz w:val="24"/>
              </w:rPr>
            </w:pPr>
            <w:r>
              <w:rPr>
                <w:rFonts w:hint="eastAsia" w:ascii="宋体" w:hAnsi="宋体" w:cs="宋体"/>
                <w:b/>
                <w:sz w:val="24"/>
              </w:rPr>
              <w:t>资格证明文件、技术标书、商务标书、电子版标书及开标一览表必须分别单独胶装成册，禁止将投标文件编写进同一标书，违反上述要求投标的按无效投标处理。</w:t>
            </w:r>
          </w:p>
          <w:p>
            <w:pPr>
              <w:pStyle w:val="26"/>
              <w:spacing w:after="0" w:line="240" w:lineRule="auto"/>
              <w:ind w:firstLine="482" w:firstLineChars="200"/>
              <w:rPr>
                <w:rFonts w:ascii="宋体" w:hAnsi="宋体"/>
                <w:kern w:val="2"/>
                <w:sz w:val="24"/>
              </w:rPr>
            </w:pPr>
            <w:r>
              <w:rPr>
                <w:rFonts w:hint="eastAsia" w:ascii="宋体" w:hAnsi="宋体" w:cs="宋体"/>
                <w:b/>
                <w:sz w:val="24"/>
              </w:rPr>
              <w:t>单独密封的开标一览表一份。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32" w:hRule="atLeast"/>
          <w:jc w:val="center"/>
        </w:trPr>
        <w:tc>
          <w:tcPr>
            <w:tcW w:w="645"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24"/>
                <w:szCs w:val="24"/>
              </w:rPr>
            </w:pPr>
            <w:r>
              <w:rPr>
                <w:rFonts w:hint="eastAsia" w:ascii="宋体" w:hAnsi="宋体" w:cs="宋体"/>
                <w:sz w:val="24"/>
              </w:rPr>
              <w:t>9</w:t>
            </w:r>
          </w:p>
        </w:tc>
        <w:tc>
          <w:tcPr>
            <w:tcW w:w="8583" w:type="dxa"/>
            <w:gridSpan w:val="2"/>
            <w:tcBorders>
              <w:top w:val="single" w:color="auto" w:sz="2" w:space="0"/>
              <w:left w:val="single" w:color="auto" w:sz="2" w:space="0"/>
              <w:bottom w:val="single" w:color="auto" w:sz="2" w:space="0"/>
              <w:right w:val="single" w:color="auto" w:sz="2" w:space="0"/>
            </w:tcBorders>
            <w:vAlign w:val="center"/>
          </w:tcPr>
          <w:p>
            <w:pPr>
              <w:ind w:firstLine="480" w:firstLineChars="200"/>
              <w:rPr>
                <w:rFonts w:ascii="宋体" w:hAnsi="宋体"/>
                <w:sz w:val="24"/>
                <w:szCs w:val="24"/>
              </w:rPr>
            </w:pPr>
            <w:r>
              <w:rPr>
                <w:rFonts w:hint="eastAsia" w:ascii="宋体" w:hAnsi="宋体" w:cs="宋体"/>
                <w:sz w:val="24"/>
              </w:rPr>
              <w:t>投标文件密封和标记：</w:t>
            </w:r>
          </w:p>
          <w:p>
            <w:pPr>
              <w:ind w:firstLine="480" w:firstLineChars="200"/>
              <w:rPr>
                <w:rFonts w:ascii="宋体" w:hAnsi="宋体" w:cs="宋体"/>
                <w:sz w:val="24"/>
              </w:rPr>
            </w:pPr>
            <w:r>
              <w:rPr>
                <w:rFonts w:hint="eastAsia" w:ascii="宋体" w:hAnsi="宋体" w:cs="宋体"/>
                <w:sz w:val="24"/>
              </w:rPr>
              <w:t>投标方应将技术标书的正本和所有副本、商务标书的正本和所有副本、资格证明文件的正本和所有副本、开标一览表</w:t>
            </w:r>
            <w:r>
              <w:rPr>
                <w:rFonts w:hint="eastAsia" w:ascii="宋体" w:hAnsi="宋体" w:cs="宋体"/>
                <w:b/>
                <w:bCs/>
                <w:sz w:val="24"/>
              </w:rPr>
              <w:t>分别单独密封</w:t>
            </w:r>
            <w:r>
              <w:rPr>
                <w:rFonts w:hint="eastAsia" w:ascii="宋体" w:hAnsi="宋体" w:cs="宋体"/>
                <w:sz w:val="24"/>
              </w:rPr>
              <w:t>，并在封面明显处注明以下内容：</w:t>
            </w:r>
          </w:p>
          <w:p>
            <w:pPr>
              <w:ind w:firstLine="480" w:firstLineChars="200"/>
              <w:rPr>
                <w:rFonts w:ascii="宋体" w:hAnsi="宋体"/>
                <w:sz w:val="24"/>
              </w:rPr>
            </w:pPr>
            <w:r>
              <w:rPr>
                <w:rFonts w:hint="eastAsia" w:ascii="宋体" w:hAnsi="宋体" w:cs="宋体"/>
                <w:sz w:val="24"/>
              </w:rPr>
              <w:t>1)项目名称</w:t>
            </w:r>
          </w:p>
          <w:p>
            <w:pPr>
              <w:ind w:firstLine="480" w:firstLineChars="200"/>
              <w:rPr>
                <w:rFonts w:ascii="宋体" w:hAnsi="宋体"/>
                <w:sz w:val="24"/>
              </w:rPr>
            </w:pPr>
            <w:r>
              <w:rPr>
                <w:rFonts w:hint="eastAsia" w:ascii="宋体" w:hAnsi="宋体" w:cs="宋体"/>
                <w:sz w:val="24"/>
              </w:rPr>
              <w:t>2)招标文件正本和副本或开标一览表</w:t>
            </w:r>
          </w:p>
          <w:p>
            <w:pPr>
              <w:ind w:firstLine="480" w:firstLineChars="200"/>
              <w:rPr>
                <w:rFonts w:ascii="宋体" w:hAnsi="宋体"/>
                <w:sz w:val="24"/>
              </w:rPr>
            </w:pPr>
            <w:r>
              <w:rPr>
                <w:rFonts w:hint="eastAsia" w:ascii="宋体" w:hAnsi="宋体" w:cs="宋体"/>
                <w:sz w:val="24"/>
              </w:rPr>
              <w:t>3)投标方名称（加盖公章）、地址、邮编、电话</w:t>
            </w:r>
          </w:p>
          <w:p>
            <w:pPr>
              <w:ind w:firstLine="480" w:firstLineChars="200"/>
              <w:rPr>
                <w:rFonts w:ascii="宋体" w:hAnsi="宋体" w:cs="宋体"/>
                <w:sz w:val="24"/>
              </w:rPr>
            </w:pPr>
            <w:r>
              <w:rPr>
                <w:rFonts w:hint="eastAsia" w:ascii="宋体" w:hAnsi="宋体" w:cs="宋体"/>
                <w:sz w:val="24"/>
              </w:rPr>
              <w:t>4）每一密封件在封口处注明“于</w:t>
            </w:r>
            <w:r>
              <w:rPr>
                <w:rFonts w:hint="eastAsia" w:ascii="宋体" w:hAnsi="宋体" w:cs="宋体"/>
                <w:sz w:val="24"/>
                <w:u w:val="single"/>
              </w:rPr>
              <w:t xml:space="preserve">    年   月   日   时   分</w:t>
            </w:r>
            <w:r>
              <w:rPr>
                <w:rFonts w:hint="eastAsia" w:ascii="宋体" w:hAnsi="宋体" w:cs="宋体"/>
                <w:sz w:val="24"/>
              </w:rPr>
              <w:t>之前不准启封”字样。</w:t>
            </w:r>
          </w:p>
          <w:p>
            <w:pPr>
              <w:ind w:firstLine="480" w:firstLineChars="200"/>
              <w:rPr>
                <w:rFonts w:ascii="宋体" w:hAnsi="宋体"/>
                <w:sz w:val="24"/>
              </w:rPr>
            </w:pPr>
            <w:r>
              <w:rPr>
                <w:rFonts w:hint="eastAsia" w:ascii="宋体" w:hAnsi="宋体" w:cs="宋体"/>
                <w:sz w:val="24"/>
              </w:rPr>
              <w:t>注：未按以上要求密封和标记的按无效投标处理。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32" w:hRule="atLeast"/>
          <w:jc w:val="center"/>
        </w:trPr>
        <w:tc>
          <w:tcPr>
            <w:tcW w:w="645"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24"/>
                <w:szCs w:val="24"/>
              </w:rPr>
            </w:pPr>
            <w:r>
              <w:rPr>
                <w:rFonts w:hint="eastAsia" w:ascii="宋体" w:hAnsi="宋体" w:cs="宋体"/>
                <w:sz w:val="24"/>
              </w:rPr>
              <w:t>10</w:t>
            </w:r>
          </w:p>
        </w:tc>
        <w:tc>
          <w:tcPr>
            <w:tcW w:w="8583" w:type="dxa"/>
            <w:gridSpan w:val="2"/>
            <w:tcBorders>
              <w:top w:val="single" w:color="auto" w:sz="2" w:space="0"/>
              <w:left w:val="single" w:color="auto" w:sz="2" w:space="0"/>
              <w:bottom w:val="single" w:color="auto" w:sz="2" w:space="0"/>
              <w:right w:val="single" w:color="auto" w:sz="2" w:space="0"/>
            </w:tcBorders>
            <w:vAlign w:val="center"/>
          </w:tcPr>
          <w:p>
            <w:pPr>
              <w:pStyle w:val="31"/>
              <w:spacing w:after="0"/>
              <w:ind w:firstLine="480" w:firstLineChars="200"/>
              <w:jc w:val="left"/>
              <w:rPr>
                <w:rFonts w:ascii="宋体" w:hAnsi="宋体"/>
                <w:kern w:val="2"/>
                <w:sz w:val="24"/>
              </w:rPr>
            </w:pPr>
            <w:r>
              <w:rPr>
                <w:rFonts w:hint="eastAsia" w:ascii="宋体" w:hAnsi="宋体" w:cs="宋体"/>
                <w:sz w:val="24"/>
              </w:rPr>
              <w:t>投标文件的装订：投标方必须将投标文件按照投标文件组成的顺序分别</w:t>
            </w:r>
            <w:r>
              <w:rPr>
                <w:rFonts w:hint="eastAsia" w:ascii="宋体" w:hAnsi="宋体" w:cs="宋体"/>
                <w:b/>
                <w:sz w:val="24"/>
                <w:u w:val="single"/>
              </w:rPr>
              <w:t>胶装</w:t>
            </w:r>
            <w:r>
              <w:rPr>
                <w:rFonts w:hint="eastAsia" w:ascii="宋体" w:hAnsi="宋体" w:cs="宋体"/>
                <w:sz w:val="24"/>
              </w:rPr>
              <w:t>成册，并在首页编制“投标文件目录”。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43" w:hRule="atLeast"/>
          <w:jc w:val="center"/>
        </w:trPr>
        <w:tc>
          <w:tcPr>
            <w:tcW w:w="9228" w:type="dxa"/>
            <w:gridSpan w:val="3"/>
            <w:tcBorders>
              <w:top w:val="single" w:color="auto" w:sz="2" w:space="0"/>
              <w:left w:val="single" w:color="auto" w:sz="2" w:space="0"/>
              <w:bottom w:val="single" w:color="auto" w:sz="2" w:space="0"/>
              <w:right w:val="single" w:color="auto" w:sz="2" w:space="0"/>
            </w:tcBorders>
            <w:vAlign w:val="center"/>
          </w:tcPr>
          <w:p>
            <w:pPr>
              <w:jc w:val="center"/>
              <w:rPr>
                <w:rFonts w:ascii="宋体" w:hAnsi="宋体"/>
                <w:b/>
                <w:bCs/>
                <w:sz w:val="24"/>
                <w:szCs w:val="24"/>
              </w:rPr>
            </w:pPr>
            <w:r>
              <w:rPr>
                <w:rFonts w:hint="eastAsia" w:ascii="宋体" w:hAnsi="宋体" w:cs="宋体"/>
                <w:b/>
                <w:bCs/>
                <w:sz w:val="24"/>
              </w:rPr>
              <w:t>投标保证金及投标有效期</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30" w:hRule="atLeast"/>
          <w:jc w:val="center"/>
        </w:trPr>
        <w:tc>
          <w:tcPr>
            <w:tcW w:w="645"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24"/>
                <w:szCs w:val="24"/>
              </w:rPr>
            </w:pPr>
            <w:r>
              <w:rPr>
                <w:rFonts w:hint="eastAsia" w:ascii="宋体" w:hAnsi="宋体" w:cs="宋体"/>
                <w:sz w:val="24"/>
              </w:rPr>
              <w:t>11</w:t>
            </w:r>
          </w:p>
        </w:tc>
        <w:tc>
          <w:tcPr>
            <w:tcW w:w="8583" w:type="dxa"/>
            <w:gridSpan w:val="2"/>
            <w:tcBorders>
              <w:top w:val="single" w:color="auto" w:sz="2" w:space="0"/>
              <w:left w:val="single" w:color="auto" w:sz="2" w:space="0"/>
              <w:bottom w:val="single" w:color="auto" w:sz="2" w:space="0"/>
              <w:right w:val="single" w:color="auto" w:sz="2" w:space="0"/>
            </w:tcBorders>
            <w:vAlign w:val="center"/>
          </w:tcPr>
          <w:p>
            <w:pPr>
              <w:ind w:firstLine="480" w:firstLineChars="200"/>
              <w:rPr>
                <w:sz w:val="24"/>
              </w:rPr>
            </w:pPr>
            <w:r>
              <w:rPr>
                <w:sz w:val="24"/>
              </w:rPr>
              <w:t>1</w:t>
            </w:r>
            <w:r>
              <w:rPr>
                <w:rFonts w:hint="eastAsia"/>
                <w:sz w:val="24"/>
              </w:rPr>
              <w:t>、投标保证金的形式：</w:t>
            </w:r>
            <w:r>
              <w:rPr>
                <w:rFonts w:hint="eastAsia" w:ascii="宋体" w:hAnsi="宋体" w:cs="宋体"/>
                <w:sz w:val="24"/>
              </w:rPr>
              <w:t>网银/银行保函（6个月）</w:t>
            </w:r>
          </w:p>
          <w:p>
            <w:pPr>
              <w:ind w:firstLine="480" w:firstLineChars="200"/>
              <w:rPr>
                <w:b/>
                <w:sz w:val="24"/>
              </w:rPr>
            </w:pPr>
            <w:r>
              <w:rPr>
                <w:sz w:val="24"/>
              </w:rPr>
              <w:t>2</w:t>
            </w:r>
            <w:r>
              <w:rPr>
                <w:rFonts w:hint="eastAsia"/>
                <w:sz w:val="24"/>
              </w:rPr>
              <w:t>、投标保证金的金额：</w:t>
            </w:r>
            <w:r>
              <w:rPr>
                <w:rFonts w:hint="eastAsia"/>
                <w:b/>
                <w:sz w:val="24"/>
              </w:rPr>
              <w:t>人民币</w:t>
            </w:r>
            <w:r>
              <w:rPr>
                <w:rFonts w:hint="eastAsia"/>
                <w:b/>
                <w:sz w:val="24"/>
                <w:u w:val="single"/>
              </w:rPr>
              <w:t xml:space="preserve"> 100000 </w:t>
            </w:r>
            <w:r>
              <w:rPr>
                <w:rFonts w:hint="eastAsia"/>
                <w:b/>
                <w:sz w:val="24"/>
              </w:rPr>
              <w:t>元</w:t>
            </w:r>
          </w:p>
          <w:p>
            <w:pPr>
              <w:autoSpaceDE w:val="0"/>
              <w:autoSpaceDN w:val="0"/>
              <w:adjustRightInd w:val="0"/>
              <w:snapToGrid w:val="0"/>
              <w:ind w:firstLine="480" w:firstLineChars="200"/>
              <w:jc w:val="left"/>
              <w:rPr>
                <w:rFonts w:ascii="宋体" w:hAnsi="宋体"/>
                <w:sz w:val="24"/>
              </w:rPr>
            </w:pPr>
            <w:r>
              <w:rPr>
                <w:rFonts w:hint="eastAsia" w:ascii="宋体" w:hAnsi="宋体"/>
                <w:sz w:val="24"/>
              </w:rPr>
              <w:t>开户名：中国重汽集团济南商用车有限公司</w:t>
            </w:r>
          </w:p>
          <w:p>
            <w:pPr>
              <w:autoSpaceDE w:val="0"/>
              <w:autoSpaceDN w:val="0"/>
              <w:adjustRightInd w:val="0"/>
              <w:snapToGrid w:val="0"/>
              <w:ind w:firstLine="480" w:firstLineChars="200"/>
              <w:jc w:val="left"/>
              <w:rPr>
                <w:rFonts w:ascii="宋体" w:hAnsi="宋体"/>
                <w:sz w:val="24"/>
              </w:rPr>
            </w:pPr>
            <w:r>
              <w:rPr>
                <w:rFonts w:hint="eastAsia" w:ascii="宋体" w:hAnsi="宋体"/>
                <w:sz w:val="24"/>
              </w:rPr>
              <w:t>开户行：</w:t>
            </w:r>
            <w:r>
              <w:rPr>
                <w:rFonts w:hint="eastAsia"/>
                <w:sz w:val="24"/>
              </w:rPr>
              <w:t>中国银行股份有限公司</w:t>
            </w:r>
          </w:p>
          <w:p>
            <w:pPr>
              <w:autoSpaceDE w:val="0"/>
              <w:autoSpaceDN w:val="0"/>
              <w:adjustRightInd w:val="0"/>
              <w:snapToGrid w:val="0"/>
              <w:ind w:firstLine="480" w:firstLineChars="200"/>
              <w:jc w:val="left"/>
              <w:rPr>
                <w:rFonts w:ascii="宋体" w:hAnsi="宋体"/>
                <w:sz w:val="24"/>
              </w:rPr>
            </w:pPr>
            <w:r>
              <w:rPr>
                <w:rFonts w:hint="eastAsia" w:ascii="宋体" w:hAnsi="宋体"/>
                <w:sz w:val="24"/>
              </w:rPr>
              <w:t>账  号：</w:t>
            </w:r>
            <w:r>
              <w:rPr>
                <w:rFonts w:hint="eastAsia"/>
                <w:sz w:val="24"/>
              </w:rPr>
              <w:t>237744219844</w:t>
            </w:r>
          </w:p>
          <w:p>
            <w:pPr>
              <w:autoSpaceDE w:val="0"/>
              <w:autoSpaceDN w:val="0"/>
              <w:adjustRightInd w:val="0"/>
              <w:snapToGrid w:val="0"/>
              <w:ind w:firstLine="480" w:firstLineChars="200"/>
              <w:jc w:val="left"/>
              <w:rPr>
                <w:b/>
                <w:sz w:val="24"/>
              </w:rPr>
            </w:pPr>
            <w:r>
              <w:rPr>
                <w:sz w:val="24"/>
              </w:rPr>
              <w:t>3</w:t>
            </w:r>
            <w:r>
              <w:rPr>
                <w:rFonts w:hint="eastAsia"/>
                <w:sz w:val="24"/>
              </w:rPr>
              <w:t>、保证金截止时间：</w:t>
            </w:r>
            <w:r>
              <w:rPr>
                <w:rFonts w:hint="eastAsia"/>
                <w:b/>
                <w:sz w:val="24"/>
                <w:highlight w:val="yellow"/>
                <w:u w:val="single"/>
              </w:rPr>
              <w:t>202</w:t>
            </w:r>
            <w:r>
              <w:rPr>
                <w:rFonts w:hint="eastAsia"/>
                <w:b/>
                <w:sz w:val="24"/>
                <w:highlight w:val="yellow"/>
                <w:u w:val="single"/>
                <w:lang w:val="en-US" w:eastAsia="zh-CN"/>
              </w:rPr>
              <w:t xml:space="preserve">2 </w:t>
            </w:r>
            <w:r>
              <w:rPr>
                <w:rFonts w:hint="eastAsia"/>
                <w:b/>
                <w:sz w:val="24"/>
                <w:highlight w:val="yellow"/>
                <w:u w:val="single"/>
              </w:rPr>
              <w:t xml:space="preserve">年 </w:t>
            </w:r>
            <w:r>
              <w:rPr>
                <w:rFonts w:hint="eastAsia"/>
                <w:b/>
                <w:sz w:val="24"/>
                <w:highlight w:val="yellow"/>
                <w:u w:val="single"/>
                <w:lang w:val="en-US" w:eastAsia="zh-CN"/>
              </w:rPr>
              <w:t xml:space="preserve">11 </w:t>
            </w:r>
            <w:r>
              <w:rPr>
                <w:rFonts w:hint="eastAsia"/>
                <w:b/>
                <w:sz w:val="24"/>
                <w:highlight w:val="yellow"/>
                <w:u w:val="single"/>
              </w:rPr>
              <w:t>月</w:t>
            </w:r>
            <w:r>
              <w:rPr>
                <w:rFonts w:hint="eastAsia"/>
                <w:b/>
                <w:sz w:val="24"/>
                <w:highlight w:val="yellow"/>
                <w:u w:val="single"/>
                <w:lang w:val="en-US" w:eastAsia="zh-CN"/>
              </w:rPr>
              <w:t xml:space="preserve"> 2</w:t>
            </w:r>
            <w:r>
              <w:rPr>
                <w:rFonts w:hint="eastAsia"/>
                <w:b/>
                <w:sz w:val="24"/>
                <w:highlight w:val="yellow"/>
                <w:u w:val="single"/>
              </w:rPr>
              <w:t>2</w:t>
            </w:r>
            <w:r>
              <w:rPr>
                <w:rFonts w:hint="eastAsia"/>
                <w:b/>
                <w:sz w:val="24"/>
                <w:highlight w:val="yellow"/>
                <w:u w:val="single"/>
                <w:lang w:val="en-US" w:eastAsia="zh-CN"/>
              </w:rPr>
              <w:t xml:space="preserve"> </w:t>
            </w:r>
            <w:r>
              <w:rPr>
                <w:rFonts w:hint="eastAsia"/>
                <w:b/>
                <w:sz w:val="24"/>
                <w:highlight w:val="yellow"/>
                <w:u w:val="single"/>
              </w:rPr>
              <w:t>日</w:t>
            </w:r>
            <w:r>
              <w:rPr>
                <w:rFonts w:hint="eastAsia"/>
                <w:b/>
                <w:sz w:val="24"/>
                <w:u w:val="single"/>
              </w:rPr>
              <w:t xml:space="preserve"> 9 时 30 分</w:t>
            </w:r>
            <w:r>
              <w:rPr>
                <w:rFonts w:hint="eastAsia"/>
                <w:b/>
                <w:sz w:val="24"/>
              </w:rPr>
              <w:t>前</w:t>
            </w:r>
          </w:p>
          <w:p>
            <w:pPr>
              <w:autoSpaceDE w:val="0"/>
              <w:autoSpaceDN w:val="0"/>
              <w:adjustRightInd w:val="0"/>
              <w:snapToGrid w:val="0"/>
              <w:ind w:firstLine="482" w:firstLineChars="200"/>
              <w:jc w:val="left"/>
              <w:rPr>
                <w:b/>
                <w:sz w:val="24"/>
              </w:rPr>
            </w:pPr>
            <w:r>
              <w:rPr>
                <w:rFonts w:hint="eastAsia"/>
                <w:b/>
                <w:sz w:val="24"/>
              </w:rPr>
              <w:t>4、投标保证金汇款时备注项目名称等相关信息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09" w:hRule="atLeast"/>
          <w:jc w:val="center"/>
        </w:trPr>
        <w:tc>
          <w:tcPr>
            <w:tcW w:w="645"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24"/>
                <w:szCs w:val="24"/>
              </w:rPr>
            </w:pPr>
            <w:r>
              <w:rPr>
                <w:rFonts w:hint="eastAsia" w:ascii="宋体" w:hAnsi="宋体" w:cs="宋体"/>
                <w:sz w:val="24"/>
              </w:rPr>
              <w:t>12</w:t>
            </w:r>
          </w:p>
        </w:tc>
        <w:tc>
          <w:tcPr>
            <w:tcW w:w="8583" w:type="dxa"/>
            <w:gridSpan w:val="2"/>
            <w:tcBorders>
              <w:top w:val="single" w:color="auto" w:sz="2" w:space="0"/>
              <w:left w:val="single" w:color="auto" w:sz="2" w:space="0"/>
              <w:bottom w:val="single" w:color="auto" w:sz="2" w:space="0"/>
              <w:right w:val="single" w:color="auto" w:sz="2" w:space="0"/>
            </w:tcBorders>
            <w:vAlign w:val="center"/>
          </w:tcPr>
          <w:p>
            <w:pPr>
              <w:ind w:firstLine="523" w:firstLineChars="218"/>
              <w:rPr>
                <w:rFonts w:ascii="宋体" w:hAnsi="宋体"/>
                <w:sz w:val="24"/>
                <w:szCs w:val="24"/>
              </w:rPr>
            </w:pPr>
            <w:r>
              <w:rPr>
                <w:rFonts w:hint="eastAsia" w:ascii="宋体" w:hAnsi="宋体" w:cs="宋体"/>
                <w:sz w:val="24"/>
              </w:rPr>
              <w:t>投标有效期：自开标之日起</w:t>
            </w:r>
            <w:r>
              <w:rPr>
                <w:rFonts w:hint="eastAsia" w:ascii="宋体" w:hAnsi="宋体" w:cs="宋体"/>
                <w:sz w:val="24"/>
                <w:u w:val="single"/>
              </w:rPr>
              <w:t xml:space="preserve">  90  </w:t>
            </w:r>
            <w:r>
              <w:rPr>
                <w:rFonts w:hint="eastAsia" w:ascii="宋体" w:hAnsi="宋体" w:cs="宋体"/>
                <w:sz w:val="24"/>
              </w:rPr>
              <w:t>个日历天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09" w:hRule="atLeast"/>
          <w:jc w:val="center"/>
        </w:trPr>
        <w:tc>
          <w:tcPr>
            <w:tcW w:w="9228" w:type="dxa"/>
            <w:gridSpan w:val="3"/>
            <w:tcBorders>
              <w:top w:val="single" w:color="auto" w:sz="2" w:space="0"/>
              <w:left w:val="single" w:color="auto" w:sz="2" w:space="0"/>
              <w:bottom w:val="single" w:color="auto" w:sz="2" w:space="0"/>
              <w:right w:val="single" w:color="auto" w:sz="2" w:space="0"/>
            </w:tcBorders>
            <w:vAlign w:val="center"/>
          </w:tcPr>
          <w:p>
            <w:pPr>
              <w:jc w:val="center"/>
              <w:rPr>
                <w:rFonts w:ascii="宋体" w:hAnsi="宋体"/>
                <w:b/>
                <w:bCs/>
                <w:sz w:val="24"/>
                <w:szCs w:val="24"/>
              </w:rPr>
            </w:pPr>
            <w:r>
              <w:rPr>
                <w:rFonts w:hint="eastAsia" w:ascii="宋体" w:hAnsi="宋体" w:cs="宋体"/>
                <w:b/>
                <w:bCs/>
                <w:sz w:val="24"/>
              </w:rPr>
              <w:t>投标文件的递交</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560" w:hRule="atLeast"/>
          <w:jc w:val="center"/>
        </w:trPr>
        <w:tc>
          <w:tcPr>
            <w:tcW w:w="645" w:type="dxa"/>
            <w:vMerge w:val="restart"/>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24"/>
                <w:szCs w:val="24"/>
              </w:rPr>
            </w:pPr>
            <w:r>
              <w:rPr>
                <w:rFonts w:hint="eastAsia" w:ascii="宋体" w:hAnsi="宋体" w:cs="宋体"/>
                <w:sz w:val="24"/>
              </w:rPr>
              <w:t>13</w:t>
            </w:r>
          </w:p>
        </w:tc>
        <w:tc>
          <w:tcPr>
            <w:tcW w:w="8583" w:type="dxa"/>
            <w:gridSpan w:val="2"/>
            <w:tcBorders>
              <w:top w:val="single" w:color="auto" w:sz="2" w:space="0"/>
              <w:left w:val="single" w:color="auto" w:sz="2" w:space="0"/>
              <w:bottom w:val="single" w:color="auto" w:sz="2" w:space="0"/>
              <w:right w:val="single" w:color="auto" w:sz="2" w:space="0"/>
            </w:tcBorders>
            <w:vAlign w:val="center"/>
          </w:tcPr>
          <w:p>
            <w:pPr>
              <w:ind w:firstLine="523" w:firstLineChars="218"/>
              <w:rPr>
                <w:rFonts w:ascii="宋体" w:hAnsi="宋体"/>
                <w:sz w:val="24"/>
                <w:szCs w:val="24"/>
              </w:rPr>
            </w:pPr>
            <w:r>
              <w:rPr>
                <w:rFonts w:hint="eastAsia" w:ascii="宋体" w:hAnsi="宋体" w:cs="宋体"/>
                <w:sz w:val="24"/>
              </w:rPr>
              <w:t>投标文件递交时间：</w:t>
            </w:r>
            <w:r>
              <w:rPr>
                <w:rFonts w:hint="eastAsia" w:ascii="宋体" w:hAnsi="宋体" w:cs="宋体"/>
                <w:sz w:val="24"/>
                <w:highlight w:val="yellow"/>
                <w:u w:val="single"/>
              </w:rPr>
              <w:t>202</w:t>
            </w:r>
            <w:r>
              <w:rPr>
                <w:rFonts w:hint="eastAsia" w:ascii="宋体" w:hAnsi="宋体" w:cs="宋体"/>
                <w:sz w:val="24"/>
                <w:highlight w:val="yellow"/>
                <w:u w:val="single"/>
                <w:lang w:val="en-US" w:eastAsia="zh-CN"/>
              </w:rPr>
              <w:t>2</w:t>
            </w:r>
            <w:r>
              <w:rPr>
                <w:rFonts w:hint="eastAsia" w:ascii="宋体" w:hAnsi="宋体" w:cs="宋体"/>
                <w:sz w:val="24"/>
                <w:highlight w:val="yellow"/>
                <w:u w:val="single"/>
              </w:rPr>
              <w:t xml:space="preserve">年 </w:t>
            </w:r>
            <w:r>
              <w:rPr>
                <w:rFonts w:hint="eastAsia" w:ascii="宋体" w:hAnsi="宋体" w:cs="宋体"/>
                <w:sz w:val="24"/>
                <w:highlight w:val="yellow"/>
                <w:u w:val="single"/>
                <w:lang w:val="en-US" w:eastAsia="zh-CN"/>
              </w:rPr>
              <w:t>11</w:t>
            </w:r>
            <w:r>
              <w:rPr>
                <w:rFonts w:hint="eastAsia" w:ascii="宋体" w:hAnsi="宋体" w:cs="宋体"/>
                <w:sz w:val="24"/>
                <w:highlight w:val="yellow"/>
                <w:u w:val="single"/>
              </w:rPr>
              <w:t xml:space="preserve"> 月 </w:t>
            </w:r>
            <w:r>
              <w:rPr>
                <w:rFonts w:hint="eastAsia" w:ascii="宋体" w:hAnsi="宋体" w:cs="宋体"/>
                <w:sz w:val="24"/>
                <w:highlight w:val="yellow"/>
                <w:u w:val="single"/>
                <w:lang w:val="en-US" w:eastAsia="zh-CN"/>
              </w:rPr>
              <w:t>22</w:t>
            </w:r>
            <w:r>
              <w:rPr>
                <w:rFonts w:hint="eastAsia" w:ascii="宋体" w:hAnsi="宋体" w:cs="宋体"/>
                <w:sz w:val="24"/>
                <w:highlight w:val="yellow"/>
                <w:u w:val="single"/>
              </w:rPr>
              <w:t xml:space="preserve"> 日</w:t>
            </w:r>
            <w:r>
              <w:rPr>
                <w:rFonts w:hint="eastAsia" w:ascii="宋体" w:hAnsi="宋体" w:cs="宋体"/>
                <w:sz w:val="24"/>
              </w:rPr>
              <w:t>上午8:30至9:30（北京时间）；</w:t>
            </w:r>
          </w:p>
          <w:p>
            <w:pPr>
              <w:ind w:firstLine="523" w:firstLineChars="218"/>
              <w:rPr>
                <w:rFonts w:ascii="宋体" w:hAnsi="宋体"/>
                <w:sz w:val="24"/>
                <w:szCs w:val="24"/>
              </w:rPr>
            </w:pPr>
            <w:r>
              <w:rPr>
                <w:rFonts w:hint="eastAsia" w:ascii="宋体" w:hAnsi="宋体" w:cs="宋体"/>
                <w:sz w:val="24"/>
              </w:rPr>
              <w:t>投标文件递交截止时间：</w:t>
            </w:r>
            <w:r>
              <w:rPr>
                <w:rFonts w:hint="eastAsia" w:ascii="宋体" w:hAnsi="宋体" w:cs="宋体"/>
                <w:sz w:val="24"/>
                <w:highlight w:val="yellow"/>
                <w:u w:val="single"/>
              </w:rPr>
              <w:t>202</w:t>
            </w:r>
            <w:r>
              <w:rPr>
                <w:rFonts w:hint="eastAsia" w:ascii="宋体" w:hAnsi="宋体" w:cs="宋体"/>
                <w:sz w:val="24"/>
                <w:highlight w:val="yellow"/>
                <w:u w:val="single"/>
                <w:lang w:val="en-US" w:eastAsia="zh-CN"/>
              </w:rPr>
              <w:t>2</w:t>
            </w:r>
            <w:r>
              <w:rPr>
                <w:rFonts w:hint="eastAsia" w:ascii="宋体" w:hAnsi="宋体" w:cs="宋体"/>
                <w:sz w:val="24"/>
                <w:highlight w:val="yellow"/>
                <w:u w:val="single"/>
              </w:rPr>
              <w:t xml:space="preserve">年 </w:t>
            </w:r>
            <w:r>
              <w:rPr>
                <w:rFonts w:hint="eastAsia" w:ascii="宋体" w:hAnsi="宋体" w:cs="宋体"/>
                <w:sz w:val="24"/>
                <w:highlight w:val="yellow"/>
                <w:u w:val="single"/>
                <w:lang w:val="en-US" w:eastAsia="zh-CN"/>
              </w:rPr>
              <w:t>11</w:t>
            </w:r>
            <w:r>
              <w:rPr>
                <w:rFonts w:hint="eastAsia" w:ascii="宋体" w:hAnsi="宋体" w:cs="宋体"/>
                <w:sz w:val="24"/>
                <w:highlight w:val="yellow"/>
                <w:u w:val="single"/>
              </w:rPr>
              <w:t xml:space="preserve"> 月 </w:t>
            </w:r>
            <w:r>
              <w:rPr>
                <w:rFonts w:hint="eastAsia" w:ascii="宋体" w:hAnsi="宋体" w:cs="宋体"/>
                <w:sz w:val="24"/>
                <w:highlight w:val="yellow"/>
                <w:u w:val="single"/>
                <w:lang w:val="en-US" w:eastAsia="zh-CN"/>
              </w:rPr>
              <w:t>22</w:t>
            </w:r>
            <w:r>
              <w:rPr>
                <w:rFonts w:hint="eastAsia" w:ascii="宋体" w:hAnsi="宋体" w:cs="宋体"/>
                <w:sz w:val="24"/>
                <w:highlight w:val="yellow"/>
                <w:u w:val="single"/>
              </w:rPr>
              <w:t xml:space="preserve"> 日</w:t>
            </w:r>
            <w:r>
              <w:rPr>
                <w:rFonts w:hint="eastAsia" w:ascii="宋体" w:hAnsi="宋体" w:cs="宋体"/>
                <w:sz w:val="24"/>
              </w:rPr>
              <w:t>上午9:30（北京时间）。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643" w:hRule="atLeast"/>
          <w:jc w:val="center"/>
        </w:trPr>
        <w:tc>
          <w:tcPr>
            <w:tcW w:w="645"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sz w:val="24"/>
                <w:szCs w:val="24"/>
              </w:rPr>
            </w:pPr>
          </w:p>
        </w:tc>
        <w:tc>
          <w:tcPr>
            <w:tcW w:w="8583" w:type="dxa"/>
            <w:gridSpan w:val="2"/>
            <w:tcBorders>
              <w:top w:val="single" w:color="auto" w:sz="2" w:space="0"/>
              <w:left w:val="single" w:color="auto" w:sz="2" w:space="0"/>
              <w:bottom w:val="single" w:color="auto" w:sz="2" w:space="0"/>
              <w:right w:val="single" w:color="auto" w:sz="2" w:space="0"/>
            </w:tcBorders>
            <w:vAlign w:val="center"/>
          </w:tcPr>
          <w:p>
            <w:pPr>
              <w:ind w:firstLine="523" w:firstLineChars="218"/>
              <w:rPr>
                <w:rFonts w:ascii="宋体" w:hAnsi="宋体"/>
                <w:sz w:val="24"/>
                <w:szCs w:val="24"/>
              </w:rPr>
            </w:pPr>
            <w:r>
              <w:rPr>
                <w:rFonts w:hint="eastAsia" w:ascii="宋体" w:hAnsi="宋体" w:cs="宋体"/>
                <w:sz w:val="24"/>
              </w:rPr>
              <w:t>投标文件递交地点：</w:t>
            </w:r>
            <w:r>
              <w:rPr>
                <w:rFonts w:hint="eastAsia" w:ascii="宋体" w:hAnsi="宋体"/>
                <w:sz w:val="24"/>
              </w:rPr>
              <w:t>山东省</w:t>
            </w:r>
            <w:r>
              <w:rPr>
                <w:rFonts w:hint="eastAsia"/>
                <w:bCs/>
                <w:sz w:val="24"/>
              </w:rPr>
              <w:t>济南市章丘区潘王路东园区十一号路北，济南轻卡制造公司</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416" w:hRule="atLeast"/>
          <w:jc w:val="center"/>
        </w:trPr>
        <w:tc>
          <w:tcPr>
            <w:tcW w:w="9228" w:type="dxa"/>
            <w:gridSpan w:val="3"/>
            <w:tcBorders>
              <w:top w:val="single" w:color="auto" w:sz="2" w:space="0"/>
              <w:left w:val="single" w:color="auto" w:sz="2" w:space="0"/>
              <w:bottom w:val="single" w:color="auto" w:sz="2" w:space="0"/>
              <w:right w:val="single" w:color="auto" w:sz="2" w:space="0"/>
            </w:tcBorders>
            <w:vAlign w:val="center"/>
          </w:tcPr>
          <w:p>
            <w:pPr>
              <w:jc w:val="center"/>
              <w:rPr>
                <w:rFonts w:ascii="宋体" w:hAnsi="宋体"/>
                <w:b/>
                <w:bCs/>
                <w:sz w:val="24"/>
                <w:szCs w:val="24"/>
              </w:rPr>
            </w:pPr>
            <w:r>
              <w:rPr>
                <w:rFonts w:hint="eastAsia" w:ascii="宋体" w:hAnsi="宋体" w:cs="宋体"/>
                <w:b/>
                <w:bCs/>
                <w:sz w:val="24"/>
              </w:rPr>
              <w:t>开标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729" w:hRule="atLeast"/>
          <w:jc w:val="center"/>
        </w:trPr>
        <w:tc>
          <w:tcPr>
            <w:tcW w:w="645"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24"/>
                <w:szCs w:val="24"/>
              </w:rPr>
            </w:pPr>
            <w:r>
              <w:rPr>
                <w:rFonts w:hint="eastAsia" w:ascii="宋体" w:hAnsi="宋体" w:cs="宋体"/>
                <w:sz w:val="24"/>
              </w:rPr>
              <w:t>14</w:t>
            </w:r>
          </w:p>
        </w:tc>
        <w:tc>
          <w:tcPr>
            <w:tcW w:w="8583" w:type="dxa"/>
            <w:gridSpan w:val="2"/>
            <w:tcBorders>
              <w:top w:val="single" w:color="auto" w:sz="2" w:space="0"/>
              <w:left w:val="single" w:color="auto" w:sz="2" w:space="0"/>
              <w:bottom w:val="single" w:color="auto" w:sz="2" w:space="0"/>
              <w:right w:val="single" w:color="auto" w:sz="2" w:space="0"/>
            </w:tcBorders>
            <w:vAlign w:val="center"/>
          </w:tcPr>
          <w:p>
            <w:pPr>
              <w:ind w:firstLine="523" w:firstLineChars="218"/>
              <w:rPr>
                <w:rFonts w:ascii="宋体" w:hAnsi="宋体"/>
                <w:sz w:val="24"/>
                <w:szCs w:val="24"/>
              </w:rPr>
            </w:pPr>
            <w:r>
              <w:rPr>
                <w:rFonts w:hint="eastAsia" w:ascii="宋体" w:hAnsi="宋体" w:cs="宋体"/>
                <w:sz w:val="24"/>
              </w:rPr>
              <w:t>开标时间：</w:t>
            </w:r>
            <w:r>
              <w:rPr>
                <w:rFonts w:hint="eastAsia" w:ascii="宋体" w:hAnsi="宋体"/>
                <w:kern w:val="0"/>
                <w:sz w:val="24"/>
              </w:rPr>
              <w:t>同投标文件递交截止时间。</w:t>
            </w:r>
          </w:p>
          <w:p>
            <w:pPr>
              <w:ind w:firstLine="523" w:firstLineChars="218"/>
              <w:rPr>
                <w:rFonts w:ascii="宋体" w:hAnsi="宋体"/>
                <w:sz w:val="24"/>
                <w:szCs w:val="24"/>
              </w:rPr>
            </w:pPr>
            <w:r>
              <w:rPr>
                <w:rFonts w:hint="eastAsia" w:ascii="宋体" w:hAnsi="宋体" w:cs="宋体"/>
                <w:sz w:val="24"/>
              </w:rPr>
              <w:t>开标地点：同投标文件递交地点。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00" w:hRule="atLeast"/>
          <w:jc w:val="center"/>
        </w:trPr>
        <w:tc>
          <w:tcPr>
            <w:tcW w:w="9228" w:type="dxa"/>
            <w:gridSpan w:val="3"/>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24"/>
                <w:szCs w:val="24"/>
              </w:rPr>
            </w:pPr>
            <w:r>
              <w:rPr>
                <w:rFonts w:hint="eastAsia" w:ascii="宋体" w:hAnsi="宋体" w:cs="宋体"/>
                <w:b/>
                <w:bCs/>
                <w:sz w:val="24"/>
              </w:rPr>
              <w:t>评标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43" w:hRule="atLeast"/>
          <w:jc w:val="center"/>
        </w:trPr>
        <w:tc>
          <w:tcPr>
            <w:tcW w:w="681"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24"/>
                <w:szCs w:val="24"/>
              </w:rPr>
            </w:pPr>
            <w:r>
              <w:rPr>
                <w:rFonts w:hint="eastAsia" w:ascii="宋体" w:hAnsi="宋体" w:cs="宋体"/>
                <w:sz w:val="24"/>
              </w:rPr>
              <w:t>15</w:t>
            </w:r>
          </w:p>
        </w:tc>
        <w:tc>
          <w:tcPr>
            <w:tcW w:w="8547" w:type="dxa"/>
            <w:tcBorders>
              <w:top w:val="single" w:color="auto" w:sz="2" w:space="0"/>
              <w:left w:val="single" w:color="auto" w:sz="2" w:space="0"/>
              <w:bottom w:val="single" w:color="auto" w:sz="2" w:space="0"/>
              <w:right w:val="single" w:color="auto" w:sz="2" w:space="0"/>
            </w:tcBorders>
            <w:vAlign w:val="center"/>
          </w:tcPr>
          <w:p>
            <w:pPr>
              <w:ind w:firstLine="523" w:firstLineChars="218"/>
              <w:rPr>
                <w:rFonts w:ascii="宋体" w:hAnsi="宋体" w:cs="宋体"/>
                <w:sz w:val="24"/>
                <w:szCs w:val="24"/>
              </w:rPr>
            </w:pPr>
            <w:r>
              <w:rPr>
                <w:rFonts w:hint="eastAsia" w:ascii="宋体" w:hAnsi="宋体" w:cs="宋体"/>
                <w:sz w:val="24"/>
              </w:rPr>
              <w:t>评标委员会组成：招标方将根据本项目的特点组建评标委员会，其成员由有关技术、经济方面专家和招标方代表等单数成员组成，其中经济、技术等方面的专家不得少于成员总数的三分之二。</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43" w:hRule="atLeast"/>
          <w:jc w:val="center"/>
        </w:trPr>
        <w:tc>
          <w:tcPr>
            <w:tcW w:w="681"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24"/>
                <w:szCs w:val="24"/>
              </w:rPr>
            </w:pPr>
            <w:r>
              <w:rPr>
                <w:rFonts w:hint="eastAsia" w:ascii="宋体" w:hAnsi="宋体" w:cs="宋体"/>
                <w:sz w:val="24"/>
              </w:rPr>
              <w:t>16</w:t>
            </w:r>
          </w:p>
        </w:tc>
        <w:tc>
          <w:tcPr>
            <w:tcW w:w="8547" w:type="dxa"/>
            <w:tcBorders>
              <w:top w:val="single" w:color="auto" w:sz="2" w:space="0"/>
              <w:left w:val="single" w:color="auto" w:sz="2" w:space="0"/>
              <w:bottom w:val="single" w:color="auto" w:sz="2" w:space="0"/>
              <w:right w:val="single" w:color="auto" w:sz="2" w:space="0"/>
            </w:tcBorders>
            <w:vAlign w:val="center"/>
          </w:tcPr>
          <w:p>
            <w:pPr>
              <w:pStyle w:val="26"/>
              <w:spacing w:after="0" w:line="240" w:lineRule="auto"/>
              <w:ind w:firstLine="480" w:firstLineChars="200"/>
              <w:rPr>
                <w:rFonts w:ascii="宋体" w:hAnsi="宋体"/>
                <w:sz w:val="24"/>
                <w:szCs w:val="24"/>
              </w:rPr>
            </w:pPr>
            <w:r>
              <w:rPr>
                <w:rFonts w:hint="eastAsia" w:ascii="宋体" w:hAnsi="宋体" w:cs="宋体"/>
                <w:sz w:val="24"/>
              </w:rPr>
              <w:t>评标方法：综合评审法</w:t>
            </w:r>
            <w:r>
              <w:rPr>
                <w:rFonts w:hint="eastAsia" w:ascii="宋体" w:hAnsi="宋体"/>
                <w:sz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43" w:hRule="atLeast"/>
          <w:jc w:val="center"/>
        </w:trPr>
        <w:tc>
          <w:tcPr>
            <w:tcW w:w="9228" w:type="dxa"/>
            <w:gridSpan w:val="3"/>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24"/>
                <w:szCs w:val="24"/>
              </w:rPr>
            </w:pPr>
            <w:r>
              <w:rPr>
                <w:rFonts w:hint="eastAsia" w:ascii="宋体" w:hAnsi="宋体" w:cs="宋体"/>
                <w:b/>
                <w:bCs/>
                <w:sz w:val="24"/>
              </w:rPr>
              <w:t>授  予  合  同</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43" w:hRule="atLeast"/>
          <w:jc w:val="center"/>
        </w:trPr>
        <w:tc>
          <w:tcPr>
            <w:tcW w:w="645"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24"/>
                <w:szCs w:val="24"/>
              </w:rPr>
            </w:pPr>
            <w:r>
              <w:rPr>
                <w:rFonts w:hint="eastAsia" w:ascii="宋体" w:hAnsi="宋体" w:cs="宋体"/>
                <w:sz w:val="24"/>
              </w:rPr>
              <w:t>17</w:t>
            </w:r>
          </w:p>
        </w:tc>
        <w:tc>
          <w:tcPr>
            <w:tcW w:w="8583" w:type="dxa"/>
            <w:gridSpan w:val="2"/>
            <w:tcBorders>
              <w:top w:val="single" w:color="auto" w:sz="2" w:space="0"/>
              <w:left w:val="single" w:color="auto" w:sz="2" w:space="0"/>
              <w:bottom w:val="single" w:color="auto" w:sz="2" w:space="0"/>
              <w:right w:val="single" w:color="auto" w:sz="2" w:space="0"/>
            </w:tcBorders>
            <w:vAlign w:val="center"/>
          </w:tcPr>
          <w:p>
            <w:pPr>
              <w:ind w:firstLine="523" w:firstLineChars="218"/>
              <w:rPr>
                <w:rFonts w:ascii="宋体" w:hAnsi="宋体"/>
                <w:sz w:val="24"/>
                <w:szCs w:val="24"/>
              </w:rPr>
            </w:pPr>
            <w:r>
              <w:rPr>
                <w:rFonts w:hint="eastAsia" w:ascii="宋体" w:hAnsi="宋体" w:cs="宋体"/>
                <w:sz w:val="24"/>
              </w:rPr>
              <w:t>在向投标方授予中标通知书时，招标方有权</w:t>
            </w:r>
            <w:r>
              <w:rPr>
                <w:rFonts w:hint="eastAsia" w:ascii="宋体" w:hAnsi="宋体" w:cs="宋体"/>
                <w:b/>
                <w:bCs/>
                <w:sz w:val="24"/>
                <w:u w:val="single"/>
              </w:rPr>
              <w:t>变更数量和服务的内容</w:t>
            </w:r>
            <w:r>
              <w:rPr>
                <w:rFonts w:hint="eastAsia" w:ascii="宋体" w:hAnsi="宋体" w:cs="宋体"/>
                <w:sz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43" w:hRule="atLeast"/>
          <w:jc w:val="center"/>
        </w:trPr>
        <w:tc>
          <w:tcPr>
            <w:tcW w:w="9228" w:type="dxa"/>
            <w:gridSpan w:val="3"/>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24"/>
                <w:szCs w:val="24"/>
              </w:rPr>
            </w:pPr>
            <w:r>
              <w:rPr>
                <w:rFonts w:hint="eastAsia" w:ascii="宋体" w:hAnsi="宋体" w:cs="宋体"/>
                <w:b/>
                <w:bCs/>
                <w:sz w:val="24"/>
              </w:rPr>
              <w:t>相关费用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43" w:hRule="atLeast"/>
          <w:jc w:val="center"/>
        </w:trPr>
        <w:tc>
          <w:tcPr>
            <w:tcW w:w="645"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24"/>
                <w:szCs w:val="24"/>
              </w:rPr>
            </w:pPr>
            <w:r>
              <w:rPr>
                <w:rFonts w:hint="eastAsia" w:ascii="宋体" w:hAnsi="宋体" w:cs="宋体"/>
                <w:sz w:val="24"/>
              </w:rPr>
              <w:t>18</w:t>
            </w:r>
          </w:p>
        </w:tc>
        <w:tc>
          <w:tcPr>
            <w:tcW w:w="8583" w:type="dxa"/>
            <w:gridSpan w:val="2"/>
            <w:tcBorders>
              <w:top w:val="single" w:color="auto" w:sz="2" w:space="0"/>
              <w:left w:val="single" w:color="auto" w:sz="2" w:space="0"/>
              <w:bottom w:val="single" w:color="auto" w:sz="2" w:space="0"/>
              <w:right w:val="single" w:color="auto" w:sz="2" w:space="0"/>
            </w:tcBorders>
            <w:vAlign w:val="center"/>
          </w:tcPr>
          <w:p>
            <w:pPr>
              <w:pStyle w:val="26"/>
              <w:spacing w:after="0" w:line="240" w:lineRule="auto"/>
              <w:ind w:firstLine="3720" w:firstLineChars="1550"/>
              <w:rPr>
                <w:rFonts w:ascii="宋体" w:hAnsi="宋体"/>
                <w:sz w:val="24"/>
                <w:szCs w:val="24"/>
              </w:rPr>
            </w:pPr>
            <w:r>
              <w:rPr>
                <w:rFonts w:hint="eastAsia" w:ascii="宋体" w:hAnsi="宋体"/>
                <w:sz w:val="24"/>
              </w:rPr>
              <w:t>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43" w:hRule="atLeast"/>
          <w:jc w:val="center"/>
        </w:trPr>
        <w:tc>
          <w:tcPr>
            <w:tcW w:w="9228" w:type="dxa"/>
            <w:gridSpan w:val="3"/>
            <w:tcBorders>
              <w:top w:val="single" w:color="auto" w:sz="2" w:space="0"/>
              <w:left w:val="single" w:color="auto" w:sz="2" w:space="0"/>
              <w:bottom w:val="single" w:color="auto" w:sz="2" w:space="0"/>
              <w:right w:val="single" w:color="auto" w:sz="2" w:space="0"/>
            </w:tcBorders>
            <w:vAlign w:val="center"/>
          </w:tcPr>
          <w:p>
            <w:pPr>
              <w:jc w:val="center"/>
              <w:rPr>
                <w:rFonts w:ascii="宋体" w:hAnsi="宋体"/>
                <w:b/>
                <w:bCs/>
                <w:sz w:val="24"/>
                <w:szCs w:val="24"/>
              </w:rPr>
            </w:pPr>
            <w:r>
              <w:rPr>
                <w:rFonts w:hint="eastAsia" w:ascii="宋体" w:hAnsi="宋体" w:cs="宋体"/>
                <w:b/>
                <w:bCs/>
                <w:sz w:val="24"/>
              </w:rPr>
              <w:t>其他</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43" w:hRule="atLeast"/>
          <w:jc w:val="center"/>
        </w:trPr>
        <w:tc>
          <w:tcPr>
            <w:tcW w:w="645"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24"/>
                <w:szCs w:val="24"/>
              </w:rPr>
            </w:pPr>
            <w:r>
              <w:rPr>
                <w:rFonts w:hint="eastAsia" w:ascii="宋体" w:hAnsi="宋体"/>
                <w:sz w:val="24"/>
                <w:szCs w:val="24"/>
              </w:rPr>
              <w:t>19</w:t>
            </w:r>
          </w:p>
        </w:tc>
        <w:tc>
          <w:tcPr>
            <w:tcW w:w="8583" w:type="dxa"/>
            <w:gridSpan w:val="2"/>
            <w:tcBorders>
              <w:top w:val="single" w:color="auto" w:sz="2" w:space="0"/>
              <w:left w:val="single" w:color="auto" w:sz="2" w:space="0"/>
              <w:bottom w:val="single" w:color="auto" w:sz="2" w:space="0"/>
              <w:right w:val="single" w:color="auto" w:sz="2" w:space="0"/>
            </w:tcBorders>
            <w:vAlign w:val="center"/>
          </w:tcPr>
          <w:p>
            <w:pPr>
              <w:ind w:firstLine="480" w:firstLineChars="200"/>
              <w:rPr>
                <w:rFonts w:ascii="宋体" w:hAnsi="宋体" w:cs="宋体"/>
                <w:sz w:val="24"/>
              </w:rPr>
            </w:pPr>
            <w:r>
              <w:rPr>
                <w:rFonts w:hint="eastAsia" w:ascii="宋体" w:hAnsi="宋体" w:cs="宋体"/>
                <w:sz w:val="24"/>
              </w:rPr>
              <w:t>交货期：详见第四章 技术规格及技术要求。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43" w:hRule="atLeast"/>
          <w:jc w:val="center"/>
        </w:trPr>
        <w:tc>
          <w:tcPr>
            <w:tcW w:w="645"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24"/>
                <w:szCs w:val="24"/>
              </w:rPr>
            </w:pPr>
            <w:r>
              <w:rPr>
                <w:rFonts w:hint="eastAsia" w:ascii="宋体" w:hAnsi="宋体" w:cs="宋体"/>
                <w:sz w:val="24"/>
              </w:rPr>
              <w:t>20</w:t>
            </w:r>
          </w:p>
        </w:tc>
        <w:tc>
          <w:tcPr>
            <w:tcW w:w="8583" w:type="dxa"/>
            <w:gridSpan w:val="2"/>
            <w:tcBorders>
              <w:top w:val="single" w:color="auto" w:sz="2" w:space="0"/>
              <w:left w:val="single" w:color="auto" w:sz="2" w:space="0"/>
              <w:bottom w:val="single" w:color="auto" w:sz="2" w:space="0"/>
              <w:right w:val="single" w:color="auto" w:sz="2" w:space="0"/>
            </w:tcBorders>
            <w:vAlign w:val="center"/>
          </w:tcPr>
          <w:p>
            <w:pPr>
              <w:pStyle w:val="26"/>
              <w:spacing w:after="0" w:line="240" w:lineRule="auto"/>
              <w:ind w:firstLine="480" w:firstLineChars="200"/>
            </w:pPr>
            <w:r>
              <w:rPr>
                <w:rFonts w:hint="eastAsia" w:ascii="宋体" w:hAnsi="宋体" w:cs="宋体"/>
                <w:sz w:val="24"/>
              </w:rPr>
              <w:t>质保期：详见第四章 技术规格及技术要求。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30" w:hRule="atLeast"/>
          <w:jc w:val="center"/>
        </w:trPr>
        <w:tc>
          <w:tcPr>
            <w:tcW w:w="645" w:type="dxa"/>
            <w:tcBorders>
              <w:top w:val="single" w:color="auto" w:sz="2" w:space="0"/>
              <w:left w:val="single" w:color="auto" w:sz="2" w:space="0"/>
              <w:bottom w:val="single" w:color="auto" w:sz="2" w:space="0"/>
              <w:right w:val="single" w:color="auto" w:sz="4" w:space="0"/>
            </w:tcBorders>
            <w:vAlign w:val="center"/>
          </w:tcPr>
          <w:p>
            <w:pPr>
              <w:jc w:val="center"/>
              <w:rPr>
                <w:rFonts w:ascii="宋体" w:hAnsi="宋体"/>
                <w:sz w:val="24"/>
                <w:szCs w:val="24"/>
              </w:rPr>
            </w:pPr>
            <w:r>
              <w:rPr>
                <w:rFonts w:hint="eastAsia" w:ascii="宋体" w:hAnsi="宋体" w:cs="宋体"/>
                <w:sz w:val="24"/>
              </w:rPr>
              <w:t>21</w:t>
            </w:r>
          </w:p>
        </w:tc>
        <w:tc>
          <w:tcPr>
            <w:tcW w:w="8583" w:type="dxa"/>
            <w:gridSpan w:val="2"/>
            <w:tcBorders>
              <w:top w:val="single" w:color="auto" w:sz="2" w:space="0"/>
              <w:left w:val="single" w:color="auto" w:sz="4" w:space="0"/>
              <w:bottom w:val="single" w:color="auto" w:sz="2" w:space="0"/>
              <w:right w:val="single" w:color="auto" w:sz="2" w:space="0"/>
            </w:tcBorders>
            <w:vAlign w:val="center"/>
          </w:tcPr>
          <w:p>
            <w:pPr>
              <w:pStyle w:val="26"/>
              <w:spacing w:after="0" w:line="240" w:lineRule="auto"/>
              <w:rPr>
                <w:rFonts w:ascii="宋体" w:hAnsi="宋体" w:cs="宋体"/>
                <w:sz w:val="24"/>
                <w:szCs w:val="24"/>
              </w:rPr>
            </w:pPr>
            <w:r>
              <w:rPr>
                <w:rFonts w:hint="eastAsia" w:ascii="宋体" w:hAnsi="宋体" w:cs="宋体"/>
                <w:sz w:val="24"/>
                <w:szCs w:val="24"/>
              </w:rPr>
              <w:t xml:space="preserve">1、合同价款的结算方式：半年期商业汇票（包括银行承兑汇票和商业承兑汇票） </w:t>
            </w:r>
          </w:p>
          <w:p>
            <w:pPr>
              <w:rPr>
                <w:rFonts w:ascii="宋体" w:hAnsi="宋体" w:cs="宋体"/>
                <w:kern w:val="0"/>
                <w:sz w:val="24"/>
                <w:szCs w:val="24"/>
              </w:rPr>
            </w:pPr>
            <w:r>
              <w:rPr>
                <w:rFonts w:hint="eastAsia" w:ascii="宋体" w:hAnsi="宋体" w:cs="宋体"/>
                <w:sz w:val="24"/>
                <w:szCs w:val="24"/>
              </w:rPr>
              <w:t>2、</w:t>
            </w:r>
            <w:r>
              <w:rPr>
                <w:rFonts w:hint="eastAsia" w:ascii="宋体" w:hAnsi="宋体" w:cs="宋体"/>
                <w:kern w:val="0"/>
                <w:sz w:val="24"/>
                <w:szCs w:val="24"/>
              </w:rPr>
              <w:t xml:space="preserve">合同价款的支付： </w:t>
            </w:r>
          </w:p>
          <w:p>
            <w:pPr>
              <w:rPr>
                <w:rFonts w:ascii="宋体" w:hAnsi="宋体" w:cs="宋体"/>
                <w:kern w:val="0"/>
                <w:sz w:val="24"/>
                <w:szCs w:val="24"/>
              </w:rPr>
            </w:pPr>
            <w:r>
              <w:rPr>
                <w:rFonts w:hint="eastAsia" w:ascii="宋体" w:hAnsi="宋体" w:cs="宋体"/>
                <w:kern w:val="0"/>
                <w:sz w:val="24"/>
                <w:szCs w:val="24"/>
              </w:rPr>
              <w:t>2.1合同生效，方案会签完成之后，铸件投入制作之前，卖方提交金额为合同总价款30 %的增值税专用发票（税率13%,正本一份，复印件二份），经买方依照财务制度审核无误后支付。</w:t>
            </w:r>
          </w:p>
          <w:p>
            <w:pPr>
              <w:rPr>
                <w:rFonts w:ascii="宋体" w:hAnsi="宋体" w:cs="宋体"/>
                <w:kern w:val="0"/>
                <w:sz w:val="24"/>
                <w:szCs w:val="24"/>
              </w:rPr>
            </w:pPr>
            <w:r>
              <w:rPr>
                <w:rFonts w:hint="eastAsia" w:ascii="宋体" w:hAnsi="宋体" w:cs="宋体"/>
                <w:kern w:val="0"/>
                <w:sz w:val="24"/>
                <w:szCs w:val="24"/>
              </w:rPr>
              <w:t>2.2模具预验收合格后，发货前卖方提交金额为合同总价款30 %的增值税专用发票（税率13%,正本一份，复印件二份），经买方依照财务制度审核无误后支付。</w:t>
            </w:r>
          </w:p>
          <w:p>
            <w:pPr>
              <w:rPr>
                <w:rFonts w:ascii="宋体" w:hAnsi="宋体" w:cs="宋体"/>
                <w:kern w:val="0"/>
                <w:sz w:val="24"/>
                <w:szCs w:val="24"/>
              </w:rPr>
            </w:pPr>
            <w:r>
              <w:rPr>
                <w:rFonts w:hint="eastAsia" w:ascii="宋体" w:hAnsi="宋体" w:cs="宋体"/>
                <w:kern w:val="0"/>
                <w:sz w:val="24"/>
                <w:szCs w:val="24"/>
              </w:rPr>
              <w:t>2.3设备全部到齐无质量问题，经安装、调试最终验收合格后，卖方提交金额为合同总价款的 40%的增值税专用发票（税率13%,正本一份，复印件二份），并附带该套合同设备最终验收报告的原件及其复印件两份，经买方依照财务制度审核无误后支付合同总价款30%的验收款。</w:t>
            </w:r>
          </w:p>
          <w:p>
            <w:pPr>
              <w:pStyle w:val="26"/>
              <w:spacing w:after="0" w:line="240" w:lineRule="auto"/>
              <w:rPr>
                <w:rFonts w:ascii="宋体" w:hAnsi="宋体" w:cs="宋体"/>
                <w:sz w:val="24"/>
              </w:rPr>
            </w:pPr>
            <w:r>
              <w:rPr>
                <w:rFonts w:hint="eastAsia" w:ascii="宋体" w:hAnsi="宋体" w:cs="宋体"/>
                <w:sz w:val="24"/>
                <w:szCs w:val="24"/>
              </w:rPr>
              <w:t>2.4合同总价款的 10 %作为本合同约定设备的质量保证金，质量保证金在质量保证期内不计利息。待每套合同设备质量保证期满后，卖方向买方提交金额为合同总价款10%的收据（正本一份，复印件二份）及设备使用单位或设备管理单位的使用情况说明，经买方依照财务制度审核无误后支付。如有质量问题，质量保证金予以相应扣除。</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704" w:hRule="atLeast"/>
          <w:jc w:val="center"/>
        </w:trPr>
        <w:tc>
          <w:tcPr>
            <w:tcW w:w="645" w:type="dxa"/>
            <w:tcBorders>
              <w:top w:val="single" w:color="auto" w:sz="2" w:space="0"/>
              <w:left w:val="single" w:color="auto" w:sz="2" w:space="0"/>
              <w:bottom w:val="single" w:color="auto" w:sz="2" w:space="0"/>
              <w:right w:val="single" w:color="auto" w:sz="4" w:space="0"/>
            </w:tcBorders>
            <w:vAlign w:val="center"/>
          </w:tcPr>
          <w:p>
            <w:pPr>
              <w:jc w:val="center"/>
              <w:rPr>
                <w:rFonts w:ascii="宋体" w:hAnsi="宋体"/>
                <w:sz w:val="24"/>
                <w:szCs w:val="24"/>
              </w:rPr>
            </w:pPr>
            <w:r>
              <w:rPr>
                <w:rFonts w:hint="eastAsia" w:ascii="宋体" w:hAnsi="宋体" w:cs="宋体"/>
                <w:sz w:val="24"/>
              </w:rPr>
              <w:t>22</w:t>
            </w:r>
          </w:p>
        </w:tc>
        <w:tc>
          <w:tcPr>
            <w:tcW w:w="8583" w:type="dxa"/>
            <w:gridSpan w:val="2"/>
            <w:tcBorders>
              <w:top w:val="single" w:color="auto" w:sz="2" w:space="0"/>
              <w:left w:val="single" w:color="auto" w:sz="4" w:space="0"/>
              <w:bottom w:val="single" w:color="auto" w:sz="2" w:space="0"/>
              <w:right w:val="single" w:color="auto" w:sz="2" w:space="0"/>
            </w:tcBorders>
            <w:vAlign w:val="center"/>
          </w:tcPr>
          <w:p>
            <w:pPr>
              <w:jc w:val="left"/>
              <w:rPr>
                <w:rFonts w:ascii="宋体" w:hAnsi="宋体"/>
                <w:sz w:val="24"/>
              </w:rPr>
            </w:pPr>
            <w:r>
              <w:rPr>
                <w:rFonts w:hint="eastAsia" w:ascii="宋体" w:hAnsi="宋体"/>
                <w:bCs/>
                <w:sz w:val="24"/>
              </w:rPr>
              <w:t>1、</w:t>
            </w:r>
            <w:r>
              <w:rPr>
                <w:rFonts w:hint="eastAsia" w:ascii="宋体" w:hAnsi="宋体"/>
                <w:sz w:val="24"/>
              </w:rPr>
              <w:t>全部（全新）产品价、运杂费（包括现场卸车费）、</w:t>
            </w:r>
            <w:r>
              <w:rPr>
                <w:rFonts w:hint="eastAsia" w:ascii="宋体" w:hAnsi="宋体"/>
                <w:bCs/>
                <w:sz w:val="24"/>
              </w:rPr>
              <w:t>设计、制</w:t>
            </w:r>
            <w:r>
              <w:rPr>
                <w:rFonts w:hint="eastAsia" w:ascii="宋体" w:hAnsi="宋体"/>
                <w:sz w:val="24"/>
              </w:rPr>
              <w:t>造、安装、调试</w:t>
            </w:r>
            <w:r>
              <w:rPr>
                <w:rFonts w:hint="eastAsia" w:ascii="宋体" w:hAnsi="宋体"/>
                <w:bCs/>
                <w:sz w:val="24"/>
              </w:rPr>
              <w:t>、验收、</w:t>
            </w:r>
            <w:r>
              <w:rPr>
                <w:rFonts w:hint="eastAsia" w:ascii="宋体" w:hAnsi="宋体"/>
                <w:sz w:val="24"/>
              </w:rPr>
              <w:t>技术及售后服务费、关税等税费、技术资料费等所有费用的总和。所有投标均以人民币报价。</w:t>
            </w:r>
          </w:p>
          <w:p>
            <w:pPr>
              <w:jc w:val="left"/>
              <w:rPr>
                <w:rFonts w:ascii="宋体" w:hAnsi="宋体"/>
                <w:kern w:val="0"/>
                <w:sz w:val="24"/>
                <w:szCs w:val="24"/>
              </w:rPr>
            </w:pPr>
            <w:r>
              <w:rPr>
                <w:rFonts w:hint="eastAsia" w:ascii="宋体" w:hAnsi="宋体"/>
                <w:sz w:val="24"/>
              </w:rPr>
              <w:t>2、招标文件中与本附表不一致的，以本附表约定要求为准。</w:t>
            </w:r>
          </w:p>
        </w:tc>
      </w:tr>
    </w:tbl>
    <w:p>
      <w:pPr>
        <w:pStyle w:val="2"/>
        <w:rPr>
          <w:rFonts w:ascii="宋体" w:hAnsi="宋体" w:cs="宋体"/>
          <w:b w:val="0"/>
          <w:bCs/>
          <w:sz w:val="30"/>
          <w:szCs w:val="30"/>
        </w:rPr>
      </w:pPr>
    </w:p>
    <w:p>
      <w:pPr>
        <w:pStyle w:val="2"/>
        <w:rPr>
          <w:rFonts w:ascii="宋体" w:hAnsi="宋体"/>
          <w:b w:val="0"/>
          <w:bCs/>
          <w:sz w:val="30"/>
          <w:szCs w:val="30"/>
        </w:rPr>
      </w:pPr>
      <w:r>
        <w:rPr>
          <w:rFonts w:ascii="宋体" w:hAnsi="宋体" w:cs="宋体"/>
          <w:b w:val="0"/>
          <w:bCs/>
          <w:sz w:val="30"/>
          <w:szCs w:val="30"/>
        </w:rPr>
        <w:br w:type="page"/>
      </w:r>
      <w:bookmarkStart w:id="6" w:name="_Toc26958"/>
      <w:r>
        <w:rPr>
          <w:rFonts w:hint="eastAsia" w:ascii="宋体" w:hAnsi="宋体" w:cs="宋体"/>
          <w:b w:val="0"/>
          <w:bCs/>
          <w:sz w:val="30"/>
          <w:szCs w:val="30"/>
        </w:rPr>
        <w:t>总则</w:t>
      </w:r>
      <w:bookmarkEnd w:id="3"/>
      <w:bookmarkEnd w:id="6"/>
    </w:p>
    <w:p>
      <w:pPr>
        <w:pStyle w:val="4"/>
        <w:spacing w:before="120" w:after="120" w:line="360" w:lineRule="exact"/>
        <w:rPr>
          <w:rFonts w:ascii="宋体" w:hAnsi="宋体" w:eastAsia="宋体"/>
          <w:sz w:val="28"/>
          <w:szCs w:val="28"/>
        </w:rPr>
      </w:pPr>
      <w:bookmarkStart w:id="7" w:name="_Toc25717"/>
      <w:r>
        <w:rPr>
          <w:rFonts w:hint="eastAsia" w:ascii="宋体" w:hAnsi="宋体" w:eastAsia="宋体" w:cs="宋体"/>
          <w:sz w:val="28"/>
          <w:szCs w:val="28"/>
        </w:rPr>
        <w:t>一、说明</w:t>
      </w:r>
      <w:bookmarkEnd w:id="7"/>
    </w:p>
    <w:p>
      <w:pPr>
        <w:pStyle w:val="31"/>
        <w:tabs>
          <w:tab w:val="left" w:pos="955"/>
        </w:tabs>
        <w:spacing w:after="0" w:line="560" w:lineRule="exact"/>
        <w:ind w:left="1146" w:leftChars="273" w:hanging="573" w:hangingChars="238"/>
        <w:rPr>
          <w:rFonts w:ascii="宋体" w:hAnsi="宋体"/>
          <w:b/>
          <w:bCs/>
          <w:sz w:val="24"/>
          <w:szCs w:val="24"/>
        </w:rPr>
      </w:pPr>
      <w:bookmarkStart w:id="8" w:name="_Toc346372877"/>
      <w:bookmarkStart w:id="9" w:name="_Toc346306730"/>
      <w:bookmarkStart w:id="10" w:name="_Toc352332851"/>
      <w:r>
        <w:rPr>
          <w:rFonts w:ascii="宋体" w:hAnsi="宋体" w:cs="宋体"/>
          <w:b/>
          <w:bCs/>
          <w:sz w:val="24"/>
          <w:szCs w:val="24"/>
        </w:rPr>
        <w:t>1</w:t>
      </w:r>
      <w:bookmarkEnd w:id="8"/>
      <w:bookmarkEnd w:id="9"/>
      <w:bookmarkEnd w:id="10"/>
      <w:r>
        <w:rPr>
          <w:rFonts w:hint="eastAsia" w:ascii="宋体" w:hAnsi="宋体" w:cs="宋体"/>
          <w:b/>
          <w:bCs/>
          <w:sz w:val="24"/>
          <w:szCs w:val="24"/>
        </w:rPr>
        <w:t>、招标方</w:t>
      </w:r>
    </w:p>
    <w:p>
      <w:pPr>
        <w:autoSpaceDE w:val="0"/>
        <w:autoSpaceDN w:val="0"/>
        <w:adjustRightInd w:val="0"/>
        <w:snapToGrid w:val="0"/>
        <w:spacing w:line="560" w:lineRule="exact"/>
        <w:ind w:firstLine="600" w:firstLineChars="250"/>
        <w:jc w:val="left"/>
        <w:rPr>
          <w:rFonts w:ascii="宋体" w:hAnsi="宋体"/>
          <w:kern w:val="0"/>
          <w:sz w:val="24"/>
          <w:szCs w:val="24"/>
        </w:rPr>
      </w:pPr>
      <w:r>
        <w:rPr>
          <w:rFonts w:hint="eastAsia" w:ascii="宋体" w:hAnsi="宋体" w:cs="宋体"/>
          <w:kern w:val="0"/>
          <w:sz w:val="24"/>
          <w:szCs w:val="24"/>
        </w:rPr>
        <w:t>详见投标方须知前附表第2项。</w:t>
      </w:r>
    </w:p>
    <w:p>
      <w:pPr>
        <w:pStyle w:val="31"/>
        <w:tabs>
          <w:tab w:val="left" w:pos="955"/>
        </w:tabs>
        <w:spacing w:after="0" w:line="560" w:lineRule="exact"/>
        <w:ind w:left="1146" w:leftChars="273" w:hanging="573" w:hangingChars="238"/>
        <w:rPr>
          <w:rFonts w:ascii="宋体" w:hAnsi="宋体"/>
          <w:b/>
          <w:bCs/>
          <w:sz w:val="24"/>
          <w:szCs w:val="24"/>
        </w:rPr>
      </w:pPr>
      <w:bookmarkStart w:id="11" w:name="_Toc346306732"/>
      <w:bookmarkStart w:id="12" w:name="_Toc352332853"/>
      <w:bookmarkStart w:id="13" w:name="_Toc346372879"/>
      <w:r>
        <w:rPr>
          <w:rFonts w:hint="eastAsia" w:ascii="宋体" w:hAnsi="宋体" w:cs="宋体"/>
          <w:b/>
          <w:bCs/>
          <w:sz w:val="24"/>
          <w:szCs w:val="24"/>
        </w:rPr>
        <w:t>2、合格</w:t>
      </w:r>
      <w:bookmarkEnd w:id="11"/>
      <w:bookmarkEnd w:id="12"/>
      <w:bookmarkEnd w:id="13"/>
      <w:r>
        <w:rPr>
          <w:rFonts w:hint="eastAsia" w:ascii="宋体" w:hAnsi="宋体" w:cs="宋体"/>
          <w:b/>
          <w:bCs/>
          <w:sz w:val="24"/>
          <w:szCs w:val="24"/>
        </w:rPr>
        <w:t>的投标方</w:t>
      </w:r>
    </w:p>
    <w:p>
      <w:pPr>
        <w:autoSpaceDE w:val="0"/>
        <w:autoSpaceDN w:val="0"/>
        <w:adjustRightInd w:val="0"/>
        <w:snapToGrid w:val="0"/>
        <w:spacing w:line="560" w:lineRule="exact"/>
        <w:ind w:firstLine="600" w:firstLineChars="250"/>
        <w:jc w:val="left"/>
        <w:rPr>
          <w:rFonts w:ascii="宋体" w:hAnsi="宋体"/>
          <w:kern w:val="0"/>
          <w:sz w:val="24"/>
          <w:szCs w:val="24"/>
        </w:rPr>
      </w:pPr>
      <w:r>
        <w:rPr>
          <w:rFonts w:hint="eastAsia" w:ascii="宋体" w:hAnsi="宋体" w:cs="宋体"/>
          <w:kern w:val="0"/>
          <w:sz w:val="24"/>
          <w:szCs w:val="24"/>
        </w:rPr>
        <w:t>详见投标方须知前附表第4项。</w:t>
      </w:r>
    </w:p>
    <w:p>
      <w:pPr>
        <w:pStyle w:val="31"/>
        <w:tabs>
          <w:tab w:val="left" w:pos="955"/>
        </w:tabs>
        <w:spacing w:after="0" w:line="560" w:lineRule="exact"/>
        <w:ind w:left="1146" w:leftChars="273" w:hanging="573" w:hangingChars="238"/>
        <w:rPr>
          <w:rFonts w:ascii="宋体" w:hAnsi="宋体"/>
          <w:b/>
          <w:bCs/>
          <w:sz w:val="24"/>
          <w:szCs w:val="24"/>
        </w:rPr>
      </w:pPr>
      <w:bookmarkStart w:id="14" w:name="_Toc346372880"/>
      <w:bookmarkStart w:id="15" w:name="_Toc346306733"/>
      <w:bookmarkStart w:id="16" w:name="_Toc352332854"/>
      <w:r>
        <w:rPr>
          <w:rFonts w:hint="eastAsia" w:ascii="宋体" w:hAnsi="宋体" w:cs="宋体"/>
          <w:b/>
          <w:bCs/>
          <w:sz w:val="24"/>
          <w:szCs w:val="24"/>
        </w:rPr>
        <w:t>3、投标费用</w:t>
      </w:r>
      <w:bookmarkEnd w:id="14"/>
      <w:bookmarkEnd w:id="15"/>
      <w:bookmarkEnd w:id="16"/>
    </w:p>
    <w:p>
      <w:pPr>
        <w:autoSpaceDE w:val="0"/>
        <w:autoSpaceDN w:val="0"/>
        <w:adjustRightInd w:val="0"/>
        <w:snapToGrid w:val="0"/>
        <w:spacing w:line="560" w:lineRule="exact"/>
        <w:ind w:firstLine="600" w:firstLineChars="250"/>
        <w:jc w:val="left"/>
        <w:rPr>
          <w:rFonts w:ascii="宋体" w:hAnsi="宋体"/>
          <w:kern w:val="0"/>
          <w:sz w:val="24"/>
          <w:szCs w:val="24"/>
        </w:rPr>
      </w:pPr>
      <w:r>
        <w:rPr>
          <w:rFonts w:hint="eastAsia" w:ascii="宋体" w:hAnsi="宋体" w:cs="宋体"/>
          <w:kern w:val="0"/>
          <w:sz w:val="24"/>
          <w:szCs w:val="24"/>
        </w:rPr>
        <w:t>无论投标过程中的方法和结果如何，投标方自行承担所有与参加招标有关的费用。</w:t>
      </w:r>
    </w:p>
    <w:p>
      <w:pPr>
        <w:pStyle w:val="4"/>
        <w:spacing w:before="120" w:after="120" w:line="360" w:lineRule="exact"/>
        <w:rPr>
          <w:rFonts w:ascii="宋体" w:hAnsi="宋体" w:eastAsia="宋体" w:cs="宋体"/>
          <w:sz w:val="28"/>
          <w:szCs w:val="28"/>
        </w:rPr>
      </w:pPr>
      <w:bookmarkStart w:id="17" w:name="_Toc2795"/>
      <w:r>
        <w:rPr>
          <w:rFonts w:hint="eastAsia" w:ascii="宋体" w:hAnsi="宋体" w:eastAsia="宋体" w:cs="宋体"/>
          <w:sz w:val="28"/>
          <w:szCs w:val="28"/>
        </w:rPr>
        <w:t>二、招标文件</w:t>
      </w:r>
      <w:bookmarkEnd w:id="17"/>
    </w:p>
    <w:p>
      <w:pPr>
        <w:pStyle w:val="31"/>
        <w:tabs>
          <w:tab w:val="left" w:pos="955"/>
        </w:tabs>
        <w:spacing w:after="0" w:line="560" w:lineRule="exact"/>
        <w:ind w:left="1146" w:leftChars="273" w:hanging="573" w:hangingChars="238"/>
        <w:rPr>
          <w:rFonts w:ascii="宋体" w:hAnsi="宋体"/>
          <w:b/>
          <w:bCs/>
          <w:sz w:val="24"/>
          <w:szCs w:val="24"/>
        </w:rPr>
      </w:pPr>
      <w:bookmarkStart w:id="18" w:name="_Toc352332856"/>
      <w:bookmarkStart w:id="19" w:name="_Toc346306735"/>
      <w:bookmarkStart w:id="20" w:name="_Toc346372882"/>
      <w:r>
        <w:rPr>
          <w:rFonts w:hint="eastAsia" w:ascii="宋体" w:hAnsi="宋体" w:cs="宋体"/>
          <w:b/>
          <w:bCs/>
          <w:sz w:val="24"/>
          <w:szCs w:val="24"/>
        </w:rPr>
        <w:t>4、招标文件组成</w:t>
      </w:r>
      <w:bookmarkEnd w:id="18"/>
      <w:bookmarkEnd w:id="19"/>
      <w:bookmarkEnd w:id="20"/>
    </w:p>
    <w:p>
      <w:pPr>
        <w:autoSpaceDE w:val="0"/>
        <w:autoSpaceDN w:val="0"/>
        <w:adjustRightInd w:val="0"/>
        <w:snapToGrid w:val="0"/>
        <w:spacing w:line="560" w:lineRule="exact"/>
        <w:ind w:firstLine="600" w:firstLineChars="250"/>
        <w:jc w:val="left"/>
        <w:rPr>
          <w:rFonts w:ascii="宋体" w:hAnsi="宋体"/>
          <w:kern w:val="0"/>
          <w:sz w:val="24"/>
          <w:szCs w:val="24"/>
        </w:rPr>
      </w:pPr>
      <w:r>
        <w:rPr>
          <w:rFonts w:hint="eastAsia" w:ascii="宋体" w:hAnsi="宋体" w:cs="宋体"/>
          <w:kern w:val="0"/>
          <w:sz w:val="24"/>
          <w:szCs w:val="24"/>
        </w:rPr>
        <w:t>本招标文件由招标文件目录所列内容及按本招标文件要求发出的澄清、答疑和修改组成。</w:t>
      </w:r>
    </w:p>
    <w:p>
      <w:pPr>
        <w:pStyle w:val="31"/>
        <w:tabs>
          <w:tab w:val="left" w:pos="955"/>
        </w:tabs>
        <w:spacing w:after="0" w:line="560" w:lineRule="exact"/>
        <w:ind w:left="1146" w:leftChars="273" w:hanging="573" w:hangingChars="238"/>
        <w:rPr>
          <w:rFonts w:ascii="宋体" w:hAnsi="宋体"/>
          <w:b/>
          <w:bCs/>
          <w:sz w:val="24"/>
          <w:szCs w:val="24"/>
        </w:rPr>
      </w:pPr>
      <w:bookmarkStart w:id="21" w:name="_Toc346306736"/>
      <w:bookmarkStart w:id="22" w:name="_Toc346372883"/>
      <w:bookmarkStart w:id="23" w:name="_Toc352332857"/>
      <w:r>
        <w:rPr>
          <w:rFonts w:hint="eastAsia" w:ascii="宋体" w:hAnsi="宋体" w:cs="宋体"/>
          <w:b/>
          <w:bCs/>
          <w:sz w:val="24"/>
          <w:szCs w:val="24"/>
        </w:rPr>
        <w:t>5、招标文件答疑</w:t>
      </w:r>
      <w:bookmarkEnd w:id="21"/>
      <w:bookmarkEnd w:id="22"/>
      <w:bookmarkEnd w:id="23"/>
    </w:p>
    <w:p>
      <w:pPr>
        <w:autoSpaceDE w:val="0"/>
        <w:autoSpaceDN w:val="0"/>
        <w:adjustRightInd w:val="0"/>
        <w:snapToGrid w:val="0"/>
        <w:spacing w:line="560" w:lineRule="exact"/>
        <w:ind w:firstLine="600" w:firstLineChars="250"/>
        <w:jc w:val="left"/>
        <w:rPr>
          <w:rFonts w:ascii="宋体" w:hAnsi="宋体"/>
          <w:kern w:val="0"/>
          <w:sz w:val="24"/>
          <w:szCs w:val="24"/>
        </w:rPr>
      </w:pPr>
      <w:r>
        <w:rPr>
          <w:rFonts w:hint="eastAsia" w:ascii="宋体" w:hAnsi="宋体" w:cs="宋体"/>
          <w:kern w:val="0"/>
          <w:sz w:val="24"/>
          <w:szCs w:val="24"/>
        </w:rPr>
        <w:t>投标方对招标文件如有疑问，应于前附表第5项所述时间以前以书面形式通知到招标方。在前附表第6项所述时间之前，招标方将视情况以书面形式予以答复，如有必要可将答复内容包括原提出的问题（但不表明问题的来源），分发给所有取得同一招标文件的投标方。投标方须在收到招标方的书面答复后24小时内书面邮件回复。</w:t>
      </w:r>
    </w:p>
    <w:p>
      <w:pPr>
        <w:pStyle w:val="31"/>
        <w:tabs>
          <w:tab w:val="left" w:pos="955"/>
        </w:tabs>
        <w:spacing w:after="0" w:line="560" w:lineRule="exact"/>
        <w:ind w:left="1146" w:leftChars="273" w:hanging="573" w:hangingChars="238"/>
        <w:rPr>
          <w:rFonts w:ascii="宋体" w:hAnsi="宋体"/>
          <w:b/>
          <w:bCs/>
          <w:sz w:val="24"/>
          <w:szCs w:val="24"/>
        </w:rPr>
      </w:pPr>
      <w:bookmarkStart w:id="24" w:name="_Toc346306737"/>
      <w:bookmarkStart w:id="25" w:name="_Toc352332858"/>
      <w:bookmarkStart w:id="26" w:name="_Toc346372884"/>
      <w:r>
        <w:rPr>
          <w:rFonts w:hint="eastAsia" w:ascii="宋体" w:hAnsi="宋体" w:cs="宋体"/>
          <w:b/>
          <w:bCs/>
          <w:sz w:val="24"/>
          <w:szCs w:val="24"/>
        </w:rPr>
        <w:t>6、招标文件澄清和修改</w:t>
      </w:r>
      <w:bookmarkEnd w:id="24"/>
      <w:bookmarkEnd w:id="25"/>
      <w:bookmarkEnd w:id="26"/>
    </w:p>
    <w:p>
      <w:pPr>
        <w:autoSpaceDE w:val="0"/>
        <w:autoSpaceDN w:val="0"/>
        <w:adjustRightInd w:val="0"/>
        <w:snapToGrid w:val="0"/>
        <w:spacing w:line="560" w:lineRule="exact"/>
        <w:ind w:firstLine="600" w:firstLineChars="250"/>
        <w:jc w:val="left"/>
        <w:rPr>
          <w:rFonts w:ascii="宋体" w:hAnsi="宋体"/>
          <w:kern w:val="0"/>
          <w:sz w:val="24"/>
          <w:szCs w:val="24"/>
        </w:rPr>
      </w:pPr>
      <w:r>
        <w:rPr>
          <w:rFonts w:hint="eastAsia" w:ascii="宋体" w:hAnsi="宋体" w:cs="宋体"/>
          <w:kern w:val="0"/>
          <w:sz w:val="24"/>
          <w:szCs w:val="24"/>
        </w:rPr>
        <w:t>6</w:t>
      </w:r>
      <w:r>
        <w:rPr>
          <w:rFonts w:ascii="宋体" w:hAnsi="宋体" w:cs="宋体"/>
          <w:kern w:val="0"/>
          <w:sz w:val="24"/>
          <w:szCs w:val="24"/>
        </w:rPr>
        <w:t xml:space="preserve">.1  </w:t>
      </w:r>
      <w:r>
        <w:rPr>
          <w:rFonts w:hint="eastAsia" w:ascii="宋体" w:hAnsi="宋体" w:cs="宋体"/>
          <w:kern w:val="0"/>
          <w:sz w:val="24"/>
          <w:szCs w:val="24"/>
        </w:rPr>
        <w:t>招标方对招标文件有澄清或修改的内容，将以书面补充文件形式通知已取得招标文件的所有投标方。补充文件作为招标文件的组成部分，对所有投标方具有约束力。</w:t>
      </w:r>
    </w:p>
    <w:p>
      <w:pPr>
        <w:autoSpaceDE w:val="0"/>
        <w:autoSpaceDN w:val="0"/>
        <w:adjustRightInd w:val="0"/>
        <w:snapToGrid w:val="0"/>
        <w:spacing w:line="560" w:lineRule="exact"/>
        <w:ind w:firstLine="600" w:firstLineChars="250"/>
        <w:jc w:val="left"/>
        <w:rPr>
          <w:rFonts w:ascii="宋体" w:hAnsi="宋体"/>
          <w:kern w:val="0"/>
          <w:sz w:val="24"/>
          <w:szCs w:val="24"/>
        </w:rPr>
      </w:pPr>
      <w:r>
        <w:rPr>
          <w:rFonts w:hint="eastAsia" w:ascii="宋体" w:hAnsi="宋体" w:cs="宋体"/>
          <w:kern w:val="0"/>
          <w:sz w:val="24"/>
          <w:szCs w:val="24"/>
        </w:rPr>
        <w:t>6</w:t>
      </w:r>
      <w:r>
        <w:rPr>
          <w:rFonts w:ascii="宋体" w:hAnsi="宋体" w:cs="宋体"/>
          <w:kern w:val="0"/>
          <w:sz w:val="24"/>
          <w:szCs w:val="24"/>
        </w:rPr>
        <w:t xml:space="preserve">.2  </w:t>
      </w:r>
      <w:r>
        <w:rPr>
          <w:rFonts w:hint="eastAsia" w:ascii="宋体" w:hAnsi="宋体" w:cs="宋体"/>
          <w:kern w:val="0"/>
          <w:sz w:val="24"/>
          <w:szCs w:val="24"/>
        </w:rPr>
        <w:t>为使投标方有足够的时间按招标文件的要求修改投标文件，招标方可酌情推迟招标的截止时间与开标时间，并将此变更通知各投标方。</w:t>
      </w:r>
    </w:p>
    <w:p>
      <w:pPr>
        <w:autoSpaceDE w:val="0"/>
        <w:autoSpaceDN w:val="0"/>
        <w:adjustRightInd w:val="0"/>
        <w:snapToGrid w:val="0"/>
        <w:spacing w:line="560" w:lineRule="exact"/>
        <w:ind w:firstLine="600" w:firstLineChars="250"/>
        <w:jc w:val="left"/>
        <w:rPr>
          <w:rFonts w:ascii="宋体" w:hAnsi="宋体"/>
          <w:kern w:val="0"/>
          <w:sz w:val="24"/>
          <w:szCs w:val="24"/>
        </w:rPr>
      </w:pPr>
      <w:r>
        <w:rPr>
          <w:rFonts w:hint="eastAsia" w:ascii="宋体" w:hAnsi="宋体" w:cs="宋体"/>
          <w:kern w:val="0"/>
          <w:sz w:val="24"/>
          <w:szCs w:val="24"/>
        </w:rPr>
        <w:t>6</w:t>
      </w:r>
      <w:r>
        <w:rPr>
          <w:rFonts w:ascii="宋体" w:hAnsi="宋体" w:cs="宋体"/>
          <w:kern w:val="0"/>
          <w:sz w:val="24"/>
          <w:szCs w:val="24"/>
        </w:rPr>
        <w:t xml:space="preserve">.3  </w:t>
      </w:r>
      <w:r>
        <w:rPr>
          <w:rFonts w:hint="eastAsia" w:ascii="宋体" w:hAnsi="宋体" w:cs="宋体"/>
          <w:kern w:val="0"/>
          <w:sz w:val="24"/>
          <w:szCs w:val="24"/>
        </w:rPr>
        <w:t>投标方须在收到招标方的澄清、修改或变更后</w:t>
      </w:r>
      <w:r>
        <w:rPr>
          <w:rFonts w:ascii="宋体" w:hAnsi="宋体" w:cs="宋体"/>
          <w:kern w:val="0"/>
          <w:sz w:val="24"/>
          <w:szCs w:val="24"/>
        </w:rPr>
        <w:t>24</w:t>
      </w:r>
      <w:r>
        <w:rPr>
          <w:rFonts w:hint="eastAsia" w:ascii="宋体" w:hAnsi="宋体" w:cs="宋体"/>
          <w:kern w:val="0"/>
          <w:sz w:val="24"/>
          <w:szCs w:val="24"/>
        </w:rPr>
        <w:t>小时内书面邮件回复。</w:t>
      </w:r>
    </w:p>
    <w:p>
      <w:pPr>
        <w:pStyle w:val="4"/>
        <w:spacing w:before="120" w:after="120" w:line="360" w:lineRule="exact"/>
        <w:rPr>
          <w:rFonts w:ascii="宋体" w:hAnsi="宋体" w:eastAsia="宋体" w:cs="宋体"/>
          <w:sz w:val="28"/>
          <w:szCs w:val="28"/>
        </w:rPr>
      </w:pPr>
      <w:bookmarkStart w:id="27" w:name="_Toc20607"/>
      <w:r>
        <w:rPr>
          <w:rFonts w:hint="eastAsia" w:ascii="宋体" w:hAnsi="宋体" w:eastAsia="宋体" w:cs="宋体"/>
          <w:sz w:val="28"/>
          <w:szCs w:val="28"/>
        </w:rPr>
        <w:t>三、投标文件编写</w:t>
      </w:r>
      <w:bookmarkEnd w:id="27"/>
    </w:p>
    <w:p>
      <w:pPr>
        <w:spacing w:line="460" w:lineRule="exact"/>
        <w:ind w:firstLine="482" w:firstLineChars="200"/>
        <w:rPr>
          <w:rFonts w:ascii="宋体" w:hAnsi="宋体"/>
          <w:b/>
          <w:bCs/>
          <w:sz w:val="24"/>
        </w:rPr>
      </w:pPr>
      <w:bookmarkStart w:id="28" w:name="_Toc92678113"/>
      <w:bookmarkStart w:id="29" w:name="_Toc212369512"/>
      <w:r>
        <w:rPr>
          <w:rFonts w:hint="eastAsia" w:ascii="宋体" w:hAnsi="宋体"/>
          <w:b/>
          <w:bCs/>
          <w:sz w:val="24"/>
        </w:rPr>
        <w:t>7、投标报价语言及计量单位</w:t>
      </w:r>
      <w:bookmarkEnd w:id="28"/>
      <w:bookmarkEnd w:id="29"/>
    </w:p>
    <w:p>
      <w:pPr>
        <w:tabs>
          <w:tab w:val="left" w:pos="6313"/>
        </w:tabs>
        <w:spacing w:line="460" w:lineRule="exact"/>
        <w:ind w:firstLine="480" w:firstLineChars="200"/>
        <w:rPr>
          <w:rFonts w:ascii="宋体" w:hAnsi="宋体"/>
          <w:sz w:val="24"/>
        </w:rPr>
      </w:pPr>
      <w:r>
        <w:rPr>
          <w:rFonts w:hint="eastAsia" w:ascii="宋体" w:hAnsi="宋体"/>
          <w:sz w:val="24"/>
        </w:rPr>
        <w:t>7.1</w:t>
      </w:r>
      <w:r>
        <w:rPr>
          <w:rFonts w:ascii="宋体" w:hAnsi="宋体"/>
          <w:sz w:val="24"/>
        </w:rPr>
        <w:t>投标文件和与投标有关的所有文件均应使用</w:t>
      </w:r>
      <w:r>
        <w:rPr>
          <w:rFonts w:hint="eastAsia" w:ascii="宋体" w:hAnsi="宋体"/>
          <w:sz w:val="24"/>
        </w:rPr>
        <w:t>中文。</w:t>
      </w:r>
    </w:p>
    <w:p>
      <w:pPr>
        <w:tabs>
          <w:tab w:val="left" w:pos="6313"/>
        </w:tabs>
        <w:spacing w:line="460" w:lineRule="exact"/>
        <w:ind w:left="959" w:leftChars="228" w:hanging="480" w:hangingChars="200"/>
        <w:rPr>
          <w:rFonts w:ascii="宋体" w:hAnsi="宋体"/>
          <w:sz w:val="24"/>
        </w:rPr>
      </w:pPr>
      <w:r>
        <w:rPr>
          <w:rFonts w:hint="eastAsia" w:ascii="宋体" w:hAnsi="宋体"/>
          <w:sz w:val="24"/>
        </w:rPr>
        <w:t>7.2 除投标文件的技术规格中另有规定外，投标文件中所使用的计量单位应为中华人民共和国法定计量单位。</w:t>
      </w:r>
    </w:p>
    <w:p>
      <w:pPr>
        <w:spacing w:line="460" w:lineRule="exact"/>
        <w:ind w:firstLine="482" w:firstLineChars="200"/>
        <w:rPr>
          <w:rFonts w:ascii="宋体" w:hAnsi="宋体"/>
          <w:b/>
          <w:bCs/>
          <w:sz w:val="24"/>
        </w:rPr>
      </w:pPr>
      <w:bookmarkStart w:id="30" w:name="_Toc92678114"/>
      <w:bookmarkStart w:id="31" w:name="_Toc212369513"/>
      <w:r>
        <w:rPr>
          <w:rFonts w:hint="eastAsia" w:ascii="宋体" w:hAnsi="宋体"/>
          <w:b/>
          <w:bCs/>
          <w:sz w:val="24"/>
        </w:rPr>
        <w:t>8、投标文件组成</w:t>
      </w:r>
      <w:bookmarkEnd w:id="30"/>
      <w:bookmarkEnd w:id="31"/>
    </w:p>
    <w:p>
      <w:pPr>
        <w:spacing w:line="460" w:lineRule="exact"/>
        <w:ind w:firstLine="482" w:firstLineChars="200"/>
        <w:rPr>
          <w:rFonts w:ascii="宋体" w:hAnsi="宋体" w:cs="宋体"/>
          <w:b/>
          <w:bCs/>
          <w:sz w:val="24"/>
        </w:rPr>
      </w:pPr>
      <w:r>
        <w:rPr>
          <w:rFonts w:hint="eastAsia" w:ascii="宋体" w:hAnsi="宋体" w:cs="宋体"/>
          <w:b/>
          <w:bCs/>
          <w:sz w:val="24"/>
        </w:rPr>
        <w:t>投标方的投标文件由</w:t>
      </w:r>
      <w:r>
        <w:rPr>
          <w:rFonts w:hint="eastAsia" w:ascii="宋体" w:hAnsi="宋体" w:cs="宋体"/>
          <w:b/>
          <w:bCs/>
          <w:sz w:val="24"/>
          <w:u w:val="single"/>
        </w:rPr>
        <w:t>资格证明文件</w:t>
      </w:r>
      <w:r>
        <w:rPr>
          <w:rFonts w:hint="eastAsia" w:ascii="宋体" w:hAnsi="宋体" w:cs="宋体"/>
          <w:b/>
          <w:bCs/>
          <w:sz w:val="24"/>
        </w:rPr>
        <w:t>、</w:t>
      </w:r>
      <w:r>
        <w:rPr>
          <w:rFonts w:hint="eastAsia" w:ascii="宋体" w:hAnsi="宋体" w:cs="宋体"/>
          <w:b/>
          <w:bCs/>
          <w:sz w:val="24"/>
          <w:u w:val="single"/>
        </w:rPr>
        <w:t>技术标书</w:t>
      </w:r>
      <w:r>
        <w:rPr>
          <w:rFonts w:hint="eastAsia" w:ascii="宋体" w:hAnsi="宋体" w:cs="宋体"/>
          <w:b/>
          <w:bCs/>
          <w:sz w:val="24"/>
        </w:rPr>
        <w:t>、</w:t>
      </w:r>
      <w:r>
        <w:rPr>
          <w:rFonts w:hint="eastAsia" w:ascii="宋体" w:hAnsi="宋体" w:cs="宋体"/>
          <w:b/>
          <w:bCs/>
          <w:sz w:val="24"/>
          <w:u w:val="single"/>
        </w:rPr>
        <w:t>电子版标书</w:t>
      </w:r>
      <w:r>
        <w:rPr>
          <w:rFonts w:hint="eastAsia" w:ascii="宋体" w:hAnsi="宋体" w:cs="宋体"/>
          <w:b/>
          <w:bCs/>
          <w:sz w:val="24"/>
        </w:rPr>
        <w:t>、</w:t>
      </w:r>
      <w:r>
        <w:rPr>
          <w:rFonts w:hint="eastAsia" w:ascii="宋体" w:hAnsi="宋体" w:cs="宋体"/>
          <w:b/>
          <w:bCs/>
          <w:sz w:val="24"/>
          <w:u w:val="single"/>
        </w:rPr>
        <w:t>商务标书</w:t>
      </w:r>
      <w:r>
        <w:rPr>
          <w:rFonts w:hint="eastAsia" w:ascii="宋体" w:hAnsi="宋体" w:cs="宋体"/>
          <w:b/>
          <w:bCs/>
          <w:sz w:val="24"/>
        </w:rPr>
        <w:t>及</w:t>
      </w:r>
      <w:r>
        <w:rPr>
          <w:rFonts w:hint="eastAsia" w:ascii="宋体" w:hAnsi="宋体" w:cs="宋体"/>
          <w:b/>
          <w:bCs/>
          <w:sz w:val="24"/>
          <w:u w:val="single"/>
        </w:rPr>
        <w:t>开标一览表</w:t>
      </w:r>
      <w:r>
        <w:rPr>
          <w:rFonts w:hint="eastAsia" w:ascii="宋体" w:hAnsi="宋体" w:cs="宋体"/>
          <w:b/>
          <w:bCs/>
          <w:sz w:val="24"/>
        </w:rPr>
        <w:t>共五部分构成：</w:t>
      </w:r>
    </w:p>
    <w:p>
      <w:pPr>
        <w:spacing w:line="460" w:lineRule="exact"/>
        <w:ind w:firstLine="482" w:firstLineChars="200"/>
        <w:rPr>
          <w:rFonts w:ascii="宋体" w:hAnsi="宋体"/>
          <w:b/>
          <w:bCs/>
          <w:sz w:val="24"/>
        </w:rPr>
      </w:pPr>
      <w:bookmarkStart w:id="32" w:name="_Toc212369516"/>
      <w:r>
        <w:rPr>
          <w:rFonts w:hint="eastAsia" w:ascii="宋体" w:hAnsi="宋体"/>
          <w:b/>
          <w:bCs/>
          <w:sz w:val="24"/>
        </w:rPr>
        <w:t>8.1 资格证明文件包括：</w:t>
      </w:r>
      <w:bookmarkEnd w:id="32"/>
    </w:p>
    <w:p>
      <w:pPr>
        <w:spacing w:line="460" w:lineRule="exact"/>
        <w:ind w:firstLine="480" w:firstLineChars="200"/>
        <w:rPr>
          <w:rFonts w:ascii="宋体" w:hAnsi="宋体"/>
          <w:bCs/>
          <w:sz w:val="24"/>
        </w:rPr>
      </w:pPr>
      <w:r>
        <w:rPr>
          <w:rFonts w:hint="eastAsia" w:ascii="宋体" w:hAnsi="宋体"/>
          <w:sz w:val="24"/>
        </w:rPr>
        <w:t>（1）营业执照复印件加盖公章</w:t>
      </w:r>
      <w:r>
        <w:rPr>
          <w:rFonts w:hint="eastAsia" w:ascii="宋体" w:hAnsi="宋体"/>
          <w:b/>
          <w:bCs/>
          <w:sz w:val="24"/>
        </w:rPr>
        <w:t>；</w:t>
      </w:r>
    </w:p>
    <w:p>
      <w:pPr>
        <w:spacing w:line="460" w:lineRule="exact"/>
        <w:ind w:firstLine="480" w:firstLineChars="200"/>
        <w:rPr>
          <w:rFonts w:ascii="宋体" w:hAnsi="宋体"/>
          <w:sz w:val="24"/>
        </w:rPr>
      </w:pPr>
      <w:r>
        <w:rPr>
          <w:rFonts w:hint="eastAsia" w:ascii="宋体" w:hAnsi="宋体"/>
          <w:sz w:val="24"/>
        </w:rPr>
        <w:t>（2）“信用中国”查询截图加盖公章；</w:t>
      </w:r>
    </w:p>
    <w:p>
      <w:pPr>
        <w:spacing w:line="460" w:lineRule="exact"/>
        <w:ind w:firstLine="480" w:firstLineChars="200"/>
        <w:rPr>
          <w:rFonts w:ascii="宋体" w:hAnsi="宋体"/>
          <w:sz w:val="24"/>
        </w:rPr>
      </w:pPr>
      <w:r>
        <w:rPr>
          <w:rFonts w:hint="eastAsia" w:ascii="宋体" w:hAnsi="宋体"/>
          <w:sz w:val="24"/>
        </w:rPr>
        <w:t>（3）法定代表人身份证或授权代理人身份证复印件；</w:t>
      </w:r>
    </w:p>
    <w:p>
      <w:pPr>
        <w:tabs>
          <w:tab w:val="left" w:pos="6313"/>
        </w:tabs>
        <w:spacing w:line="460" w:lineRule="exact"/>
        <w:ind w:firstLine="480" w:firstLineChars="200"/>
        <w:rPr>
          <w:rFonts w:ascii="宋体" w:hAnsi="宋体"/>
          <w:sz w:val="24"/>
        </w:rPr>
      </w:pPr>
      <w:r>
        <w:rPr>
          <w:rFonts w:hint="eastAsia" w:ascii="宋体" w:hAnsi="宋体"/>
          <w:sz w:val="24"/>
        </w:rPr>
        <w:t>（4）法定代表人授权委托书；</w:t>
      </w:r>
      <w:r>
        <w:rPr>
          <w:rFonts w:ascii="宋体" w:hAnsi="宋体"/>
          <w:sz w:val="24"/>
        </w:rPr>
        <w:tab/>
      </w:r>
    </w:p>
    <w:p>
      <w:pPr>
        <w:spacing w:line="460" w:lineRule="exact"/>
        <w:ind w:firstLine="480" w:firstLineChars="200"/>
        <w:rPr>
          <w:rFonts w:ascii="宋体" w:hAnsi="宋体"/>
          <w:sz w:val="24"/>
        </w:rPr>
      </w:pPr>
      <w:r>
        <w:rPr>
          <w:rFonts w:hint="eastAsia" w:ascii="宋体" w:hAnsi="宋体"/>
          <w:sz w:val="24"/>
        </w:rPr>
        <w:t>（5）投标方基本情况表；</w:t>
      </w:r>
    </w:p>
    <w:p>
      <w:pPr>
        <w:spacing w:line="460" w:lineRule="exact"/>
        <w:ind w:firstLine="480" w:firstLineChars="200"/>
        <w:rPr>
          <w:rFonts w:ascii="宋体" w:hAnsi="宋体"/>
          <w:sz w:val="24"/>
        </w:rPr>
      </w:pPr>
      <w:r>
        <w:rPr>
          <w:rFonts w:hint="eastAsia" w:ascii="宋体" w:hAnsi="宋体"/>
          <w:sz w:val="24"/>
        </w:rPr>
        <w:t>（6）近三年经审计事务所审计并盖章的企业财务报表、信用等级以及完税证明；</w:t>
      </w:r>
    </w:p>
    <w:p>
      <w:pPr>
        <w:adjustRightInd w:val="0"/>
        <w:spacing w:line="460" w:lineRule="exact"/>
        <w:ind w:firstLine="480" w:firstLineChars="200"/>
        <w:rPr>
          <w:rFonts w:ascii="宋体" w:hAnsi="宋体"/>
          <w:sz w:val="24"/>
        </w:rPr>
      </w:pPr>
      <w:r>
        <w:rPr>
          <w:rFonts w:hint="eastAsia" w:ascii="宋体" w:hAnsi="宋体"/>
          <w:sz w:val="24"/>
        </w:rPr>
        <w:t>（7）在以往的招投标活动中无违法、违规、违纪、违约行为的承诺函；</w:t>
      </w:r>
    </w:p>
    <w:p>
      <w:pPr>
        <w:spacing w:line="460" w:lineRule="exact"/>
        <w:ind w:firstLine="480" w:firstLineChars="200"/>
        <w:rPr>
          <w:rFonts w:ascii="宋体" w:hAnsi="宋体"/>
          <w:sz w:val="24"/>
        </w:rPr>
      </w:pPr>
      <w:r>
        <w:rPr>
          <w:rFonts w:hint="eastAsia" w:ascii="宋体" w:hAnsi="宋体"/>
          <w:sz w:val="24"/>
        </w:rPr>
        <w:t>（8）有效期内的生产许可证（实行生产许可制度的企业提供）加盖公章；</w:t>
      </w:r>
    </w:p>
    <w:p>
      <w:pPr>
        <w:spacing w:line="460" w:lineRule="exact"/>
        <w:ind w:firstLine="480" w:firstLineChars="200"/>
        <w:rPr>
          <w:rFonts w:ascii="宋体" w:hAnsi="宋体"/>
          <w:sz w:val="24"/>
        </w:rPr>
      </w:pPr>
      <w:r>
        <w:rPr>
          <w:rFonts w:hint="eastAsia" w:ascii="宋体" w:hAnsi="宋体"/>
          <w:sz w:val="24"/>
        </w:rPr>
        <w:t>（9）招标文件要求的其它必要资格文件；</w:t>
      </w:r>
    </w:p>
    <w:p>
      <w:pPr>
        <w:spacing w:line="460" w:lineRule="exact"/>
        <w:ind w:firstLine="480" w:firstLineChars="200"/>
        <w:rPr>
          <w:rFonts w:ascii="宋体" w:hAnsi="宋体"/>
          <w:sz w:val="24"/>
        </w:rPr>
      </w:pPr>
      <w:r>
        <w:rPr>
          <w:rFonts w:hint="eastAsia" w:ascii="宋体" w:hAnsi="宋体"/>
          <w:sz w:val="24"/>
        </w:rPr>
        <w:t>（10）产品鉴定证书（如果有）；</w:t>
      </w:r>
    </w:p>
    <w:p>
      <w:pPr>
        <w:spacing w:line="460" w:lineRule="exact"/>
        <w:ind w:firstLine="480" w:firstLineChars="200"/>
        <w:rPr>
          <w:rFonts w:ascii="宋体" w:hAnsi="宋体"/>
          <w:sz w:val="24"/>
        </w:rPr>
      </w:pPr>
      <w:r>
        <w:rPr>
          <w:rFonts w:hint="eastAsia" w:ascii="宋体" w:hAnsi="宋体"/>
          <w:sz w:val="24"/>
        </w:rPr>
        <w:t>（11）质量体系认证证书（如果有）；</w:t>
      </w:r>
    </w:p>
    <w:p>
      <w:pPr>
        <w:spacing w:line="460" w:lineRule="exact"/>
        <w:ind w:firstLine="480" w:firstLineChars="200"/>
        <w:rPr>
          <w:rFonts w:ascii="宋体" w:hAnsi="宋体"/>
          <w:sz w:val="24"/>
        </w:rPr>
      </w:pPr>
      <w:r>
        <w:rPr>
          <w:rFonts w:hint="eastAsia" w:ascii="宋体" w:hAnsi="宋体"/>
          <w:sz w:val="24"/>
        </w:rPr>
        <w:t>（12）产品和主要元器件“CCC”认证证书（如需）；</w:t>
      </w:r>
    </w:p>
    <w:p>
      <w:pPr>
        <w:spacing w:line="460" w:lineRule="exact"/>
        <w:ind w:firstLine="480" w:firstLineChars="200"/>
        <w:rPr>
          <w:rFonts w:ascii="宋体" w:hAnsi="宋体"/>
          <w:sz w:val="24"/>
        </w:rPr>
      </w:pPr>
      <w:r>
        <w:rPr>
          <w:rFonts w:hint="eastAsia" w:ascii="宋体" w:hAnsi="宋体"/>
          <w:sz w:val="24"/>
        </w:rPr>
        <w:t>（13）产品的检测、检验报告复印件（如有，需权威部门出具）；</w:t>
      </w:r>
    </w:p>
    <w:p>
      <w:pPr>
        <w:spacing w:line="460" w:lineRule="exact"/>
        <w:ind w:firstLine="480" w:firstLineChars="200"/>
        <w:rPr>
          <w:rFonts w:ascii="宋体" w:hAnsi="宋体"/>
          <w:sz w:val="24"/>
        </w:rPr>
      </w:pPr>
      <w:r>
        <w:rPr>
          <w:rFonts w:hint="eastAsia" w:ascii="宋体" w:hAnsi="宋体"/>
          <w:sz w:val="24"/>
        </w:rPr>
        <w:t>（14）投标方认为对其投标有利的其他资料。</w:t>
      </w:r>
    </w:p>
    <w:p>
      <w:pPr>
        <w:spacing w:line="460" w:lineRule="exact"/>
        <w:ind w:firstLine="643" w:firstLineChars="200"/>
        <w:rPr>
          <w:rFonts w:ascii="宋体" w:hAnsi="宋体"/>
          <w:b/>
          <w:bCs/>
          <w:sz w:val="32"/>
          <w:szCs w:val="24"/>
          <w:u w:val="single"/>
        </w:rPr>
      </w:pPr>
      <w:bookmarkStart w:id="33" w:name="_Toc212369515"/>
      <w:r>
        <w:rPr>
          <w:rFonts w:hint="eastAsia" w:ascii="宋体" w:hAnsi="宋体"/>
          <w:b/>
          <w:bCs/>
          <w:sz w:val="32"/>
          <w:szCs w:val="24"/>
          <w:u w:val="single"/>
        </w:rPr>
        <w:t>前9项文件必须提供，未提供者直接视为资格审查未通过，无法继续参与投标！</w:t>
      </w:r>
    </w:p>
    <w:p>
      <w:pPr>
        <w:spacing w:line="460" w:lineRule="exact"/>
        <w:ind w:firstLine="482" w:firstLineChars="200"/>
        <w:rPr>
          <w:rFonts w:ascii="宋体" w:hAnsi="宋体"/>
          <w:b/>
          <w:bCs/>
          <w:sz w:val="24"/>
        </w:rPr>
      </w:pPr>
      <w:r>
        <w:rPr>
          <w:rFonts w:hint="eastAsia" w:ascii="宋体" w:hAnsi="宋体"/>
          <w:b/>
          <w:bCs/>
          <w:sz w:val="24"/>
        </w:rPr>
        <w:t>8.2技术标书：</w:t>
      </w:r>
      <w:bookmarkEnd w:id="33"/>
    </w:p>
    <w:p>
      <w:pPr>
        <w:spacing w:line="460" w:lineRule="exact"/>
        <w:ind w:firstLine="482" w:firstLineChars="200"/>
        <w:rPr>
          <w:rFonts w:ascii="宋体" w:hAnsi="宋体"/>
          <w:b/>
          <w:bCs/>
          <w:sz w:val="24"/>
        </w:rPr>
      </w:pPr>
      <w:r>
        <w:rPr>
          <w:rFonts w:hint="eastAsia" w:ascii="宋体" w:hAnsi="宋体"/>
          <w:b/>
          <w:bCs/>
          <w:sz w:val="24"/>
        </w:rPr>
        <w:t>为提高评标效率，请投标方按照下列资料清单内容及顺序编制技术标书，如投标方未按照以下内容及顺序编制技术标书，可能会影响技术标书得分，请各投标单位务必注意。</w:t>
      </w:r>
    </w:p>
    <w:p>
      <w:pPr>
        <w:spacing w:line="460" w:lineRule="exact"/>
        <w:ind w:firstLine="360" w:firstLineChars="150"/>
        <w:rPr>
          <w:rFonts w:ascii="宋体" w:hAnsi="宋体"/>
          <w:sz w:val="24"/>
        </w:rPr>
      </w:pPr>
      <w:r>
        <w:rPr>
          <w:rFonts w:hint="eastAsia" w:ascii="宋体" w:hAnsi="宋体"/>
          <w:sz w:val="24"/>
        </w:rPr>
        <w:t>（1）主要技术参数：按照招标文件技术部分所要求的技术参数与投标方所投标设备的主要技术参数作出数据对比表格；</w:t>
      </w:r>
    </w:p>
    <w:p>
      <w:pPr>
        <w:spacing w:line="460" w:lineRule="exact"/>
        <w:ind w:firstLine="360" w:firstLineChars="150"/>
        <w:rPr>
          <w:rFonts w:ascii="宋体" w:hAnsi="宋体"/>
          <w:sz w:val="24"/>
        </w:rPr>
      </w:pPr>
      <w:r>
        <w:rPr>
          <w:rFonts w:hint="eastAsia" w:ascii="宋体" w:hAnsi="宋体"/>
          <w:sz w:val="24"/>
        </w:rPr>
        <w:t>（2）产品质量及保证措施：产品质量、性能稳定可靠，使用寿命长且有完善的生产保证措施等方面的说明及证明材料；</w:t>
      </w:r>
    </w:p>
    <w:p>
      <w:pPr>
        <w:spacing w:line="460" w:lineRule="exact"/>
        <w:ind w:firstLine="360" w:firstLineChars="150"/>
        <w:rPr>
          <w:rFonts w:ascii="宋体" w:hAnsi="宋体"/>
          <w:sz w:val="24"/>
        </w:rPr>
      </w:pPr>
      <w:r>
        <w:rPr>
          <w:rFonts w:hint="eastAsia" w:ascii="宋体" w:hAnsi="宋体"/>
          <w:sz w:val="24"/>
        </w:rPr>
        <w:t>（3）供货周期（注意本条不影响商务部分关于供货期的表述，但不得和商务部分矛盾）：应提供详细的供货计划或生产加工计划，有详细的确保满足供货期基本要求或能在保证质量的前提下提前交货措施的说明及证明材料；</w:t>
      </w:r>
    </w:p>
    <w:p>
      <w:pPr>
        <w:spacing w:line="460" w:lineRule="exact"/>
        <w:ind w:firstLine="360" w:firstLineChars="150"/>
        <w:rPr>
          <w:rFonts w:ascii="宋体" w:hAnsi="宋体"/>
          <w:sz w:val="24"/>
        </w:rPr>
      </w:pPr>
      <w:r>
        <w:rPr>
          <w:rFonts w:hint="eastAsia" w:ascii="宋体" w:hAnsi="宋体"/>
          <w:sz w:val="24"/>
        </w:rPr>
        <w:t>（4）质保期及售后服务：质保期是否响应或优于招标文件要求，售后服务措施得当，体系完整，项目所在地有相应的的售后服务能力等方面的说明及证明材料；</w:t>
      </w:r>
    </w:p>
    <w:p>
      <w:pPr>
        <w:spacing w:line="460" w:lineRule="exact"/>
        <w:ind w:firstLine="360" w:firstLineChars="150"/>
        <w:rPr>
          <w:rFonts w:ascii="宋体" w:hAnsi="宋体"/>
          <w:sz w:val="24"/>
        </w:rPr>
      </w:pPr>
      <w:r>
        <w:rPr>
          <w:rFonts w:hint="eastAsia" w:ascii="宋体" w:hAnsi="宋体"/>
          <w:sz w:val="24"/>
        </w:rPr>
        <w:t>（5）投标单位针对本次项目提出合理化建议；</w:t>
      </w:r>
    </w:p>
    <w:p>
      <w:pPr>
        <w:spacing w:line="460" w:lineRule="exact"/>
        <w:ind w:firstLine="360" w:firstLineChars="150"/>
        <w:rPr>
          <w:rFonts w:ascii="宋体" w:hAnsi="宋体"/>
          <w:sz w:val="24"/>
        </w:rPr>
      </w:pPr>
      <w:r>
        <w:rPr>
          <w:rFonts w:hint="eastAsia" w:ascii="宋体" w:hAnsi="宋体"/>
          <w:sz w:val="24"/>
        </w:rPr>
        <w:t>（6）按招标文件投标方须知和技术规格书中要求提供的有关文件；</w:t>
      </w:r>
    </w:p>
    <w:p>
      <w:pPr>
        <w:spacing w:line="460" w:lineRule="exact"/>
        <w:ind w:firstLine="480" w:firstLineChars="200"/>
        <w:rPr>
          <w:rFonts w:ascii="宋体" w:hAnsi="宋体"/>
          <w:sz w:val="24"/>
        </w:rPr>
      </w:pPr>
      <w:bookmarkStart w:id="34" w:name="_Toc212369514"/>
      <w:r>
        <w:rPr>
          <w:rFonts w:hint="eastAsia" w:ascii="宋体" w:hAnsi="宋体"/>
          <w:sz w:val="24"/>
        </w:rPr>
        <w:t>（7）经营业绩一览表[近三年（2018年1月1日至今）类似项目业绩及合同明细加盖公章（须有客户联系方式及联系人以供招标方核实确认）]；</w:t>
      </w:r>
    </w:p>
    <w:p>
      <w:pPr>
        <w:spacing w:line="460" w:lineRule="exact"/>
        <w:ind w:firstLine="360" w:firstLineChars="150"/>
        <w:rPr>
          <w:rFonts w:ascii="宋体" w:hAnsi="宋体"/>
          <w:sz w:val="24"/>
        </w:rPr>
      </w:pPr>
      <w:r>
        <w:rPr>
          <w:rFonts w:hint="eastAsia" w:ascii="宋体" w:hAnsi="宋体"/>
          <w:sz w:val="24"/>
        </w:rPr>
        <w:t>（8）投标方需提交的其它资料。</w:t>
      </w:r>
    </w:p>
    <w:p>
      <w:pPr>
        <w:spacing w:line="460" w:lineRule="exact"/>
        <w:ind w:firstLine="480" w:firstLineChars="200"/>
        <w:rPr>
          <w:rFonts w:ascii="宋体" w:hAnsi="宋体"/>
          <w:sz w:val="24"/>
        </w:rPr>
      </w:pPr>
      <w:r>
        <w:rPr>
          <w:rFonts w:hint="eastAsia" w:ascii="宋体" w:hAnsi="宋体"/>
          <w:sz w:val="24"/>
        </w:rPr>
        <w:t>（9）技术规格偏离表；</w:t>
      </w:r>
    </w:p>
    <w:p>
      <w:pPr>
        <w:spacing w:line="460" w:lineRule="exact"/>
        <w:ind w:firstLine="480" w:firstLineChars="200"/>
        <w:rPr>
          <w:rFonts w:ascii="宋体" w:hAnsi="宋体"/>
          <w:sz w:val="24"/>
        </w:rPr>
      </w:pPr>
      <w:r>
        <w:rPr>
          <w:rFonts w:hint="eastAsia" w:ascii="宋体" w:hAnsi="宋体"/>
          <w:sz w:val="24"/>
        </w:rPr>
        <w:t>（10）服务承诺函；</w:t>
      </w:r>
    </w:p>
    <w:p>
      <w:pPr>
        <w:spacing w:line="460" w:lineRule="exact"/>
        <w:ind w:firstLine="480" w:firstLineChars="200"/>
        <w:rPr>
          <w:rFonts w:ascii="宋体" w:hAnsi="宋体"/>
          <w:sz w:val="24"/>
        </w:rPr>
      </w:pPr>
      <w:r>
        <w:rPr>
          <w:rFonts w:hint="eastAsia" w:ascii="宋体" w:hAnsi="宋体"/>
          <w:sz w:val="24"/>
        </w:rPr>
        <w:t>（11）设备质量承诺函；</w:t>
      </w:r>
    </w:p>
    <w:p>
      <w:pPr>
        <w:spacing w:line="460" w:lineRule="exact"/>
        <w:ind w:firstLine="482" w:firstLineChars="200"/>
        <w:rPr>
          <w:rFonts w:ascii="宋体" w:hAnsi="宋体"/>
          <w:b/>
          <w:bCs/>
          <w:sz w:val="24"/>
        </w:rPr>
      </w:pPr>
      <w:r>
        <w:rPr>
          <w:rFonts w:hint="eastAsia" w:ascii="宋体" w:hAnsi="宋体"/>
          <w:b/>
          <w:bCs/>
          <w:sz w:val="24"/>
        </w:rPr>
        <w:t>8.3商务标书：</w:t>
      </w:r>
      <w:bookmarkEnd w:id="34"/>
    </w:p>
    <w:p>
      <w:pPr>
        <w:spacing w:line="460" w:lineRule="exact"/>
        <w:ind w:firstLine="480" w:firstLineChars="200"/>
        <w:rPr>
          <w:rFonts w:ascii="宋体" w:hAnsi="宋体"/>
          <w:sz w:val="24"/>
        </w:rPr>
      </w:pPr>
      <w:r>
        <w:rPr>
          <w:rFonts w:hint="eastAsia" w:ascii="宋体" w:hAnsi="宋体"/>
          <w:sz w:val="24"/>
        </w:rPr>
        <w:t>（1）投标函；</w:t>
      </w:r>
    </w:p>
    <w:p>
      <w:pPr>
        <w:spacing w:line="460" w:lineRule="exact"/>
        <w:ind w:firstLine="480" w:firstLineChars="200"/>
        <w:rPr>
          <w:rFonts w:ascii="宋体" w:hAnsi="宋体"/>
          <w:sz w:val="24"/>
        </w:rPr>
      </w:pPr>
      <w:r>
        <w:rPr>
          <w:rFonts w:hint="eastAsia" w:ascii="宋体" w:hAnsi="宋体"/>
          <w:sz w:val="24"/>
        </w:rPr>
        <w:t>（2）开标一览表；</w:t>
      </w:r>
    </w:p>
    <w:p>
      <w:pPr>
        <w:spacing w:line="460" w:lineRule="exact"/>
        <w:ind w:firstLine="480" w:firstLineChars="200"/>
        <w:rPr>
          <w:rFonts w:ascii="宋体" w:hAnsi="宋体"/>
          <w:sz w:val="24"/>
        </w:rPr>
      </w:pPr>
      <w:r>
        <w:rPr>
          <w:rFonts w:hint="eastAsia" w:ascii="宋体" w:hAnsi="宋体"/>
          <w:sz w:val="24"/>
        </w:rPr>
        <w:t>（3）投标分项报价表；</w:t>
      </w:r>
    </w:p>
    <w:p>
      <w:pPr>
        <w:spacing w:line="460" w:lineRule="exact"/>
        <w:ind w:firstLine="480" w:firstLineChars="200"/>
        <w:rPr>
          <w:rFonts w:ascii="宋体" w:hAnsi="宋体"/>
          <w:sz w:val="24"/>
        </w:rPr>
      </w:pPr>
      <w:r>
        <w:rPr>
          <w:rFonts w:hint="eastAsia" w:ascii="宋体" w:hAnsi="宋体"/>
          <w:sz w:val="24"/>
        </w:rPr>
        <w:t>（4）投标报价明细表；</w:t>
      </w:r>
    </w:p>
    <w:p>
      <w:pPr>
        <w:spacing w:line="460" w:lineRule="exact"/>
        <w:ind w:firstLine="480" w:firstLineChars="200"/>
        <w:rPr>
          <w:rFonts w:ascii="宋体" w:hAnsi="宋体"/>
          <w:sz w:val="24"/>
        </w:rPr>
      </w:pPr>
      <w:r>
        <w:rPr>
          <w:rFonts w:hint="eastAsia" w:ascii="宋体" w:hAnsi="宋体"/>
          <w:sz w:val="24"/>
        </w:rPr>
        <w:t>（5）货物说明一览表；</w:t>
      </w:r>
    </w:p>
    <w:p>
      <w:pPr>
        <w:spacing w:line="460" w:lineRule="exact"/>
        <w:ind w:firstLine="480" w:firstLineChars="200"/>
        <w:rPr>
          <w:rFonts w:ascii="宋体" w:hAnsi="宋体"/>
          <w:sz w:val="24"/>
        </w:rPr>
      </w:pPr>
      <w:r>
        <w:rPr>
          <w:rFonts w:hint="eastAsia" w:ascii="宋体" w:hAnsi="宋体"/>
          <w:sz w:val="24"/>
        </w:rPr>
        <w:t>（6）商务条款偏离表；</w:t>
      </w:r>
    </w:p>
    <w:p>
      <w:pPr>
        <w:spacing w:line="460" w:lineRule="exact"/>
        <w:ind w:firstLine="480" w:firstLineChars="200"/>
        <w:rPr>
          <w:rFonts w:ascii="宋体" w:hAnsi="宋体"/>
          <w:sz w:val="24"/>
        </w:rPr>
      </w:pPr>
      <w:r>
        <w:rPr>
          <w:rFonts w:hint="eastAsia" w:ascii="宋体" w:hAnsi="宋体"/>
          <w:sz w:val="24"/>
        </w:rPr>
        <w:t>（7）对本项目招标文件及“合同条款”的认同及优惠条件说明；</w:t>
      </w:r>
    </w:p>
    <w:p>
      <w:pPr>
        <w:adjustRightInd w:val="0"/>
        <w:spacing w:line="460" w:lineRule="exact"/>
        <w:ind w:firstLine="480" w:firstLineChars="200"/>
        <w:rPr>
          <w:rFonts w:ascii="宋体" w:hAnsi="宋体"/>
          <w:sz w:val="24"/>
        </w:rPr>
      </w:pPr>
      <w:r>
        <w:rPr>
          <w:rFonts w:hint="eastAsia" w:ascii="宋体" w:hAnsi="宋体"/>
          <w:sz w:val="24"/>
        </w:rPr>
        <w:t>（8）投标方开户银行在开标日前三个月内开具的资信证明（如有）；</w:t>
      </w:r>
    </w:p>
    <w:p>
      <w:pPr>
        <w:spacing w:line="460" w:lineRule="exact"/>
        <w:ind w:firstLine="480" w:firstLineChars="200"/>
        <w:rPr>
          <w:rFonts w:ascii="宋体" w:hAnsi="宋体"/>
          <w:sz w:val="24"/>
        </w:rPr>
      </w:pPr>
      <w:r>
        <w:rPr>
          <w:rFonts w:hint="eastAsia" w:ascii="宋体" w:hAnsi="宋体"/>
          <w:sz w:val="24"/>
        </w:rPr>
        <w:t>（9）税务部门开具的依法缴纳税收的证明（如有）；</w:t>
      </w:r>
    </w:p>
    <w:p>
      <w:pPr>
        <w:spacing w:line="460" w:lineRule="exact"/>
        <w:ind w:firstLine="480" w:firstLineChars="200"/>
        <w:rPr>
          <w:rFonts w:ascii="宋体" w:hAnsi="宋体"/>
          <w:sz w:val="24"/>
        </w:rPr>
      </w:pPr>
      <w:r>
        <w:rPr>
          <w:rFonts w:hint="eastAsia" w:ascii="宋体" w:hAnsi="宋体"/>
          <w:sz w:val="24"/>
        </w:rPr>
        <w:t>（10）按招标文件投标方须知和技术规格书中要求提供的有关文件。</w:t>
      </w:r>
    </w:p>
    <w:p>
      <w:pPr>
        <w:pStyle w:val="31"/>
        <w:spacing w:line="560" w:lineRule="exact"/>
        <w:ind w:firstLine="669" w:firstLineChars="238"/>
        <w:rPr>
          <w:rFonts w:ascii="宋体" w:hAnsi="宋体"/>
          <w:b/>
          <w:sz w:val="28"/>
          <w:szCs w:val="22"/>
          <w:u w:val="single"/>
        </w:rPr>
      </w:pPr>
      <w:r>
        <w:rPr>
          <w:rFonts w:hint="eastAsia" w:ascii="宋体" w:hAnsi="宋体"/>
          <w:b/>
          <w:sz w:val="28"/>
          <w:szCs w:val="22"/>
          <w:u w:val="single"/>
        </w:rPr>
        <w:t>注：招标文件给定格式的按给定的格式填写，未给定格式的，由投标方自行编制，但需包含以上内容。</w:t>
      </w:r>
    </w:p>
    <w:p>
      <w:pPr>
        <w:spacing w:line="460" w:lineRule="exact"/>
        <w:ind w:firstLine="482" w:firstLineChars="200"/>
        <w:rPr>
          <w:rFonts w:ascii="宋体" w:hAnsi="宋体"/>
          <w:b/>
          <w:bCs/>
          <w:sz w:val="24"/>
        </w:rPr>
      </w:pPr>
      <w:bookmarkStart w:id="35" w:name="_Toc212369518"/>
      <w:r>
        <w:rPr>
          <w:rFonts w:hint="eastAsia" w:ascii="宋体" w:hAnsi="宋体"/>
          <w:b/>
          <w:bCs/>
          <w:sz w:val="24"/>
        </w:rPr>
        <w:t>9、投标内容填写说明</w:t>
      </w:r>
      <w:bookmarkEnd w:id="35"/>
    </w:p>
    <w:p>
      <w:pPr>
        <w:spacing w:line="460" w:lineRule="exact"/>
        <w:ind w:firstLine="480" w:firstLineChars="200"/>
        <w:rPr>
          <w:rFonts w:ascii="宋体" w:hAnsi="宋体"/>
          <w:sz w:val="24"/>
        </w:rPr>
      </w:pPr>
      <w:r>
        <w:rPr>
          <w:rFonts w:hint="eastAsia" w:ascii="宋体" w:hAnsi="宋体"/>
          <w:sz w:val="24"/>
        </w:rPr>
        <w:t>9</w:t>
      </w:r>
      <w:r>
        <w:rPr>
          <w:rFonts w:ascii="宋体" w:hAnsi="宋体"/>
          <w:sz w:val="24"/>
        </w:rPr>
        <w:t>.</w:t>
      </w:r>
      <w:r>
        <w:rPr>
          <w:rFonts w:hint="eastAsia" w:ascii="宋体" w:hAnsi="宋体"/>
          <w:sz w:val="24"/>
        </w:rPr>
        <w:t>1投标文件按统一格式填写，</w:t>
      </w:r>
      <w:r>
        <w:rPr>
          <w:rFonts w:hint="eastAsia" w:ascii="宋体" w:hAnsi="宋体" w:cs="宋体"/>
          <w:b/>
          <w:bCs/>
          <w:sz w:val="24"/>
        </w:rPr>
        <w:t>资格证明文件、商务标书和技术标书三部分分别</w:t>
      </w:r>
      <w:r>
        <w:rPr>
          <w:rFonts w:hint="eastAsia" w:ascii="宋体" w:hAnsi="宋体"/>
          <w:b/>
          <w:sz w:val="24"/>
        </w:rPr>
        <w:t>装订成册</w:t>
      </w:r>
      <w:r>
        <w:rPr>
          <w:rFonts w:hint="eastAsia" w:ascii="宋体" w:hAnsi="宋体"/>
          <w:sz w:val="24"/>
        </w:rPr>
        <w:t>。</w:t>
      </w:r>
    </w:p>
    <w:p>
      <w:pPr>
        <w:spacing w:line="460" w:lineRule="exact"/>
        <w:ind w:firstLine="480" w:firstLineChars="200"/>
        <w:rPr>
          <w:rFonts w:ascii="宋体" w:hAnsi="宋体"/>
          <w:sz w:val="24"/>
        </w:rPr>
      </w:pPr>
      <w:r>
        <w:rPr>
          <w:rFonts w:hint="eastAsia" w:ascii="宋体" w:hAnsi="宋体"/>
          <w:sz w:val="24"/>
        </w:rPr>
        <w:t>9</w:t>
      </w:r>
      <w:r>
        <w:rPr>
          <w:rFonts w:ascii="宋体" w:hAnsi="宋体"/>
          <w:sz w:val="24"/>
        </w:rPr>
        <w:t>.</w:t>
      </w:r>
      <w:r>
        <w:rPr>
          <w:rFonts w:hint="eastAsia" w:ascii="宋体" w:hAnsi="宋体"/>
          <w:sz w:val="24"/>
        </w:rPr>
        <w:t>2开标一览表为在开标仪式上唱标的内容，要求按格式填写、统一规范，不得自行增减内容。</w:t>
      </w:r>
    </w:p>
    <w:p>
      <w:pPr>
        <w:spacing w:line="460" w:lineRule="exact"/>
        <w:ind w:firstLine="480" w:firstLineChars="200"/>
        <w:rPr>
          <w:rFonts w:ascii="宋体" w:hAnsi="宋体"/>
          <w:sz w:val="24"/>
        </w:rPr>
      </w:pPr>
      <w:r>
        <w:rPr>
          <w:rFonts w:hint="eastAsia" w:ascii="宋体" w:hAnsi="宋体"/>
          <w:sz w:val="24"/>
        </w:rPr>
        <w:t>9.3所有投标文件要求</w:t>
      </w:r>
      <w:r>
        <w:rPr>
          <w:rFonts w:hint="eastAsia" w:ascii="宋体" w:hAnsi="宋体"/>
          <w:b/>
          <w:sz w:val="24"/>
          <w:u w:val="single"/>
        </w:rPr>
        <w:t>字迹清晰</w:t>
      </w:r>
      <w:r>
        <w:rPr>
          <w:rFonts w:hint="eastAsia" w:ascii="宋体" w:hAnsi="宋体"/>
          <w:sz w:val="24"/>
        </w:rPr>
        <w:t>，加盖公章页公章为彩色；</w:t>
      </w:r>
      <w:r>
        <w:rPr>
          <w:rFonts w:hint="eastAsia" w:ascii="宋体" w:hAnsi="宋体"/>
          <w:b/>
          <w:bCs/>
          <w:sz w:val="24"/>
          <w:u w:val="single"/>
        </w:rPr>
        <w:t>不满足上述要求对评标专家造成评标干扰的按无效投标处理。</w:t>
      </w:r>
    </w:p>
    <w:p>
      <w:pPr>
        <w:spacing w:line="460" w:lineRule="exact"/>
        <w:ind w:firstLine="482" w:firstLineChars="200"/>
        <w:rPr>
          <w:rFonts w:ascii="宋体" w:hAnsi="宋体"/>
          <w:b/>
          <w:bCs/>
          <w:sz w:val="24"/>
        </w:rPr>
      </w:pPr>
      <w:bookmarkStart w:id="36" w:name="_Toc212369519"/>
      <w:r>
        <w:rPr>
          <w:rFonts w:hint="eastAsia" w:ascii="宋体" w:hAnsi="宋体"/>
          <w:b/>
          <w:bCs/>
          <w:sz w:val="24"/>
        </w:rPr>
        <w:t>10、投标报价</w:t>
      </w:r>
      <w:bookmarkEnd w:id="36"/>
    </w:p>
    <w:p>
      <w:pPr>
        <w:spacing w:line="460" w:lineRule="exact"/>
        <w:ind w:firstLine="480" w:firstLineChars="200"/>
        <w:jc w:val="left"/>
        <w:rPr>
          <w:rFonts w:ascii="宋体" w:hAnsi="宋体"/>
          <w:sz w:val="24"/>
        </w:rPr>
      </w:pPr>
      <w:r>
        <w:rPr>
          <w:rFonts w:hint="eastAsia" w:ascii="宋体" w:hAnsi="宋体"/>
          <w:sz w:val="24"/>
        </w:rPr>
        <w:t>10</w:t>
      </w:r>
      <w:r>
        <w:rPr>
          <w:rFonts w:ascii="宋体" w:hAnsi="宋体"/>
          <w:sz w:val="24"/>
        </w:rPr>
        <w:t>.</w:t>
      </w:r>
      <w:r>
        <w:rPr>
          <w:rFonts w:hint="eastAsia" w:ascii="宋体" w:hAnsi="宋体"/>
          <w:sz w:val="24"/>
        </w:rPr>
        <w:t>1投标报价总价包括：全部（全新）产品价、报关清关等进口环节的一切税费、专用工具价、运杂费（包括现场卸车费）、</w:t>
      </w:r>
      <w:r>
        <w:rPr>
          <w:rFonts w:hint="eastAsia" w:ascii="宋体" w:hAnsi="宋体"/>
          <w:bCs/>
          <w:sz w:val="24"/>
        </w:rPr>
        <w:t>设计、制</w:t>
      </w:r>
      <w:r>
        <w:rPr>
          <w:rFonts w:hint="eastAsia" w:ascii="宋体" w:hAnsi="宋体"/>
          <w:sz w:val="24"/>
        </w:rPr>
        <w:t>造、安装、调试</w:t>
      </w:r>
      <w:r>
        <w:rPr>
          <w:rFonts w:hint="eastAsia" w:ascii="宋体" w:hAnsi="宋体"/>
          <w:bCs/>
          <w:sz w:val="24"/>
        </w:rPr>
        <w:t>、验收、</w:t>
      </w:r>
      <w:r>
        <w:rPr>
          <w:rFonts w:hint="eastAsia" w:ascii="宋体" w:hAnsi="宋体"/>
          <w:sz w:val="24"/>
        </w:rPr>
        <w:t>技术及售后服务费、技术资料费等所有费用的总和。所有投标均以人民币报价。</w:t>
      </w:r>
    </w:p>
    <w:p>
      <w:pPr>
        <w:spacing w:line="460" w:lineRule="exact"/>
        <w:ind w:firstLine="482" w:firstLineChars="200"/>
        <w:rPr>
          <w:rFonts w:ascii="宋体" w:hAnsi="宋体"/>
          <w:b/>
          <w:bCs/>
          <w:sz w:val="24"/>
        </w:rPr>
      </w:pPr>
      <w:r>
        <w:rPr>
          <w:rFonts w:hint="eastAsia" w:ascii="宋体" w:hAnsi="宋体"/>
          <w:b/>
          <w:sz w:val="24"/>
        </w:rPr>
        <w:t>本项目</w:t>
      </w:r>
      <w:r>
        <w:rPr>
          <w:rFonts w:hint="eastAsia" w:ascii="宋体" w:hAnsi="宋体"/>
          <w:b/>
          <w:bCs/>
          <w:sz w:val="24"/>
        </w:rPr>
        <w:t>税率</w:t>
      </w:r>
      <w:r>
        <w:rPr>
          <w:rFonts w:hint="eastAsia" w:ascii="宋体" w:hAnsi="宋体"/>
          <w:b/>
          <w:bCs/>
          <w:sz w:val="24"/>
          <w:u w:val="single"/>
        </w:rPr>
        <w:t>13</w:t>
      </w:r>
      <w:r>
        <w:rPr>
          <w:rFonts w:hint="eastAsia" w:ascii="宋体" w:hAnsi="宋体"/>
          <w:b/>
          <w:bCs/>
          <w:sz w:val="24"/>
        </w:rPr>
        <w:t>%。</w:t>
      </w:r>
    </w:p>
    <w:p>
      <w:pPr>
        <w:spacing w:line="460" w:lineRule="exact"/>
        <w:ind w:firstLine="480" w:firstLineChars="200"/>
        <w:rPr>
          <w:rFonts w:ascii="宋体" w:hAnsi="宋体"/>
          <w:sz w:val="24"/>
        </w:rPr>
      </w:pPr>
      <w:r>
        <w:rPr>
          <w:rFonts w:hint="eastAsia" w:ascii="宋体" w:hAnsi="宋体"/>
          <w:sz w:val="24"/>
        </w:rPr>
        <w:t>本项目的所有报价应以包含税率为前提进行提报，</w:t>
      </w:r>
      <w:r>
        <w:rPr>
          <w:rFonts w:hint="eastAsia" w:ascii="宋体" w:hAnsi="宋体"/>
          <w:b/>
          <w:bCs/>
          <w:sz w:val="24"/>
          <w:u w:val="single"/>
        </w:rPr>
        <w:t>即所有报价为含税报价</w:t>
      </w:r>
      <w:r>
        <w:rPr>
          <w:rFonts w:hint="eastAsia" w:ascii="宋体" w:hAnsi="宋体"/>
          <w:sz w:val="24"/>
        </w:rPr>
        <w:t>。</w:t>
      </w:r>
    </w:p>
    <w:p>
      <w:pPr>
        <w:spacing w:line="470" w:lineRule="exact"/>
        <w:ind w:firstLine="480" w:firstLineChars="200"/>
        <w:rPr>
          <w:rFonts w:ascii="宋体" w:hAnsi="宋体"/>
          <w:sz w:val="24"/>
        </w:rPr>
      </w:pPr>
      <w:bookmarkStart w:id="37" w:name="_Toc352332865"/>
      <w:bookmarkStart w:id="38" w:name="_Toc346306744"/>
      <w:bookmarkStart w:id="39" w:name="_Toc346372891"/>
      <w:r>
        <w:rPr>
          <w:rFonts w:hint="eastAsia" w:ascii="宋体" w:hAnsi="宋体"/>
          <w:sz w:val="24"/>
        </w:rPr>
        <w:t>10</w:t>
      </w:r>
      <w:r>
        <w:rPr>
          <w:rFonts w:ascii="宋体" w:hAnsi="宋体"/>
          <w:sz w:val="24"/>
        </w:rPr>
        <w:t>.</w:t>
      </w:r>
      <w:r>
        <w:rPr>
          <w:rFonts w:hint="eastAsia" w:ascii="宋体" w:hAnsi="宋体"/>
          <w:sz w:val="24"/>
        </w:rPr>
        <w:t>2投标方要按投标货物数量、价格表（统一格式）的内容填写产品单价、总价及其他事项，并由法人代表或授权代表签署。</w:t>
      </w:r>
    </w:p>
    <w:p>
      <w:pPr>
        <w:spacing w:line="470" w:lineRule="exact"/>
        <w:ind w:firstLine="480" w:firstLineChars="200"/>
        <w:rPr>
          <w:rFonts w:ascii="宋体" w:hAnsi="宋体"/>
          <w:sz w:val="24"/>
        </w:rPr>
      </w:pPr>
      <w:r>
        <w:rPr>
          <w:rFonts w:hint="eastAsia" w:ascii="宋体" w:hAnsi="宋体"/>
          <w:sz w:val="24"/>
        </w:rPr>
        <w:t>10</w:t>
      </w:r>
      <w:r>
        <w:rPr>
          <w:rFonts w:ascii="宋体" w:hAnsi="宋体"/>
          <w:sz w:val="24"/>
        </w:rPr>
        <w:t>.</w:t>
      </w:r>
      <w:r>
        <w:rPr>
          <w:rFonts w:hint="eastAsia" w:ascii="宋体" w:hAnsi="宋体"/>
          <w:sz w:val="24"/>
        </w:rPr>
        <w:t>3对于非标准货物的投标，还应填报价明细表（报价明细表格式由投标方自行设计）。</w:t>
      </w:r>
    </w:p>
    <w:p>
      <w:pPr>
        <w:spacing w:line="470" w:lineRule="exact"/>
        <w:ind w:firstLine="480" w:firstLineChars="200"/>
        <w:rPr>
          <w:rFonts w:ascii="宋体" w:hAnsi="宋体"/>
          <w:sz w:val="24"/>
        </w:rPr>
      </w:pPr>
      <w:r>
        <w:rPr>
          <w:rFonts w:hint="eastAsia" w:ascii="宋体" w:hAnsi="宋体"/>
          <w:sz w:val="24"/>
        </w:rPr>
        <w:t>10</w:t>
      </w:r>
      <w:r>
        <w:rPr>
          <w:rFonts w:ascii="宋体" w:hAnsi="宋体"/>
          <w:sz w:val="24"/>
        </w:rPr>
        <w:t>.</w:t>
      </w:r>
      <w:r>
        <w:rPr>
          <w:rFonts w:hint="eastAsia" w:ascii="宋体" w:hAnsi="宋体"/>
          <w:sz w:val="24"/>
        </w:rPr>
        <w:t>4投标方如需用外汇购入某些投标货物，须折合人民币计入总报价中。</w:t>
      </w:r>
    </w:p>
    <w:p>
      <w:pPr>
        <w:spacing w:line="470" w:lineRule="exact"/>
        <w:ind w:firstLine="480" w:firstLineChars="200"/>
        <w:rPr>
          <w:rFonts w:ascii="宋体" w:hAnsi="宋体"/>
          <w:sz w:val="24"/>
        </w:rPr>
      </w:pPr>
      <w:r>
        <w:rPr>
          <w:rFonts w:hint="eastAsia" w:ascii="宋体" w:hAnsi="宋体"/>
          <w:sz w:val="24"/>
        </w:rPr>
        <w:t>10</w:t>
      </w:r>
      <w:r>
        <w:rPr>
          <w:rFonts w:ascii="宋体" w:hAnsi="宋体"/>
          <w:sz w:val="24"/>
        </w:rPr>
        <w:t>.</w:t>
      </w:r>
      <w:r>
        <w:rPr>
          <w:rFonts w:hint="eastAsia" w:ascii="宋体" w:hAnsi="宋体"/>
          <w:sz w:val="24"/>
        </w:rPr>
        <w:t>5</w:t>
      </w:r>
      <w:r>
        <w:rPr>
          <w:rFonts w:hint="eastAsia" w:ascii="宋体" w:hAnsi="宋体"/>
          <w:b/>
          <w:bCs/>
          <w:sz w:val="24"/>
          <w:u w:val="single"/>
        </w:rPr>
        <w:t>招标方不接受任何选择报价，对每一种货物只允许一个报价</w:t>
      </w:r>
      <w:r>
        <w:rPr>
          <w:rFonts w:hint="eastAsia" w:ascii="宋体" w:hAnsi="宋体"/>
          <w:sz w:val="24"/>
        </w:rPr>
        <w:t>。</w:t>
      </w:r>
    </w:p>
    <w:p>
      <w:pPr>
        <w:pStyle w:val="31"/>
        <w:tabs>
          <w:tab w:val="left" w:pos="955"/>
        </w:tabs>
        <w:adjustRightInd w:val="0"/>
        <w:snapToGrid w:val="0"/>
        <w:spacing w:after="0" w:line="470" w:lineRule="exact"/>
        <w:ind w:firstLine="480" w:firstLineChars="200"/>
        <w:rPr>
          <w:rFonts w:ascii="宋体" w:hAnsi="宋体"/>
          <w:sz w:val="24"/>
        </w:rPr>
      </w:pPr>
      <w:r>
        <w:rPr>
          <w:rFonts w:hint="eastAsia" w:ascii="宋体" w:hAnsi="宋体"/>
          <w:sz w:val="24"/>
        </w:rPr>
        <w:t xml:space="preserve">10.6 </w:t>
      </w:r>
      <w:r>
        <w:rPr>
          <w:rFonts w:hint="eastAsia" w:ascii="宋体" w:hAnsi="宋体"/>
          <w:kern w:val="2"/>
          <w:sz w:val="24"/>
        </w:rPr>
        <w:t>单独密封的“开标一览表”与投标文件正本不符，以“开标一览表”为准。</w:t>
      </w:r>
    </w:p>
    <w:p>
      <w:pPr>
        <w:pStyle w:val="31"/>
        <w:tabs>
          <w:tab w:val="left" w:pos="0"/>
          <w:tab w:val="left" w:pos="1146"/>
          <w:tab w:val="left" w:pos="1528"/>
          <w:tab w:val="left" w:pos="1719"/>
        </w:tabs>
        <w:adjustRightInd w:val="0"/>
        <w:snapToGrid w:val="0"/>
        <w:spacing w:after="0" w:line="470" w:lineRule="exact"/>
        <w:ind w:firstLine="480" w:firstLineChars="200"/>
        <w:rPr>
          <w:rFonts w:ascii="宋体" w:hAnsi="宋体"/>
          <w:sz w:val="24"/>
        </w:rPr>
      </w:pPr>
      <w:r>
        <w:rPr>
          <w:rFonts w:hint="eastAsia" w:ascii="宋体" w:hAnsi="宋体"/>
          <w:sz w:val="24"/>
        </w:rPr>
        <w:t>10.7 投标方须提供分项单价和报价总价，如果单价和总价不符，以单价为准，并根据单价修正总价。评标委员会认为单价有明显的小数点错误，应以标出的总价为准，并修改单价。</w:t>
      </w:r>
    </w:p>
    <w:p>
      <w:pPr>
        <w:pStyle w:val="31"/>
        <w:adjustRightInd w:val="0"/>
        <w:snapToGrid w:val="0"/>
        <w:spacing w:after="0" w:line="470" w:lineRule="exact"/>
        <w:ind w:firstLine="480" w:firstLineChars="200"/>
        <w:rPr>
          <w:rFonts w:ascii="宋体" w:hAnsi="宋体"/>
          <w:sz w:val="24"/>
        </w:rPr>
      </w:pPr>
      <w:r>
        <w:rPr>
          <w:rFonts w:hint="eastAsia" w:ascii="宋体" w:hAnsi="宋体"/>
          <w:sz w:val="24"/>
        </w:rPr>
        <w:t>10.8 如果大写的金额和小写的金额不一致时，以大写的金额为准。</w:t>
      </w:r>
    </w:p>
    <w:p>
      <w:pPr>
        <w:pStyle w:val="31"/>
        <w:tabs>
          <w:tab w:val="left" w:pos="955"/>
          <w:tab w:val="left" w:pos="1146"/>
          <w:tab w:val="left" w:pos="1719"/>
          <w:tab w:val="left" w:pos="2483"/>
        </w:tabs>
        <w:adjustRightInd w:val="0"/>
        <w:snapToGrid w:val="0"/>
        <w:spacing w:after="0" w:line="470" w:lineRule="exact"/>
        <w:ind w:firstLine="480" w:firstLineChars="200"/>
        <w:rPr>
          <w:rFonts w:ascii="宋体" w:hAnsi="宋体"/>
          <w:sz w:val="24"/>
        </w:rPr>
      </w:pPr>
      <w:r>
        <w:rPr>
          <w:rFonts w:hint="eastAsia" w:ascii="宋体" w:hAnsi="宋体"/>
          <w:sz w:val="24"/>
        </w:rPr>
        <w:t>10.9 投标方免费提供的项目，应先填写该项目的实际价格，并注明免费。此项不计入总报价。</w:t>
      </w:r>
    </w:p>
    <w:p>
      <w:pPr>
        <w:spacing w:line="470" w:lineRule="exact"/>
        <w:ind w:left="1155" w:hanging="630"/>
        <w:rPr>
          <w:rFonts w:ascii="宋体" w:hAnsi="宋体"/>
          <w:sz w:val="24"/>
        </w:rPr>
      </w:pPr>
      <w:r>
        <w:rPr>
          <w:rFonts w:hint="eastAsia" w:ascii="宋体" w:hAnsi="宋体"/>
          <w:sz w:val="24"/>
        </w:rPr>
        <w:t>10</w:t>
      </w:r>
      <w:r>
        <w:rPr>
          <w:rFonts w:ascii="宋体" w:hAnsi="宋体"/>
          <w:sz w:val="24"/>
        </w:rPr>
        <w:t>.</w:t>
      </w:r>
      <w:r>
        <w:rPr>
          <w:rFonts w:hint="eastAsia" w:ascii="宋体" w:hAnsi="宋体"/>
          <w:sz w:val="24"/>
        </w:rPr>
        <w:t>10最低报价不能作为中标的保证。</w:t>
      </w:r>
    </w:p>
    <w:p>
      <w:pPr>
        <w:pStyle w:val="31"/>
        <w:tabs>
          <w:tab w:val="left" w:pos="955"/>
        </w:tabs>
        <w:spacing w:after="0" w:line="560" w:lineRule="exact"/>
        <w:ind w:left="1146" w:leftChars="273" w:hanging="573" w:hangingChars="238"/>
        <w:rPr>
          <w:rFonts w:ascii="宋体" w:hAnsi="宋体"/>
          <w:b/>
          <w:bCs/>
          <w:sz w:val="24"/>
          <w:szCs w:val="24"/>
        </w:rPr>
      </w:pPr>
      <w:r>
        <w:rPr>
          <w:rFonts w:ascii="宋体" w:hAnsi="宋体" w:cs="宋体"/>
          <w:b/>
          <w:bCs/>
          <w:sz w:val="24"/>
          <w:szCs w:val="24"/>
        </w:rPr>
        <w:t>1</w:t>
      </w:r>
      <w:r>
        <w:rPr>
          <w:rFonts w:hint="eastAsia" w:ascii="宋体" w:hAnsi="宋体" w:cs="宋体"/>
          <w:b/>
          <w:bCs/>
          <w:sz w:val="24"/>
          <w:szCs w:val="24"/>
        </w:rPr>
        <w:t>1、投标文件签署</w:t>
      </w:r>
      <w:bookmarkEnd w:id="37"/>
      <w:bookmarkEnd w:id="38"/>
      <w:bookmarkEnd w:id="39"/>
    </w:p>
    <w:p>
      <w:pPr>
        <w:pStyle w:val="31"/>
        <w:spacing w:after="0" w:line="560" w:lineRule="exact"/>
        <w:ind w:firstLine="571" w:firstLineChars="238"/>
        <w:rPr>
          <w:rFonts w:ascii="宋体" w:hAnsi="宋体" w:cs="宋体"/>
          <w:sz w:val="24"/>
          <w:szCs w:val="24"/>
        </w:rPr>
      </w:pPr>
      <w:r>
        <w:rPr>
          <w:rFonts w:hint="eastAsia" w:ascii="宋体" w:hAnsi="宋体" w:cs="宋体"/>
          <w:sz w:val="24"/>
          <w:szCs w:val="24"/>
        </w:rPr>
        <w:t>11.1投标文件应加盖投标方单位公章（不得使用其他形式如带有“专用章”等字样的印章）并经法定代表人或其委托代理人签字，</w:t>
      </w:r>
      <w:r>
        <w:rPr>
          <w:rFonts w:hint="eastAsia" w:ascii="宋体" w:hAnsi="宋体" w:cs="宋体"/>
          <w:b/>
          <w:bCs/>
          <w:sz w:val="24"/>
          <w:szCs w:val="24"/>
        </w:rPr>
        <w:t>签字须使用黑色或蓝色不可退色签字笔，由投标单位法人或委托代理人亲自签署</w:t>
      </w:r>
      <w:r>
        <w:rPr>
          <w:rFonts w:hint="eastAsia" w:ascii="宋体" w:hAnsi="宋体" w:cs="宋体"/>
          <w:sz w:val="24"/>
          <w:szCs w:val="24"/>
        </w:rPr>
        <w:t>，由委托代理人签字的投标文件中须附授权委托书。投标方代表必须按招标文件的规定签署投标文件（正本、副本及各附件）。</w:t>
      </w:r>
      <w:r>
        <w:rPr>
          <w:rFonts w:hint="eastAsia" w:ascii="宋体" w:hAnsi="宋体" w:cs="宋体"/>
          <w:bCs/>
          <w:sz w:val="24"/>
          <w:szCs w:val="24"/>
        </w:rPr>
        <w:t>否则，其投标文件按无效投标处理</w:t>
      </w:r>
      <w:r>
        <w:rPr>
          <w:rFonts w:hint="eastAsia" w:ascii="宋体" w:hAnsi="宋体" w:cs="宋体"/>
          <w:sz w:val="24"/>
          <w:szCs w:val="24"/>
        </w:rPr>
        <w:t>。</w:t>
      </w:r>
    </w:p>
    <w:p>
      <w:pPr>
        <w:pStyle w:val="31"/>
        <w:spacing w:after="0" w:line="560" w:lineRule="exact"/>
        <w:ind w:firstLine="571" w:firstLineChars="238"/>
        <w:rPr>
          <w:rFonts w:ascii="宋体" w:hAnsi="宋体" w:cs="宋体"/>
          <w:sz w:val="24"/>
          <w:szCs w:val="24"/>
        </w:rPr>
      </w:pPr>
      <w:r>
        <w:rPr>
          <w:rFonts w:hint="eastAsia" w:ascii="宋体" w:hAnsi="宋体" w:cs="宋体"/>
          <w:sz w:val="24"/>
          <w:szCs w:val="24"/>
        </w:rPr>
        <w:t>11.2 本招标文件提供的投标文件格式中，标注有盖公章、签字之处，应有投标方的盖章、委托代理人的签字或法定代表人的签字或盖章。</w:t>
      </w:r>
    </w:p>
    <w:p>
      <w:pPr>
        <w:pStyle w:val="31"/>
        <w:tabs>
          <w:tab w:val="left" w:pos="955"/>
        </w:tabs>
        <w:spacing w:after="0" w:line="560" w:lineRule="exact"/>
        <w:ind w:left="1146" w:leftChars="273" w:hanging="573" w:hangingChars="238"/>
        <w:rPr>
          <w:rFonts w:ascii="宋体" w:hAnsi="宋体"/>
          <w:b/>
          <w:bCs/>
          <w:sz w:val="24"/>
          <w:szCs w:val="24"/>
        </w:rPr>
      </w:pPr>
      <w:bookmarkStart w:id="40" w:name="_Toc346306745"/>
      <w:bookmarkStart w:id="41" w:name="_Toc346372892"/>
      <w:bookmarkStart w:id="42" w:name="_Toc352332866"/>
      <w:r>
        <w:rPr>
          <w:rFonts w:ascii="宋体" w:hAnsi="宋体" w:cs="宋体"/>
          <w:b/>
          <w:bCs/>
          <w:sz w:val="24"/>
          <w:szCs w:val="24"/>
        </w:rPr>
        <w:t>1</w:t>
      </w:r>
      <w:r>
        <w:rPr>
          <w:rFonts w:hint="eastAsia" w:ascii="宋体" w:hAnsi="宋体" w:cs="宋体"/>
          <w:b/>
          <w:bCs/>
          <w:sz w:val="24"/>
          <w:szCs w:val="24"/>
        </w:rPr>
        <w:t>2、投标文件密封和标记</w:t>
      </w:r>
      <w:bookmarkEnd w:id="40"/>
      <w:bookmarkEnd w:id="41"/>
      <w:bookmarkEnd w:id="42"/>
    </w:p>
    <w:p>
      <w:pPr>
        <w:pStyle w:val="31"/>
        <w:spacing w:after="0" w:line="560" w:lineRule="exact"/>
        <w:ind w:firstLine="571" w:firstLineChars="238"/>
        <w:rPr>
          <w:rFonts w:ascii="宋体" w:hAnsi="宋体"/>
          <w:sz w:val="24"/>
          <w:szCs w:val="24"/>
        </w:rPr>
      </w:pPr>
      <w:r>
        <w:rPr>
          <w:rFonts w:ascii="宋体" w:hAnsi="宋体" w:cs="宋体"/>
          <w:sz w:val="24"/>
          <w:szCs w:val="24"/>
        </w:rPr>
        <w:t>1</w:t>
      </w:r>
      <w:r>
        <w:rPr>
          <w:rFonts w:hint="eastAsia" w:ascii="宋体" w:hAnsi="宋体" w:cs="宋体"/>
          <w:sz w:val="24"/>
          <w:szCs w:val="24"/>
        </w:rPr>
        <w:t>2</w:t>
      </w:r>
      <w:r>
        <w:rPr>
          <w:rFonts w:ascii="宋体" w:hAnsi="宋体" w:cs="宋体"/>
          <w:sz w:val="24"/>
          <w:szCs w:val="24"/>
        </w:rPr>
        <w:t>.1</w:t>
      </w:r>
      <w:r>
        <w:rPr>
          <w:rFonts w:hint="eastAsia" w:ascii="宋体" w:hAnsi="宋体" w:cs="宋体"/>
          <w:sz w:val="24"/>
          <w:szCs w:val="24"/>
        </w:rPr>
        <w:t>投标方应准备的投标文件份数见投标方须知前附表第8项，投标方应在每一份投标文件上注明“正本”或“副本”字样。</w:t>
      </w:r>
    </w:p>
    <w:p>
      <w:pPr>
        <w:pStyle w:val="31"/>
        <w:spacing w:after="0" w:line="560" w:lineRule="exact"/>
        <w:ind w:left="1142" w:leftChars="272" w:hanging="571" w:hangingChars="238"/>
        <w:rPr>
          <w:rFonts w:ascii="宋体" w:hAnsi="宋体"/>
          <w:sz w:val="24"/>
          <w:szCs w:val="24"/>
        </w:rPr>
      </w:pPr>
      <w:r>
        <w:rPr>
          <w:rFonts w:ascii="宋体" w:hAnsi="宋体" w:cs="宋体"/>
          <w:sz w:val="24"/>
          <w:szCs w:val="24"/>
        </w:rPr>
        <w:t>1</w:t>
      </w:r>
      <w:r>
        <w:rPr>
          <w:rFonts w:hint="eastAsia" w:ascii="宋体" w:hAnsi="宋体" w:cs="宋体"/>
          <w:sz w:val="24"/>
          <w:szCs w:val="24"/>
        </w:rPr>
        <w:t>2</w:t>
      </w:r>
      <w:r>
        <w:rPr>
          <w:rFonts w:ascii="宋体" w:hAnsi="宋体" w:cs="宋体"/>
          <w:sz w:val="24"/>
          <w:szCs w:val="24"/>
        </w:rPr>
        <w:t>.2</w:t>
      </w:r>
      <w:r>
        <w:rPr>
          <w:rFonts w:hint="eastAsia" w:ascii="宋体" w:hAnsi="宋体" w:cs="宋体"/>
          <w:sz w:val="24"/>
          <w:szCs w:val="24"/>
        </w:rPr>
        <w:t>投标文件的密封和标记详见投标方须知前附表第9项。</w:t>
      </w:r>
    </w:p>
    <w:p>
      <w:pPr>
        <w:pStyle w:val="31"/>
        <w:tabs>
          <w:tab w:val="left" w:pos="955"/>
        </w:tabs>
        <w:spacing w:after="0" w:line="560" w:lineRule="exact"/>
        <w:ind w:left="1146" w:leftChars="273" w:hanging="573" w:hangingChars="238"/>
        <w:rPr>
          <w:rFonts w:ascii="宋体" w:hAnsi="宋体"/>
          <w:b/>
          <w:bCs/>
          <w:sz w:val="24"/>
          <w:szCs w:val="24"/>
        </w:rPr>
      </w:pPr>
      <w:bookmarkStart w:id="43" w:name="_Toc346372888"/>
      <w:bookmarkStart w:id="44" w:name="_Toc346306741"/>
      <w:bookmarkStart w:id="45" w:name="_Toc352332862"/>
      <w:bookmarkStart w:id="46" w:name="_Toc346372893"/>
      <w:bookmarkStart w:id="47" w:name="_Toc352332867"/>
      <w:bookmarkStart w:id="48" w:name="_Toc346306746"/>
      <w:r>
        <w:rPr>
          <w:rFonts w:ascii="宋体" w:hAnsi="宋体" w:cs="宋体"/>
          <w:b/>
          <w:bCs/>
          <w:sz w:val="24"/>
          <w:szCs w:val="24"/>
        </w:rPr>
        <w:t>1</w:t>
      </w:r>
      <w:r>
        <w:rPr>
          <w:rFonts w:hint="eastAsia" w:ascii="宋体" w:hAnsi="宋体" w:cs="宋体"/>
          <w:b/>
          <w:bCs/>
          <w:sz w:val="24"/>
          <w:szCs w:val="24"/>
        </w:rPr>
        <w:t>3、投标文件装订</w:t>
      </w:r>
      <w:bookmarkEnd w:id="43"/>
      <w:bookmarkEnd w:id="44"/>
      <w:bookmarkEnd w:id="45"/>
    </w:p>
    <w:p>
      <w:pPr>
        <w:pStyle w:val="31"/>
        <w:spacing w:after="0" w:line="560" w:lineRule="exact"/>
        <w:ind w:firstLine="600" w:firstLineChars="250"/>
        <w:rPr>
          <w:rFonts w:ascii="宋体" w:hAnsi="宋体"/>
          <w:sz w:val="24"/>
          <w:szCs w:val="24"/>
        </w:rPr>
      </w:pPr>
      <w:r>
        <w:rPr>
          <w:rFonts w:hint="eastAsia" w:ascii="宋体" w:hAnsi="宋体" w:cs="宋体"/>
          <w:sz w:val="24"/>
          <w:szCs w:val="24"/>
        </w:rPr>
        <w:t>详见投标方须知前附表第10项。</w:t>
      </w:r>
    </w:p>
    <w:p>
      <w:pPr>
        <w:pStyle w:val="31"/>
        <w:tabs>
          <w:tab w:val="left" w:pos="955"/>
        </w:tabs>
        <w:spacing w:after="0" w:line="560" w:lineRule="exact"/>
        <w:ind w:left="1146" w:leftChars="273" w:hanging="573" w:hangingChars="238"/>
        <w:rPr>
          <w:rFonts w:ascii="宋体" w:hAnsi="宋体"/>
          <w:b/>
          <w:bCs/>
          <w:sz w:val="24"/>
          <w:szCs w:val="24"/>
        </w:rPr>
      </w:pPr>
      <w:r>
        <w:rPr>
          <w:rFonts w:ascii="宋体" w:hAnsi="宋体" w:cs="宋体"/>
          <w:b/>
          <w:bCs/>
          <w:sz w:val="24"/>
          <w:szCs w:val="24"/>
        </w:rPr>
        <w:t>1</w:t>
      </w:r>
      <w:r>
        <w:rPr>
          <w:rFonts w:hint="eastAsia" w:ascii="宋体" w:hAnsi="宋体" w:cs="宋体"/>
          <w:b/>
          <w:bCs/>
          <w:sz w:val="24"/>
          <w:szCs w:val="24"/>
        </w:rPr>
        <w:t>4、投标保证金</w:t>
      </w:r>
      <w:bookmarkEnd w:id="46"/>
      <w:bookmarkEnd w:id="47"/>
      <w:bookmarkEnd w:id="48"/>
    </w:p>
    <w:p>
      <w:pPr>
        <w:pStyle w:val="31"/>
        <w:spacing w:after="0" w:line="560" w:lineRule="exact"/>
        <w:ind w:firstLine="571" w:firstLineChars="238"/>
        <w:rPr>
          <w:rFonts w:ascii="宋体" w:hAnsi="宋体"/>
          <w:sz w:val="24"/>
          <w:szCs w:val="24"/>
        </w:rPr>
      </w:pPr>
      <w:r>
        <w:rPr>
          <w:rFonts w:ascii="宋体" w:hAnsi="宋体" w:cs="宋体"/>
          <w:sz w:val="24"/>
          <w:szCs w:val="24"/>
        </w:rPr>
        <w:t>1</w:t>
      </w:r>
      <w:r>
        <w:rPr>
          <w:rFonts w:hint="eastAsia" w:ascii="宋体" w:hAnsi="宋体" w:cs="宋体"/>
          <w:sz w:val="24"/>
          <w:szCs w:val="24"/>
        </w:rPr>
        <w:t>4</w:t>
      </w:r>
      <w:r>
        <w:rPr>
          <w:rFonts w:ascii="宋体" w:hAnsi="宋体" w:cs="宋体"/>
          <w:sz w:val="24"/>
          <w:szCs w:val="24"/>
        </w:rPr>
        <w:t>.1</w:t>
      </w:r>
      <w:r>
        <w:rPr>
          <w:rFonts w:hint="eastAsia" w:ascii="宋体" w:hAnsi="宋体" w:cs="宋体"/>
          <w:sz w:val="24"/>
          <w:szCs w:val="24"/>
        </w:rPr>
        <w:t>投标方应按前附表第11项的规定提交投标保证金，作为其投标文件的一部分。未按本招标文件规定提交投标保证金的，按无效投标处理。</w:t>
      </w:r>
    </w:p>
    <w:p>
      <w:pPr>
        <w:pStyle w:val="31"/>
        <w:spacing w:after="0" w:line="560" w:lineRule="exact"/>
        <w:ind w:firstLine="571" w:firstLineChars="238"/>
        <w:rPr>
          <w:rFonts w:ascii="宋体" w:hAnsi="宋体"/>
          <w:sz w:val="24"/>
          <w:szCs w:val="24"/>
        </w:rPr>
      </w:pPr>
      <w:r>
        <w:rPr>
          <w:rFonts w:ascii="宋体" w:hAnsi="宋体" w:cs="宋体"/>
          <w:sz w:val="24"/>
          <w:szCs w:val="24"/>
        </w:rPr>
        <w:t>1</w:t>
      </w:r>
      <w:r>
        <w:rPr>
          <w:rFonts w:hint="eastAsia" w:ascii="宋体" w:hAnsi="宋体" w:cs="宋体"/>
          <w:sz w:val="24"/>
          <w:szCs w:val="24"/>
        </w:rPr>
        <w:t>4</w:t>
      </w:r>
      <w:r>
        <w:rPr>
          <w:rFonts w:ascii="宋体" w:hAnsi="宋体" w:cs="宋体"/>
          <w:sz w:val="24"/>
          <w:szCs w:val="24"/>
        </w:rPr>
        <w:t>.2</w:t>
      </w:r>
      <w:r>
        <w:rPr>
          <w:rFonts w:hint="eastAsia" w:ascii="宋体" w:hAnsi="宋体" w:cs="宋体"/>
          <w:sz w:val="24"/>
          <w:szCs w:val="24"/>
        </w:rPr>
        <w:t>如投标方有下列情况，投标保证金不予退还，招标方和招标方有权依法向其提出索赔，投标方应当赔偿因此给招标方造成的全部损失：</w:t>
      </w:r>
    </w:p>
    <w:p>
      <w:pPr>
        <w:pStyle w:val="31"/>
        <w:spacing w:after="0" w:line="560" w:lineRule="exact"/>
        <w:ind w:firstLine="571" w:firstLineChars="238"/>
        <w:rPr>
          <w:rFonts w:ascii="宋体" w:hAnsi="宋体"/>
          <w:sz w:val="24"/>
          <w:szCs w:val="24"/>
        </w:rPr>
      </w:pPr>
      <w:r>
        <w:rPr>
          <w:rFonts w:ascii="宋体" w:hAnsi="宋体" w:cs="宋体"/>
          <w:sz w:val="24"/>
          <w:szCs w:val="24"/>
        </w:rPr>
        <w:t>1</w:t>
      </w:r>
      <w:r>
        <w:rPr>
          <w:rFonts w:hint="eastAsia" w:ascii="宋体" w:hAnsi="宋体" w:cs="宋体"/>
          <w:sz w:val="24"/>
          <w:szCs w:val="24"/>
        </w:rPr>
        <w:t>）开标后，投标方在投标有效期内撤回谈判的；</w:t>
      </w:r>
    </w:p>
    <w:p>
      <w:pPr>
        <w:pStyle w:val="31"/>
        <w:spacing w:after="0" w:line="560" w:lineRule="exact"/>
        <w:ind w:firstLine="571" w:firstLineChars="238"/>
        <w:rPr>
          <w:rFonts w:ascii="宋体" w:hAnsi="宋体"/>
          <w:sz w:val="24"/>
          <w:szCs w:val="24"/>
        </w:rPr>
      </w:pPr>
      <w:r>
        <w:rPr>
          <w:rFonts w:ascii="宋体" w:hAnsi="宋体" w:cs="宋体"/>
          <w:sz w:val="24"/>
          <w:szCs w:val="24"/>
        </w:rPr>
        <w:t>2</w:t>
      </w:r>
      <w:r>
        <w:rPr>
          <w:rFonts w:hint="eastAsia" w:ascii="宋体" w:hAnsi="宋体" w:cs="宋体"/>
          <w:sz w:val="24"/>
          <w:szCs w:val="24"/>
        </w:rPr>
        <w:t>）采取不正当手段诋毁、排挤其他投标方的；</w:t>
      </w:r>
    </w:p>
    <w:p>
      <w:pPr>
        <w:pStyle w:val="31"/>
        <w:spacing w:after="0" w:line="560" w:lineRule="exact"/>
        <w:ind w:firstLine="571" w:firstLineChars="238"/>
        <w:rPr>
          <w:rFonts w:ascii="宋体" w:hAnsi="宋体"/>
          <w:sz w:val="24"/>
          <w:szCs w:val="24"/>
        </w:rPr>
      </w:pPr>
      <w:r>
        <w:rPr>
          <w:rFonts w:ascii="宋体" w:hAnsi="宋体" w:cs="宋体"/>
          <w:sz w:val="24"/>
          <w:szCs w:val="24"/>
        </w:rPr>
        <w:t>3</w:t>
      </w:r>
      <w:r>
        <w:rPr>
          <w:rFonts w:hint="eastAsia" w:ascii="宋体" w:hAnsi="宋体" w:cs="宋体"/>
          <w:sz w:val="24"/>
          <w:szCs w:val="24"/>
        </w:rPr>
        <w:t>）与招标方、其他投标方恶意串通的；</w:t>
      </w:r>
    </w:p>
    <w:p>
      <w:pPr>
        <w:pStyle w:val="31"/>
        <w:spacing w:after="0" w:line="560" w:lineRule="exact"/>
        <w:ind w:firstLine="571" w:firstLineChars="238"/>
        <w:rPr>
          <w:rFonts w:ascii="宋体" w:hAnsi="宋体"/>
          <w:sz w:val="24"/>
          <w:szCs w:val="24"/>
        </w:rPr>
      </w:pPr>
      <w:r>
        <w:rPr>
          <w:rFonts w:ascii="宋体" w:hAnsi="宋体" w:cs="宋体"/>
          <w:sz w:val="24"/>
          <w:szCs w:val="24"/>
        </w:rPr>
        <w:t>4</w:t>
      </w:r>
      <w:r>
        <w:rPr>
          <w:rFonts w:hint="eastAsia" w:ascii="宋体" w:hAnsi="宋体" w:cs="宋体"/>
          <w:sz w:val="24"/>
          <w:szCs w:val="24"/>
        </w:rPr>
        <w:t>）向招标方行贿或者提供其他不正当利益的；</w:t>
      </w:r>
    </w:p>
    <w:p>
      <w:pPr>
        <w:pStyle w:val="31"/>
        <w:spacing w:after="0" w:line="560" w:lineRule="exact"/>
        <w:ind w:firstLine="571" w:firstLineChars="238"/>
        <w:rPr>
          <w:rFonts w:ascii="宋体" w:hAnsi="宋体"/>
          <w:sz w:val="24"/>
          <w:szCs w:val="24"/>
        </w:rPr>
      </w:pPr>
      <w:r>
        <w:rPr>
          <w:rFonts w:ascii="宋体" w:hAnsi="宋体" w:cs="宋体"/>
          <w:sz w:val="24"/>
          <w:szCs w:val="24"/>
        </w:rPr>
        <w:t>5</w:t>
      </w:r>
      <w:r>
        <w:rPr>
          <w:rFonts w:hint="eastAsia" w:ascii="宋体" w:hAnsi="宋体" w:cs="宋体"/>
          <w:sz w:val="24"/>
          <w:szCs w:val="24"/>
        </w:rPr>
        <w:t>）投标方在投标文件中提供虚假材料的；</w:t>
      </w:r>
    </w:p>
    <w:p>
      <w:pPr>
        <w:pStyle w:val="31"/>
        <w:spacing w:after="0" w:line="560" w:lineRule="exact"/>
        <w:ind w:firstLine="571" w:firstLineChars="238"/>
        <w:rPr>
          <w:rFonts w:ascii="宋体" w:hAnsi="宋体"/>
          <w:sz w:val="24"/>
          <w:szCs w:val="24"/>
        </w:rPr>
      </w:pPr>
      <w:r>
        <w:rPr>
          <w:rFonts w:ascii="宋体" w:hAnsi="宋体" w:cs="宋体"/>
          <w:sz w:val="24"/>
          <w:szCs w:val="24"/>
        </w:rPr>
        <w:t>6</w:t>
      </w:r>
      <w:r>
        <w:rPr>
          <w:rFonts w:hint="eastAsia" w:ascii="宋体" w:hAnsi="宋体" w:cs="宋体"/>
          <w:sz w:val="24"/>
          <w:szCs w:val="24"/>
        </w:rPr>
        <w:t>）中标方无正当理由未能按规定与招标方签订合同的；</w:t>
      </w:r>
    </w:p>
    <w:p>
      <w:pPr>
        <w:pStyle w:val="31"/>
        <w:spacing w:after="0" w:line="560" w:lineRule="exact"/>
        <w:ind w:firstLine="571" w:firstLineChars="238"/>
        <w:rPr>
          <w:rFonts w:ascii="宋体" w:hAnsi="宋体"/>
          <w:sz w:val="24"/>
          <w:szCs w:val="24"/>
        </w:rPr>
      </w:pPr>
      <w:r>
        <w:rPr>
          <w:rFonts w:ascii="宋体" w:hAnsi="宋体" w:cs="宋体"/>
          <w:sz w:val="24"/>
          <w:szCs w:val="24"/>
        </w:rPr>
        <w:t>7</w:t>
      </w:r>
      <w:r>
        <w:rPr>
          <w:rFonts w:hint="eastAsia" w:ascii="宋体" w:hAnsi="宋体" w:cs="宋体"/>
          <w:sz w:val="24"/>
          <w:szCs w:val="24"/>
        </w:rPr>
        <w:t>）法律法规和招标文件规定的其他情形。</w:t>
      </w:r>
    </w:p>
    <w:p>
      <w:pPr>
        <w:pStyle w:val="31"/>
        <w:spacing w:after="0" w:line="560" w:lineRule="exact"/>
        <w:ind w:firstLine="573" w:firstLineChars="238"/>
        <w:rPr>
          <w:rFonts w:ascii="宋体" w:hAnsi="宋体"/>
          <w:b/>
          <w:bCs/>
          <w:sz w:val="24"/>
          <w:szCs w:val="24"/>
        </w:rPr>
      </w:pPr>
      <w:r>
        <w:rPr>
          <w:rFonts w:ascii="宋体" w:hAnsi="宋体" w:cs="宋体"/>
          <w:b/>
          <w:bCs/>
          <w:sz w:val="24"/>
          <w:szCs w:val="24"/>
        </w:rPr>
        <w:t>1</w:t>
      </w:r>
      <w:r>
        <w:rPr>
          <w:rFonts w:hint="eastAsia" w:ascii="宋体" w:hAnsi="宋体" w:cs="宋体"/>
          <w:b/>
          <w:bCs/>
          <w:sz w:val="24"/>
          <w:szCs w:val="24"/>
        </w:rPr>
        <w:t>4</w:t>
      </w:r>
      <w:r>
        <w:rPr>
          <w:rFonts w:ascii="宋体" w:hAnsi="宋体" w:cs="宋体"/>
          <w:b/>
          <w:bCs/>
          <w:sz w:val="24"/>
          <w:szCs w:val="24"/>
        </w:rPr>
        <w:t>.3</w:t>
      </w:r>
      <w:r>
        <w:rPr>
          <w:rFonts w:hint="eastAsia" w:ascii="宋体" w:hAnsi="宋体" w:cs="宋体"/>
          <w:b/>
          <w:bCs/>
          <w:sz w:val="24"/>
          <w:szCs w:val="24"/>
        </w:rPr>
        <w:t>保证金的退还：</w:t>
      </w:r>
    </w:p>
    <w:p>
      <w:pPr>
        <w:pStyle w:val="31"/>
        <w:spacing w:after="0" w:line="560" w:lineRule="exact"/>
        <w:ind w:firstLine="573" w:firstLineChars="238"/>
        <w:rPr>
          <w:rFonts w:ascii="宋体" w:hAnsi="宋体"/>
          <w:b/>
          <w:bCs/>
          <w:sz w:val="24"/>
          <w:szCs w:val="24"/>
        </w:rPr>
      </w:pPr>
      <w:r>
        <w:rPr>
          <w:rFonts w:ascii="宋体" w:hAnsi="宋体" w:cs="宋体"/>
          <w:b/>
          <w:bCs/>
          <w:sz w:val="24"/>
          <w:szCs w:val="24"/>
        </w:rPr>
        <w:t>1</w:t>
      </w:r>
      <w:r>
        <w:rPr>
          <w:rFonts w:hint="eastAsia" w:ascii="宋体" w:hAnsi="宋体" w:cs="宋体"/>
          <w:b/>
          <w:bCs/>
          <w:sz w:val="24"/>
          <w:szCs w:val="24"/>
        </w:rPr>
        <w:t>）</w:t>
      </w:r>
      <w:r>
        <w:rPr>
          <w:rFonts w:hint="eastAsia" w:ascii="宋体" w:hAnsi="宋体" w:cs="宋体"/>
          <w:b/>
          <w:bCs/>
          <w:sz w:val="24"/>
          <w:szCs w:val="24"/>
          <w:u w:val="single"/>
        </w:rPr>
        <w:t>未中标人的保证金，在中标通知书发出后60个工作日内退还</w:t>
      </w:r>
      <w:r>
        <w:rPr>
          <w:rFonts w:hint="eastAsia" w:ascii="宋体" w:hAnsi="宋体" w:cs="宋体"/>
          <w:b/>
          <w:bCs/>
          <w:sz w:val="24"/>
          <w:szCs w:val="24"/>
        </w:rPr>
        <w:t>；</w:t>
      </w:r>
    </w:p>
    <w:p>
      <w:pPr>
        <w:pStyle w:val="31"/>
        <w:spacing w:after="0" w:line="560" w:lineRule="exact"/>
        <w:ind w:firstLine="573" w:firstLineChars="238"/>
        <w:rPr>
          <w:rFonts w:ascii="宋体" w:hAnsi="宋体" w:cs="宋体"/>
          <w:b/>
          <w:bCs/>
          <w:sz w:val="24"/>
          <w:szCs w:val="24"/>
        </w:rPr>
      </w:pPr>
      <w:r>
        <w:rPr>
          <w:rFonts w:ascii="宋体" w:hAnsi="宋体" w:cs="宋体"/>
          <w:b/>
          <w:bCs/>
          <w:sz w:val="24"/>
          <w:szCs w:val="24"/>
        </w:rPr>
        <w:t>2</w:t>
      </w:r>
      <w:r>
        <w:rPr>
          <w:rFonts w:hint="eastAsia" w:ascii="宋体" w:hAnsi="宋体" w:cs="宋体"/>
          <w:b/>
          <w:bCs/>
          <w:sz w:val="24"/>
          <w:szCs w:val="24"/>
        </w:rPr>
        <w:t>）</w:t>
      </w:r>
      <w:r>
        <w:rPr>
          <w:rFonts w:hint="eastAsia" w:ascii="宋体" w:hAnsi="宋体" w:cs="宋体"/>
          <w:b/>
          <w:bCs/>
          <w:sz w:val="24"/>
          <w:szCs w:val="24"/>
          <w:u w:val="single"/>
        </w:rPr>
        <w:t>中标人的保证金在签订合同后60个工作日内予以退还</w:t>
      </w:r>
      <w:r>
        <w:rPr>
          <w:rFonts w:hint="eastAsia" w:ascii="宋体" w:hAnsi="宋体" w:cs="宋体"/>
          <w:b/>
          <w:bCs/>
          <w:sz w:val="24"/>
          <w:szCs w:val="24"/>
        </w:rPr>
        <w:t>。</w:t>
      </w:r>
    </w:p>
    <w:p>
      <w:pPr>
        <w:pStyle w:val="31"/>
        <w:spacing w:after="0" w:line="560" w:lineRule="exact"/>
        <w:ind w:firstLine="573" w:firstLineChars="238"/>
        <w:rPr>
          <w:rFonts w:ascii="宋体" w:hAnsi="宋体" w:cs="宋体"/>
          <w:b/>
          <w:bCs/>
          <w:sz w:val="24"/>
          <w:szCs w:val="24"/>
        </w:rPr>
      </w:pPr>
      <w:r>
        <w:rPr>
          <w:rFonts w:hint="eastAsia" w:ascii="宋体" w:hAnsi="宋体" w:cs="宋体"/>
          <w:b/>
          <w:bCs/>
          <w:sz w:val="24"/>
          <w:szCs w:val="24"/>
        </w:rPr>
        <w:t>3）</w:t>
      </w:r>
      <w:r>
        <w:rPr>
          <w:rFonts w:hint="eastAsia" w:ascii="宋体" w:hAnsi="宋体" w:cs="宋体"/>
          <w:b/>
          <w:bCs/>
          <w:sz w:val="24"/>
          <w:szCs w:val="24"/>
          <w:u w:val="single"/>
        </w:rPr>
        <w:t>保证金为无息退还</w:t>
      </w:r>
      <w:r>
        <w:rPr>
          <w:rFonts w:hint="eastAsia" w:ascii="宋体" w:hAnsi="宋体" w:cs="宋体"/>
          <w:b/>
          <w:bCs/>
          <w:sz w:val="24"/>
          <w:szCs w:val="24"/>
        </w:rPr>
        <w:t>。</w:t>
      </w:r>
    </w:p>
    <w:p>
      <w:pPr>
        <w:pStyle w:val="31"/>
        <w:tabs>
          <w:tab w:val="left" w:pos="955"/>
        </w:tabs>
        <w:spacing w:after="0" w:line="560" w:lineRule="exact"/>
        <w:ind w:left="1146" w:leftChars="273" w:hanging="573" w:hangingChars="238"/>
        <w:rPr>
          <w:rFonts w:ascii="宋体" w:hAnsi="宋体"/>
          <w:b/>
          <w:bCs/>
          <w:sz w:val="24"/>
          <w:szCs w:val="24"/>
        </w:rPr>
      </w:pPr>
      <w:bookmarkStart w:id="49" w:name="_Toc352332868"/>
      <w:bookmarkStart w:id="50" w:name="_Toc346306747"/>
      <w:bookmarkStart w:id="51" w:name="_Toc346372894"/>
      <w:r>
        <w:rPr>
          <w:rFonts w:ascii="宋体" w:hAnsi="宋体" w:cs="宋体"/>
          <w:b/>
          <w:bCs/>
          <w:sz w:val="24"/>
          <w:szCs w:val="24"/>
        </w:rPr>
        <w:t>1</w:t>
      </w:r>
      <w:r>
        <w:rPr>
          <w:rFonts w:hint="eastAsia" w:ascii="宋体" w:hAnsi="宋体" w:cs="宋体"/>
          <w:b/>
          <w:bCs/>
          <w:sz w:val="24"/>
          <w:szCs w:val="24"/>
        </w:rPr>
        <w:t>5、投标有效期</w:t>
      </w:r>
      <w:bookmarkEnd w:id="49"/>
      <w:bookmarkEnd w:id="50"/>
      <w:bookmarkEnd w:id="51"/>
    </w:p>
    <w:p>
      <w:pPr>
        <w:pStyle w:val="31"/>
        <w:spacing w:after="0" w:line="560" w:lineRule="exact"/>
        <w:ind w:firstLine="571" w:firstLineChars="238"/>
        <w:rPr>
          <w:rFonts w:ascii="宋体" w:hAnsi="宋体"/>
          <w:sz w:val="24"/>
          <w:szCs w:val="24"/>
        </w:rPr>
      </w:pPr>
      <w:r>
        <w:rPr>
          <w:rFonts w:ascii="宋体" w:hAnsi="宋体" w:cs="宋体"/>
          <w:sz w:val="24"/>
          <w:szCs w:val="24"/>
        </w:rPr>
        <w:t>1</w:t>
      </w:r>
      <w:r>
        <w:rPr>
          <w:rFonts w:hint="eastAsia" w:ascii="宋体" w:hAnsi="宋体" w:cs="宋体"/>
          <w:sz w:val="24"/>
          <w:szCs w:val="24"/>
        </w:rPr>
        <w:t>5</w:t>
      </w:r>
      <w:r>
        <w:rPr>
          <w:rFonts w:ascii="宋体" w:hAnsi="宋体" w:cs="宋体"/>
          <w:sz w:val="24"/>
          <w:szCs w:val="24"/>
        </w:rPr>
        <w:t xml:space="preserve">.1 </w:t>
      </w:r>
      <w:r>
        <w:rPr>
          <w:rFonts w:hint="eastAsia" w:ascii="宋体" w:hAnsi="宋体" w:cs="宋体"/>
          <w:sz w:val="24"/>
          <w:szCs w:val="24"/>
        </w:rPr>
        <w:t>本项目投标有效期见投标方须知前附表12项。</w:t>
      </w:r>
      <w:r>
        <w:rPr>
          <w:rFonts w:hint="eastAsia" w:ascii="宋体" w:hAnsi="宋体" w:cs="宋体"/>
          <w:b/>
          <w:bCs/>
          <w:sz w:val="24"/>
          <w:szCs w:val="24"/>
        </w:rPr>
        <w:t>投标函的有效期比本须知规定的有效期短的，将被视为非响应性投标，该投标文件按无效投标处理</w:t>
      </w:r>
      <w:r>
        <w:rPr>
          <w:rFonts w:hint="eastAsia" w:ascii="宋体" w:hAnsi="宋体" w:cs="宋体"/>
          <w:bCs/>
          <w:sz w:val="24"/>
          <w:szCs w:val="24"/>
        </w:rPr>
        <w:t>。</w:t>
      </w:r>
    </w:p>
    <w:p>
      <w:pPr>
        <w:pStyle w:val="31"/>
        <w:spacing w:after="0" w:line="560" w:lineRule="exact"/>
        <w:ind w:firstLine="571" w:firstLineChars="238"/>
        <w:rPr>
          <w:rFonts w:ascii="宋体" w:hAnsi="宋体"/>
          <w:sz w:val="24"/>
          <w:szCs w:val="24"/>
        </w:rPr>
      </w:pPr>
      <w:r>
        <w:rPr>
          <w:rFonts w:ascii="宋体" w:hAnsi="宋体" w:cs="宋体"/>
          <w:sz w:val="24"/>
          <w:szCs w:val="24"/>
        </w:rPr>
        <w:t>1</w:t>
      </w:r>
      <w:r>
        <w:rPr>
          <w:rFonts w:hint="eastAsia" w:ascii="宋体" w:hAnsi="宋体" w:cs="宋体"/>
          <w:sz w:val="24"/>
          <w:szCs w:val="24"/>
        </w:rPr>
        <w:t>5</w:t>
      </w:r>
      <w:r>
        <w:rPr>
          <w:rFonts w:ascii="宋体" w:hAnsi="宋体" w:cs="宋体"/>
          <w:sz w:val="24"/>
          <w:szCs w:val="24"/>
        </w:rPr>
        <w:t xml:space="preserve">.2 </w:t>
      </w:r>
      <w:r>
        <w:rPr>
          <w:rFonts w:hint="eastAsia" w:ascii="宋体" w:hAnsi="宋体" w:cs="宋体"/>
          <w:sz w:val="24"/>
          <w:szCs w:val="24"/>
        </w:rPr>
        <w:t>特殊情况下，在投标有效期满之前，招标方可以以书面形式要求投标方同意延长投标有效期。投标方可以以书面形式拒绝或接受上述要求。拒绝延长投标有效期的投标方有权收回投标保证金；同意延长投标有效期的投标方应当相应延长其投标保证金的有效期，但不得修改投标文件的实质性内容。</w:t>
      </w:r>
    </w:p>
    <w:p>
      <w:pPr>
        <w:pStyle w:val="4"/>
        <w:spacing w:before="120" w:after="120" w:line="360" w:lineRule="exact"/>
        <w:rPr>
          <w:rFonts w:ascii="宋体" w:hAnsi="宋体" w:eastAsia="宋体" w:cs="宋体"/>
          <w:sz w:val="28"/>
          <w:szCs w:val="28"/>
        </w:rPr>
      </w:pPr>
      <w:bookmarkStart w:id="52" w:name="_Toc4813"/>
      <w:r>
        <w:rPr>
          <w:rFonts w:hint="eastAsia" w:ascii="宋体" w:hAnsi="宋体" w:eastAsia="宋体" w:cs="宋体"/>
          <w:sz w:val="28"/>
          <w:szCs w:val="28"/>
        </w:rPr>
        <w:t>四、投标文件递交</w:t>
      </w:r>
      <w:bookmarkEnd w:id="52"/>
    </w:p>
    <w:p>
      <w:pPr>
        <w:pStyle w:val="31"/>
        <w:tabs>
          <w:tab w:val="left" w:pos="955"/>
        </w:tabs>
        <w:spacing w:after="0" w:line="560" w:lineRule="exact"/>
        <w:ind w:left="1146" w:leftChars="273" w:hanging="573" w:hangingChars="238"/>
        <w:rPr>
          <w:rFonts w:ascii="宋体" w:hAnsi="宋体"/>
          <w:b/>
          <w:bCs/>
          <w:sz w:val="24"/>
          <w:szCs w:val="24"/>
        </w:rPr>
      </w:pPr>
      <w:bookmarkStart w:id="53" w:name="_Toc346372896"/>
      <w:bookmarkStart w:id="54" w:name="_Toc346306749"/>
      <w:bookmarkStart w:id="55" w:name="_Toc352332870"/>
      <w:r>
        <w:rPr>
          <w:rFonts w:ascii="宋体" w:hAnsi="宋体" w:cs="宋体"/>
          <w:b/>
          <w:bCs/>
          <w:sz w:val="24"/>
          <w:szCs w:val="24"/>
        </w:rPr>
        <w:t>1</w:t>
      </w:r>
      <w:r>
        <w:rPr>
          <w:rFonts w:hint="eastAsia" w:ascii="宋体" w:hAnsi="宋体" w:cs="宋体"/>
          <w:b/>
          <w:bCs/>
          <w:sz w:val="24"/>
          <w:szCs w:val="24"/>
        </w:rPr>
        <w:t>6、投标文件递交时间和地点</w:t>
      </w:r>
      <w:bookmarkEnd w:id="53"/>
      <w:bookmarkEnd w:id="54"/>
      <w:bookmarkEnd w:id="55"/>
    </w:p>
    <w:p>
      <w:pPr>
        <w:pStyle w:val="31"/>
        <w:spacing w:after="0" w:line="560" w:lineRule="exact"/>
        <w:ind w:firstLine="571" w:firstLineChars="238"/>
        <w:rPr>
          <w:rFonts w:ascii="宋体" w:hAnsi="宋体"/>
          <w:sz w:val="24"/>
          <w:szCs w:val="24"/>
        </w:rPr>
      </w:pPr>
      <w:r>
        <w:rPr>
          <w:rFonts w:ascii="宋体" w:hAnsi="宋体" w:cs="宋体"/>
          <w:sz w:val="24"/>
          <w:szCs w:val="24"/>
        </w:rPr>
        <w:t>1</w:t>
      </w:r>
      <w:r>
        <w:rPr>
          <w:rFonts w:hint="eastAsia" w:ascii="宋体" w:hAnsi="宋体" w:cs="宋体"/>
          <w:sz w:val="24"/>
          <w:szCs w:val="24"/>
        </w:rPr>
        <w:t>6</w:t>
      </w:r>
      <w:r>
        <w:rPr>
          <w:rFonts w:ascii="宋体" w:hAnsi="宋体" w:cs="宋体"/>
          <w:sz w:val="24"/>
          <w:szCs w:val="24"/>
        </w:rPr>
        <w:t xml:space="preserve">.1 </w:t>
      </w:r>
      <w:r>
        <w:rPr>
          <w:rFonts w:hint="eastAsia" w:ascii="宋体" w:hAnsi="宋体" w:cs="宋体"/>
          <w:sz w:val="24"/>
          <w:szCs w:val="24"/>
        </w:rPr>
        <w:t>投标文件递交时间、投标截止时间及地点详见投标方须知前附表第</w:t>
      </w:r>
      <w:r>
        <w:rPr>
          <w:rFonts w:ascii="宋体" w:hAnsi="宋体" w:cs="宋体"/>
          <w:sz w:val="24"/>
          <w:szCs w:val="24"/>
        </w:rPr>
        <w:t>1</w:t>
      </w:r>
      <w:r>
        <w:rPr>
          <w:rFonts w:hint="eastAsia" w:ascii="宋体" w:hAnsi="宋体" w:cs="宋体"/>
          <w:sz w:val="24"/>
          <w:szCs w:val="24"/>
        </w:rPr>
        <w:t>3项。</w:t>
      </w:r>
    </w:p>
    <w:p>
      <w:pPr>
        <w:pStyle w:val="31"/>
        <w:spacing w:after="0" w:line="560" w:lineRule="exact"/>
        <w:ind w:firstLine="571" w:firstLineChars="238"/>
        <w:rPr>
          <w:rFonts w:ascii="宋体" w:hAnsi="宋体"/>
          <w:sz w:val="24"/>
          <w:szCs w:val="24"/>
        </w:rPr>
      </w:pPr>
      <w:r>
        <w:rPr>
          <w:rFonts w:ascii="宋体" w:hAnsi="宋体" w:cs="宋体"/>
          <w:sz w:val="24"/>
          <w:szCs w:val="24"/>
        </w:rPr>
        <w:t>1</w:t>
      </w:r>
      <w:r>
        <w:rPr>
          <w:rFonts w:hint="eastAsia" w:ascii="宋体" w:hAnsi="宋体" w:cs="宋体"/>
          <w:sz w:val="24"/>
          <w:szCs w:val="24"/>
        </w:rPr>
        <w:t>6</w:t>
      </w:r>
      <w:r>
        <w:rPr>
          <w:rFonts w:ascii="宋体" w:hAnsi="宋体" w:cs="宋体"/>
          <w:sz w:val="24"/>
          <w:szCs w:val="24"/>
        </w:rPr>
        <w:t xml:space="preserve">.2 </w:t>
      </w:r>
      <w:r>
        <w:rPr>
          <w:rFonts w:hint="eastAsia" w:ascii="宋体" w:hAnsi="宋体" w:cs="宋体"/>
          <w:sz w:val="24"/>
          <w:szCs w:val="24"/>
        </w:rPr>
        <w:t>投标方代表必须在投标截止时间前将投标文件送达指定地点。如因招标文件的修改推迟投标截止日期的，则按招标方另行通知规定的时间递交。</w:t>
      </w:r>
    </w:p>
    <w:p>
      <w:pPr>
        <w:pStyle w:val="31"/>
        <w:spacing w:after="0" w:line="560" w:lineRule="exact"/>
        <w:ind w:firstLine="571" w:firstLineChars="238"/>
        <w:rPr>
          <w:rFonts w:ascii="宋体" w:hAnsi="宋体"/>
          <w:sz w:val="24"/>
          <w:szCs w:val="24"/>
        </w:rPr>
      </w:pPr>
      <w:r>
        <w:rPr>
          <w:rFonts w:ascii="宋体" w:hAnsi="宋体" w:cs="宋体"/>
          <w:sz w:val="24"/>
          <w:szCs w:val="24"/>
        </w:rPr>
        <w:t>1</w:t>
      </w:r>
      <w:r>
        <w:rPr>
          <w:rFonts w:hint="eastAsia" w:ascii="宋体" w:hAnsi="宋体" w:cs="宋体"/>
          <w:sz w:val="24"/>
          <w:szCs w:val="24"/>
        </w:rPr>
        <w:t>6</w:t>
      </w:r>
      <w:r>
        <w:rPr>
          <w:rFonts w:ascii="宋体" w:hAnsi="宋体" w:cs="宋体"/>
          <w:sz w:val="24"/>
          <w:szCs w:val="24"/>
        </w:rPr>
        <w:t xml:space="preserve">.3 </w:t>
      </w:r>
      <w:r>
        <w:rPr>
          <w:rFonts w:hint="eastAsia" w:ascii="宋体" w:hAnsi="宋体" w:cs="宋体"/>
          <w:sz w:val="24"/>
          <w:szCs w:val="24"/>
        </w:rPr>
        <w:t>招标方不接收投标截止时间后送达的投标文件。</w:t>
      </w:r>
    </w:p>
    <w:p>
      <w:pPr>
        <w:pStyle w:val="31"/>
        <w:tabs>
          <w:tab w:val="left" w:pos="955"/>
        </w:tabs>
        <w:spacing w:after="0" w:line="560" w:lineRule="exact"/>
        <w:ind w:left="1146" w:leftChars="273" w:hanging="573" w:hangingChars="238"/>
        <w:rPr>
          <w:rFonts w:ascii="宋体" w:hAnsi="宋体"/>
          <w:b/>
          <w:bCs/>
          <w:sz w:val="24"/>
          <w:szCs w:val="24"/>
        </w:rPr>
      </w:pPr>
      <w:bookmarkStart w:id="56" w:name="_Toc352332871"/>
      <w:bookmarkStart w:id="57" w:name="_Toc346372897"/>
      <w:bookmarkStart w:id="58" w:name="_Toc346306750"/>
      <w:r>
        <w:rPr>
          <w:rFonts w:ascii="宋体" w:hAnsi="宋体" w:cs="宋体"/>
          <w:b/>
          <w:bCs/>
          <w:sz w:val="24"/>
          <w:szCs w:val="24"/>
        </w:rPr>
        <w:t>1</w:t>
      </w:r>
      <w:r>
        <w:rPr>
          <w:rFonts w:hint="eastAsia" w:ascii="宋体" w:hAnsi="宋体" w:cs="宋体"/>
          <w:b/>
          <w:bCs/>
          <w:sz w:val="24"/>
          <w:szCs w:val="24"/>
        </w:rPr>
        <w:t>7、投标文件签收</w:t>
      </w:r>
      <w:bookmarkEnd w:id="56"/>
      <w:bookmarkEnd w:id="57"/>
      <w:bookmarkEnd w:id="58"/>
    </w:p>
    <w:p>
      <w:pPr>
        <w:pStyle w:val="31"/>
        <w:spacing w:after="0" w:line="560" w:lineRule="exact"/>
        <w:ind w:firstLine="571" w:firstLineChars="238"/>
        <w:rPr>
          <w:rFonts w:ascii="宋体" w:hAnsi="宋体"/>
          <w:sz w:val="24"/>
          <w:szCs w:val="24"/>
        </w:rPr>
      </w:pPr>
      <w:r>
        <w:rPr>
          <w:rFonts w:ascii="宋体" w:hAnsi="宋体" w:cs="宋体"/>
          <w:sz w:val="24"/>
          <w:szCs w:val="24"/>
        </w:rPr>
        <w:t>1</w:t>
      </w:r>
      <w:r>
        <w:rPr>
          <w:rFonts w:hint="eastAsia" w:ascii="宋体" w:hAnsi="宋体" w:cs="宋体"/>
          <w:sz w:val="24"/>
          <w:szCs w:val="24"/>
        </w:rPr>
        <w:t>7</w:t>
      </w:r>
      <w:r>
        <w:rPr>
          <w:rFonts w:ascii="宋体" w:hAnsi="宋体" w:cs="宋体"/>
          <w:sz w:val="24"/>
          <w:szCs w:val="24"/>
        </w:rPr>
        <w:t xml:space="preserve">.1 </w:t>
      </w:r>
      <w:r>
        <w:rPr>
          <w:rFonts w:hint="eastAsia" w:ascii="宋体" w:hAnsi="宋体" w:cs="宋体"/>
          <w:b/>
          <w:bCs/>
          <w:sz w:val="24"/>
          <w:szCs w:val="24"/>
        </w:rPr>
        <w:t>本项目只接受现场递交书面形式的投标，其他形式的投标不予接收</w:t>
      </w:r>
      <w:r>
        <w:rPr>
          <w:rFonts w:hint="eastAsia" w:ascii="宋体" w:hAnsi="宋体" w:cs="宋体"/>
          <w:sz w:val="24"/>
          <w:szCs w:val="24"/>
        </w:rPr>
        <w:t>。</w:t>
      </w:r>
    </w:p>
    <w:p>
      <w:pPr>
        <w:pStyle w:val="31"/>
        <w:spacing w:after="0" w:line="560" w:lineRule="exact"/>
        <w:ind w:firstLine="571" w:firstLineChars="238"/>
        <w:rPr>
          <w:rFonts w:ascii="宋体" w:hAnsi="宋体"/>
          <w:sz w:val="24"/>
          <w:szCs w:val="24"/>
        </w:rPr>
      </w:pPr>
      <w:r>
        <w:rPr>
          <w:rFonts w:ascii="宋体" w:hAnsi="宋体" w:cs="宋体"/>
          <w:sz w:val="24"/>
          <w:szCs w:val="24"/>
        </w:rPr>
        <w:t>1</w:t>
      </w:r>
      <w:r>
        <w:rPr>
          <w:rFonts w:hint="eastAsia" w:ascii="宋体" w:hAnsi="宋体" w:cs="宋体"/>
          <w:sz w:val="24"/>
          <w:szCs w:val="24"/>
        </w:rPr>
        <w:t>7</w:t>
      </w:r>
      <w:r>
        <w:rPr>
          <w:rFonts w:ascii="宋体" w:hAnsi="宋体" w:cs="宋体"/>
          <w:sz w:val="24"/>
          <w:szCs w:val="24"/>
        </w:rPr>
        <w:t xml:space="preserve">.2 </w:t>
      </w:r>
      <w:r>
        <w:rPr>
          <w:rFonts w:hint="eastAsia" w:ascii="宋体" w:hAnsi="宋体" w:cs="宋体"/>
          <w:sz w:val="24"/>
          <w:szCs w:val="24"/>
        </w:rPr>
        <w:t>投标截止时间后对投标方已提交的投标文件不予退还。</w:t>
      </w:r>
    </w:p>
    <w:p>
      <w:pPr>
        <w:pStyle w:val="31"/>
        <w:tabs>
          <w:tab w:val="left" w:pos="955"/>
        </w:tabs>
        <w:spacing w:after="0" w:line="560" w:lineRule="exact"/>
        <w:ind w:left="1146" w:leftChars="273" w:hanging="573" w:hangingChars="238"/>
        <w:rPr>
          <w:rFonts w:ascii="宋体" w:hAnsi="宋体"/>
          <w:b/>
          <w:bCs/>
          <w:sz w:val="24"/>
          <w:szCs w:val="24"/>
        </w:rPr>
      </w:pPr>
      <w:bookmarkStart w:id="59" w:name="_Toc346372898"/>
      <w:bookmarkStart w:id="60" w:name="_Toc346306751"/>
      <w:bookmarkStart w:id="61" w:name="_Toc352332872"/>
      <w:r>
        <w:rPr>
          <w:rFonts w:ascii="宋体" w:hAnsi="宋体" w:cs="宋体"/>
          <w:b/>
          <w:bCs/>
          <w:sz w:val="24"/>
          <w:szCs w:val="24"/>
        </w:rPr>
        <w:t>1</w:t>
      </w:r>
      <w:r>
        <w:rPr>
          <w:rFonts w:hint="eastAsia" w:ascii="宋体" w:hAnsi="宋体" w:cs="宋体"/>
          <w:b/>
          <w:bCs/>
          <w:sz w:val="24"/>
          <w:szCs w:val="24"/>
        </w:rPr>
        <w:t>8、投标文件修改与撤回</w:t>
      </w:r>
      <w:bookmarkEnd w:id="59"/>
      <w:bookmarkEnd w:id="60"/>
      <w:bookmarkEnd w:id="61"/>
    </w:p>
    <w:p>
      <w:pPr>
        <w:pStyle w:val="31"/>
        <w:spacing w:after="0" w:line="560" w:lineRule="exact"/>
        <w:ind w:firstLine="571" w:firstLineChars="238"/>
        <w:rPr>
          <w:rFonts w:ascii="宋体" w:hAnsi="宋体"/>
          <w:sz w:val="24"/>
          <w:szCs w:val="24"/>
        </w:rPr>
      </w:pPr>
      <w:r>
        <w:rPr>
          <w:rFonts w:ascii="宋体" w:hAnsi="宋体" w:cs="宋体"/>
          <w:sz w:val="24"/>
          <w:szCs w:val="24"/>
        </w:rPr>
        <w:t>1</w:t>
      </w:r>
      <w:r>
        <w:rPr>
          <w:rFonts w:hint="eastAsia" w:ascii="宋体" w:hAnsi="宋体" w:cs="宋体"/>
          <w:sz w:val="24"/>
          <w:szCs w:val="24"/>
        </w:rPr>
        <w:t>8</w:t>
      </w:r>
      <w:r>
        <w:rPr>
          <w:rFonts w:ascii="宋体" w:hAnsi="宋体" w:cs="宋体"/>
          <w:sz w:val="24"/>
          <w:szCs w:val="24"/>
        </w:rPr>
        <w:t>.1</w:t>
      </w:r>
      <w:r>
        <w:rPr>
          <w:rFonts w:hint="eastAsia" w:ascii="宋体" w:hAnsi="宋体" w:cs="宋体"/>
          <w:sz w:val="24"/>
          <w:szCs w:val="24"/>
        </w:rPr>
        <w:t>投标方在招标文件要求提交投标文件的截止时间前，可以修改或者撤回已提交的投标文件，并书面形式通知招标方。</w:t>
      </w:r>
    </w:p>
    <w:p>
      <w:pPr>
        <w:pStyle w:val="31"/>
        <w:spacing w:after="0" w:line="560" w:lineRule="exact"/>
        <w:ind w:firstLine="571" w:firstLineChars="238"/>
        <w:rPr>
          <w:rFonts w:ascii="宋体" w:hAnsi="宋体"/>
          <w:sz w:val="24"/>
          <w:szCs w:val="24"/>
        </w:rPr>
      </w:pPr>
      <w:r>
        <w:rPr>
          <w:rFonts w:ascii="宋体" w:hAnsi="宋体" w:cs="宋体"/>
          <w:sz w:val="24"/>
          <w:szCs w:val="24"/>
        </w:rPr>
        <w:t>1</w:t>
      </w:r>
      <w:r>
        <w:rPr>
          <w:rFonts w:hint="eastAsia" w:ascii="宋体" w:hAnsi="宋体" w:cs="宋体"/>
          <w:sz w:val="24"/>
          <w:szCs w:val="24"/>
        </w:rPr>
        <w:t>8</w:t>
      </w:r>
      <w:r>
        <w:rPr>
          <w:rFonts w:ascii="宋体" w:hAnsi="宋体" w:cs="宋体"/>
          <w:sz w:val="24"/>
          <w:szCs w:val="24"/>
        </w:rPr>
        <w:t xml:space="preserve">.2 </w:t>
      </w:r>
      <w:r>
        <w:rPr>
          <w:rFonts w:hint="eastAsia" w:ascii="宋体" w:hAnsi="宋体" w:cs="宋体"/>
          <w:sz w:val="24"/>
          <w:szCs w:val="24"/>
        </w:rPr>
        <w:t>任何修改内容必须由投标方的法定代表人或其授权代理人签字，不得涂抹。经法定代表人或其授权代理人正式签署的修改文件组成投标文件的一部分，份数和密封要求同投标文件一致。</w:t>
      </w:r>
    </w:p>
    <w:p>
      <w:pPr>
        <w:pStyle w:val="31"/>
        <w:spacing w:after="0" w:line="560" w:lineRule="exact"/>
        <w:ind w:firstLine="571" w:firstLineChars="238"/>
        <w:rPr>
          <w:rFonts w:ascii="宋体" w:hAnsi="宋体"/>
          <w:sz w:val="24"/>
          <w:szCs w:val="24"/>
        </w:rPr>
      </w:pPr>
      <w:r>
        <w:rPr>
          <w:rFonts w:ascii="宋体" w:hAnsi="宋体" w:cs="宋体"/>
          <w:sz w:val="24"/>
          <w:szCs w:val="24"/>
        </w:rPr>
        <w:t>1</w:t>
      </w:r>
      <w:r>
        <w:rPr>
          <w:rFonts w:hint="eastAsia" w:ascii="宋体" w:hAnsi="宋体" w:cs="宋体"/>
          <w:sz w:val="24"/>
          <w:szCs w:val="24"/>
        </w:rPr>
        <w:t>8</w:t>
      </w:r>
      <w:r>
        <w:rPr>
          <w:rFonts w:ascii="宋体" w:hAnsi="宋体" w:cs="宋体"/>
          <w:sz w:val="24"/>
          <w:szCs w:val="24"/>
        </w:rPr>
        <w:t xml:space="preserve">.3 </w:t>
      </w:r>
      <w:r>
        <w:rPr>
          <w:rFonts w:hint="eastAsia" w:ascii="宋体" w:hAnsi="宋体" w:cs="宋体"/>
          <w:sz w:val="24"/>
          <w:szCs w:val="24"/>
        </w:rPr>
        <w:t>投标截止时间后不允许对投标文件做实质性修改。</w:t>
      </w:r>
    </w:p>
    <w:p>
      <w:pPr>
        <w:pStyle w:val="31"/>
        <w:spacing w:after="0" w:line="560" w:lineRule="exact"/>
        <w:ind w:firstLine="571" w:firstLineChars="238"/>
        <w:rPr>
          <w:rFonts w:ascii="宋体" w:hAnsi="宋体"/>
          <w:sz w:val="24"/>
          <w:szCs w:val="24"/>
        </w:rPr>
      </w:pPr>
      <w:r>
        <w:rPr>
          <w:rFonts w:ascii="宋体" w:hAnsi="宋体" w:cs="宋体"/>
          <w:sz w:val="24"/>
          <w:szCs w:val="24"/>
        </w:rPr>
        <w:t>1</w:t>
      </w:r>
      <w:r>
        <w:rPr>
          <w:rFonts w:hint="eastAsia" w:ascii="宋体" w:hAnsi="宋体" w:cs="宋体"/>
          <w:sz w:val="24"/>
          <w:szCs w:val="24"/>
        </w:rPr>
        <w:t>8</w:t>
      </w:r>
      <w:r>
        <w:rPr>
          <w:rFonts w:ascii="宋体" w:hAnsi="宋体" w:cs="宋体"/>
          <w:sz w:val="24"/>
          <w:szCs w:val="24"/>
        </w:rPr>
        <w:t>.4</w:t>
      </w:r>
      <w:r>
        <w:rPr>
          <w:rFonts w:hint="eastAsia" w:ascii="宋体" w:hAnsi="宋体" w:cs="宋体"/>
          <w:sz w:val="24"/>
          <w:szCs w:val="24"/>
        </w:rPr>
        <w:t>投标有效期内不得撤回投标。</w:t>
      </w:r>
    </w:p>
    <w:p>
      <w:pPr>
        <w:pStyle w:val="4"/>
        <w:spacing w:before="120" w:after="120" w:line="360" w:lineRule="exact"/>
        <w:rPr>
          <w:rFonts w:ascii="宋体" w:hAnsi="宋体" w:eastAsia="宋体" w:cs="宋体"/>
          <w:sz w:val="28"/>
          <w:szCs w:val="28"/>
        </w:rPr>
      </w:pPr>
      <w:bookmarkStart w:id="62" w:name="_Toc6385"/>
      <w:r>
        <w:rPr>
          <w:rFonts w:hint="eastAsia" w:ascii="宋体" w:hAnsi="宋体" w:eastAsia="宋体" w:cs="宋体"/>
          <w:sz w:val="28"/>
          <w:szCs w:val="28"/>
        </w:rPr>
        <w:t>五、开标与评标</w:t>
      </w:r>
      <w:bookmarkEnd w:id="62"/>
    </w:p>
    <w:p>
      <w:pPr>
        <w:spacing w:line="460" w:lineRule="exact"/>
        <w:ind w:firstLine="482" w:firstLineChars="200"/>
        <w:rPr>
          <w:rFonts w:ascii="宋体" w:hAnsi="宋体"/>
          <w:b/>
          <w:bCs/>
          <w:sz w:val="24"/>
        </w:rPr>
      </w:pPr>
      <w:bookmarkStart w:id="63" w:name="_Toc212369527"/>
      <w:r>
        <w:rPr>
          <w:rFonts w:hint="eastAsia" w:ascii="宋体" w:hAnsi="宋体" w:cs="宋体"/>
          <w:b/>
          <w:bCs/>
          <w:sz w:val="24"/>
          <w:szCs w:val="24"/>
        </w:rPr>
        <w:t>19、</w:t>
      </w:r>
      <w:r>
        <w:rPr>
          <w:rFonts w:hint="eastAsia" w:ascii="宋体" w:hAnsi="宋体"/>
          <w:b/>
          <w:bCs/>
          <w:sz w:val="24"/>
        </w:rPr>
        <w:t>开标</w:t>
      </w:r>
      <w:bookmarkEnd w:id="63"/>
    </w:p>
    <w:p>
      <w:pPr>
        <w:pStyle w:val="31"/>
        <w:adjustRightInd w:val="0"/>
        <w:snapToGrid w:val="0"/>
        <w:spacing w:before="72" w:beforeLines="30" w:after="50" w:line="460" w:lineRule="exact"/>
        <w:ind w:firstLine="480" w:firstLineChars="200"/>
        <w:rPr>
          <w:rFonts w:ascii="宋体" w:hAnsi="宋体"/>
          <w:sz w:val="24"/>
        </w:rPr>
      </w:pPr>
      <w:r>
        <w:rPr>
          <w:rFonts w:hint="eastAsia" w:ascii="宋体" w:hAnsi="宋体"/>
          <w:sz w:val="24"/>
        </w:rPr>
        <w:t>19</w:t>
      </w:r>
      <w:r>
        <w:rPr>
          <w:rFonts w:ascii="宋体" w:hAnsi="宋体"/>
          <w:sz w:val="24"/>
        </w:rPr>
        <w:t>.1</w:t>
      </w:r>
      <w:r>
        <w:rPr>
          <w:rFonts w:hint="eastAsia" w:ascii="宋体" w:hAnsi="宋体"/>
          <w:sz w:val="24"/>
        </w:rPr>
        <w:t>本次招标的开标、评标由招标方依法组织实施。</w:t>
      </w:r>
    </w:p>
    <w:p>
      <w:pPr>
        <w:pStyle w:val="31"/>
        <w:adjustRightInd w:val="0"/>
        <w:snapToGrid w:val="0"/>
        <w:spacing w:before="72" w:beforeLines="30" w:after="50" w:line="460" w:lineRule="exact"/>
        <w:ind w:firstLine="480" w:firstLineChars="200"/>
        <w:rPr>
          <w:rFonts w:ascii="宋体" w:hAnsi="宋体"/>
          <w:sz w:val="24"/>
        </w:rPr>
      </w:pPr>
      <w:r>
        <w:rPr>
          <w:rFonts w:hint="eastAsia" w:ascii="宋体" w:hAnsi="宋体"/>
          <w:sz w:val="24"/>
        </w:rPr>
        <w:t>19.2本项目开标时间和地点见投标方须知前附表。开标会议由招标方组织并主持。招标方和招标方邀请各投标方派遣人员参加开标会议。投标方未参加开标的，视同认可开标结果。</w:t>
      </w:r>
    </w:p>
    <w:p>
      <w:pPr>
        <w:pStyle w:val="31"/>
        <w:adjustRightInd w:val="0"/>
        <w:snapToGrid w:val="0"/>
        <w:spacing w:before="72" w:beforeLines="30" w:after="50" w:line="460" w:lineRule="exact"/>
        <w:ind w:firstLine="480" w:firstLineChars="200"/>
        <w:rPr>
          <w:rFonts w:ascii="宋体" w:hAnsi="宋体"/>
          <w:sz w:val="24"/>
        </w:rPr>
      </w:pPr>
      <w:r>
        <w:rPr>
          <w:rFonts w:hint="eastAsia" w:ascii="宋体" w:hAnsi="宋体"/>
          <w:sz w:val="24"/>
        </w:rPr>
        <w:t>19</w:t>
      </w:r>
      <w:r>
        <w:rPr>
          <w:rFonts w:ascii="宋体" w:hAnsi="宋体"/>
          <w:sz w:val="24"/>
        </w:rPr>
        <w:t>.</w:t>
      </w:r>
      <w:r>
        <w:rPr>
          <w:rFonts w:hint="eastAsia" w:ascii="宋体" w:hAnsi="宋体"/>
          <w:sz w:val="24"/>
        </w:rPr>
        <w:t>3开标程序</w:t>
      </w:r>
    </w:p>
    <w:p>
      <w:pPr>
        <w:pStyle w:val="31"/>
        <w:adjustRightInd w:val="0"/>
        <w:snapToGrid w:val="0"/>
        <w:spacing w:before="72" w:beforeLines="30" w:after="50" w:line="460" w:lineRule="exact"/>
        <w:ind w:firstLine="480" w:firstLineChars="200"/>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）投标方和评监标人员签到。</w:t>
      </w:r>
    </w:p>
    <w:p>
      <w:pPr>
        <w:autoSpaceDE w:val="0"/>
        <w:autoSpaceDN w:val="0"/>
        <w:adjustRightInd w:val="0"/>
        <w:spacing w:line="460" w:lineRule="exact"/>
        <w:ind w:firstLine="480" w:firstLineChars="200"/>
        <w:jc w:val="left"/>
        <w:rPr>
          <w:rFonts w:ascii="宋体" w:hAnsi="宋体"/>
          <w:kern w:val="0"/>
          <w:sz w:val="24"/>
        </w:rPr>
      </w:pPr>
      <w:bookmarkStart w:id="64" w:name="_Toc92678127"/>
      <w:r>
        <w:rPr>
          <w:rFonts w:hint="eastAsia" w:ascii="宋体" w:hAnsi="宋体"/>
          <w:kern w:val="0"/>
          <w:sz w:val="24"/>
        </w:rPr>
        <w:t>（2）宣布开标会议开始并宣读开标纪律。</w:t>
      </w:r>
    </w:p>
    <w:p>
      <w:pPr>
        <w:autoSpaceDE w:val="0"/>
        <w:autoSpaceDN w:val="0"/>
        <w:adjustRightInd w:val="0"/>
        <w:spacing w:line="460" w:lineRule="exact"/>
        <w:ind w:firstLine="480" w:firstLineChars="200"/>
        <w:jc w:val="left"/>
        <w:rPr>
          <w:rFonts w:ascii="宋体" w:hAnsi="宋体"/>
          <w:kern w:val="0"/>
          <w:sz w:val="24"/>
        </w:rPr>
      </w:pPr>
      <w:r>
        <w:rPr>
          <w:rFonts w:hint="eastAsia" w:ascii="宋体" w:hAnsi="宋体"/>
          <w:kern w:val="0"/>
          <w:sz w:val="24"/>
        </w:rPr>
        <w:t>（3）介绍与会人员。</w:t>
      </w:r>
    </w:p>
    <w:p>
      <w:pPr>
        <w:autoSpaceDE w:val="0"/>
        <w:autoSpaceDN w:val="0"/>
        <w:adjustRightInd w:val="0"/>
        <w:spacing w:line="460" w:lineRule="exact"/>
        <w:ind w:firstLine="480" w:firstLineChars="200"/>
        <w:jc w:val="left"/>
        <w:rPr>
          <w:rFonts w:ascii="宋体" w:hAnsi="宋体"/>
          <w:kern w:val="0"/>
          <w:sz w:val="24"/>
        </w:rPr>
      </w:pPr>
      <w:r>
        <w:rPr>
          <w:rFonts w:hint="eastAsia" w:ascii="宋体" w:hAnsi="宋体"/>
          <w:kern w:val="0"/>
          <w:sz w:val="24"/>
        </w:rPr>
        <w:t>（4）投标方或投标方推选的代表对投标文件密封情况进行检查（投标方未参加开标会议的，视同认可投标文件密封完好）。</w:t>
      </w:r>
    </w:p>
    <w:p>
      <w:pPr>
        <w:autoSpaceDE w:val="0"/>
        <w:autoSpaceDN w:val="0"/>
        <w:adjustRightInd w:val="0"/>
        <w:spacing w:line="460" w:lineRule="exact"/>
        <w:ind w:firstLine="480" w:firstLineChars="200"/>
        <w:jc w:val="left"/>
        <w:rPr>
          <w:rFonts w:ascii="宋体" w:hAnsi="宋体"/>
          <w:kern w:val="0"/>
          <w:sz w:val="24"/>
        </w:rPr>
      </w:pPr>
      <w:r>
        <w:rPr>
          <w:rFonts w:hint="eastAsia" w:ascii="宋体" w:hAnsi="宋体"/>
          <w:kern w:val="0"/>
          <w:sz w:val="24"/>
        </w:rPr>
        <w:t>（5）经确认无误后，由工作人员当众拆封，核验投标方资格证件，内容详见投标方须知前附表及投标文件编写资格证件部分。</w:t>
      </w:r>
    </w:p>
    <w:p>
      <w:pPr>
        <w:autoSpaceDE w:val="0"/>
        <w:autoSpaceDN w:val="0"/>
        <w:adjustRightInd w:val="0"/>
        <w:spacing w:line="460" w:lineRule="exact"/>
        <w:ind w:firstLine="480" w:firstLineChars="200"/>
        <w:jc w:val="left"/>
        <w:rPr>
          <w:rFonts w:ascii="宋体" w:hAnsi="宋体"/>
          <w:kern w:val="0"/>
          <w:sz w:val="24"/>
        </w:rPr>
      </w:pPr>
      <w:r>
        <w:rPr>
          <w:rFonts w:hint="eastAsia" w:ascii="宋体" w:hAnsi="宋体"/>
          <w:kern w:val="0"/>
          <w:sz w:val="24"/>
        </w:rPr>
        <w:t>（6）各投标方抽签，按抽签顺序开技术标，未开标的投标方去休息区等候进场。</w:t>
      </w:r>
    </w:p>
    <w:p>
      <w:pPr>
        <w:autoSpaceDE w:val="0"/>
        <w:autoSpaceDN w:val="0"/>
        <w:adjustRightInd w:val="0"/>
        <w:spacing w:line="460" w:lineRule="exact"/>
        <w:ind w:firstLine="480" w:firstLineChars="200"/>
        <w:jc w:val="left"/>
        <w:rPr>
          <w:rFonts w:ascii="宋体" w:hAnsi="宋体"/>
          <w:kern w:val="0"/>
          <w:sz w:val="24"/>
        </w:rPr>
      </w:pPr>
      <w:r>
        <w:rPr>
          <w:rFonts w:hint="eastAsia" w:ascii="宋体" w:hAnsi="宋体"/>
          <w:kern w:val="0"/>
          <w:sz w:val="24"/>
        </w:rPr>
        <w:t>（7）技术标开完之后所有投标方离场，专家打分，推荐进入下一轮的投标方。</w:t>
      </w:r>
    </w:p>
    <w:p>
      <w:pPr>
        <w:autoSpaceDE w:val="0"/>
        <w:autoSpaceDN w:val="0"/>
        <w:adjustRightInd w:val="0"/>
        <w:spacing w:line="460" w:lineRule="exact"/>
        <w:ind w:firstLine="480" w:firstLineChars="200"/>
        <w:jc w:val="left"/>
        <w:rPr>
          <w:rFonts w:ascii="宋体" w:hAnsi="宋体"/>
          <w:kern w:val="0"/>
          <w:sz w:val="24"/>
        </w:rPr>
      </w:pPr>
      <w:r>
        <w:rPr>
          <w:rFonts w:hint="eastAsia" w:ascii="宋体" w:hAnsi="宋体"/>
          <w:kern w:val="0"/>
          <w:sz w:val="24"/>
        </w:rPr>
        <w:t>（8）所有投标方进场，工作人员当众唱标，按照抽签顺序开商务标。</w:t>
      </w:r>
    </w:p>
    <w:p>
      <w:pPr>
        <w:autoSpaceDE w:val="0"/>
        <w:autoSpaceDN w:val="0"/>
        <w:adjustRightInd w:val="0"/>
        <w:spacing w:line="460" w:lineRule="exact"/>
        <w:ind w:firstLine="480" w:firstLineChars="200"/>
        <w:jc w:val="left"/>
        <w:rPr>
          <w:rFonts w:ascii="宋体" w:hAnsi="宋体"/>
          <w:kern w:val="0"/>
          <w:sz w:val="24"/>
        </w:rPr>
      </w:pPr>
      <w:r>
        <w:rPr>
          <w:rFonts w:hint="eastAsia" w:ascii="宋体" w:hAnsi="宋体"/>
          <w:kern w:val="0"/>
          <w:sz w:val="24"/>
        </w:rPr>
        <w:t>（9）开标完毕，进入谈判阶段。</w:t>
      </w:r>
    </w:p>
    <w:p>
      <w:pPr>
        <w:spacing w:line="460" w:lineRule="exact"/>
        <w:ind w:firstLine="482" w:firstLineChars="200"/>
        <w:rPr>
          <w:rFonts w:ascii="宋体" w:hAnsi="宋体"/>
          <w:b/>
          <w:bCs/>
          <w:sz w:val="24"/>
        </w:rPr>
      </w:pPr>
      <w:r>
        <w:rPr>
          <w:rFonts w:hint="eastAsia" w:ascii="宋体" w:hAnsi="宋体"/>
          <w:b/>
          <w:bCs/>
          <w:sz w:val="24"/>
        </w:rPr>
        <w:t>20、评标委员会</w:t>
      </w:r>
      <w:bookmarkEnd w:id="64"/>
    </w:p>
    <w:p>
      <w:pPr>
        <w:pStyle w:val="31"/>
        <w:adjustRightInd w:val="0"/>
        <w:snapToGrid w:val="0"/>
        <w:spacing w:before="72" w:beforeLines="30" w:after="50" w:line="460" w:lineRule="exact"/>
        <w:ind w:firstLine="480" w:firstLineChars="200"/>
        <w:rPr>
          <w:rFonts w:ascii="宋体" w:hAnsi="宋体"/>
          <w:sz w:val="24"/>
        </w:rPr>
      </w:pPr>
      <w:r>
        <w:rPr>
          <w:rFonts w:hint="eastAsia" w:ascii="宋体" w:hAnsi="宋体"/>
          <w:sz w:val="24"/>
        </w:rPr>
        <w:t>评标委员会的组成见投标方须知前附表，评标委员会负责对投标文件进行审查、质疑、评标，汇总专家意见，并向招标方推荐中标候选人排序名单。</w:t>
      </w:r>
    </w:p>
    <w:p>
      <w:pPr>
        <w:spacing w:line="460" w:lineRule="exact"/>
        <w:ind w:firstLine="482" w:firstLineChars="200"/>
        <w:rPr>
          <w:rFonts w:ascii="宋体" w:hAnsi="宋体"/>
          <w:b/>
          <w:bCs/>
          <w:sz w:val="24"/>
        </w:rPr>
      </w:pPr>
      <w:bookmarkStart w:id="65" w:name="_Toc92678128"/>
      <w:bookmarkStart w:id="66" w:name="_Toc212369528"/>
      <w:r>
        <w:rPr>
          <w:rFonts w:hint="eastAsia" w:ascii="宋体" w:hAnsi="宋体"/>
          <w:b/>
          <w:bCs/>
          <w:sz w:val="24"/>
        </w:rPr>
        <w:t>21、评标原则</w:t>
      </w:r>
      <w:bookmarkEnd w:id="65"/>
      <w:bookmarkEnd w:id="66"/>
    </w:p>
    <w:p>
      <w:pPr>
        <w:spacing w:line="460" w:lineRule="exact"/>
        <w:ind w:firstLine="480" w:firstLineChars="200"/>
        <w:rPr>
          <w:rFonts w:ascii="宋体" w:hAnsi="宋体"/>
          <w:sz w:val="24"/>
        </w:rPr>
      </w:pPr>
      <w:bookmarkStart w:id="67" w:name="_Toc212369529"/>
      <w:r>
        <w:rPr>
          <w:rFonts w:hint="eastAsia" w:ascii="宋体" w:hAnsi="宋体"/>
          <w:sz w:val="24"/>
        </w:rPr>
        <w:t>“公平、公正、科学、择优”为本次评标的基本原则，评标委员会按照这一原则的要求，公正、平等地对待各投标方。同时，在评标过程中恪守以下原则：</w:t>
      </w:r>
      <w:bookmarkEnd w:id="67"/>
    </w:p>
    <w:p>
      <w:pPr>
        <w:pStyle w:val="31"/>
        <w:adjustRightInd w:val="0"/>
        <w:snapToGrid w:val="0"/>
        <w:spacing w:before="72" w:beforeLines="30" w:after="50" w:line="460" w:lineRule="exact"/>
        <w:ind w:firstLine="480" w:firstLineChars="200"/>
        <w:rPr>
          <w:rFonts w:ascii="宋体" w:hAnsi="宋体"/>
          <w:sz w:val="24"/>
        </w:rPr>
      </w:pPr>
      <w:r>
        <w:rPr>
          <w:rFonts w:hint="eastAsia" w:ascii="宋体" w:hAnsi="宋体"/>
          <w:sz w:val="24"/>
        </w:rPr>
        <w:t>21.1 客观性原则：评标委员会将严格按照招标文件要求的内容，对投标方的投标文件进行认真评审；评标委员会对投标文件的评审仅依据投标文件本身，而不依靠投标文件以外的任何因素；</w:t>
      </w:r>
    </w:p>
    <w:p>
      <w:pPr>
        <w:pStyle w:val="31"/>
        <w:adjustRightInd w:val="0"/>
        <w:snapToGrid w:val="0"/>
        <w:spacing w:before="72" w:beforeLines="30" w:after="50" w:line="460" w:lineRule="exact"/>
        <w:ind w:firstLine="480" w:firstLineChars="200"/>
        <w:rPr>
          <w:rFonts w:ascii="宋体" w:hAnsi="宋体"/>
          <w:sz w:val="24"/>
        </w:rPr>
      </w:pPr>
      <w:r>
        <w:rPr>
          <w:rFonts w:hint="eastAsia" w:ascii="宋体" w:hAnsi="宋体"/>
          <w:sz w:val="24"/>
        </w:rPr>
        <w:t>21.2统一性原则：评标委员会将按照统一的评标原则和评标办法，用同一标准进行评审。</w:t>
      </w:r>
    </w:p>
    <w:p>
      <w:pPr>
        <w:pStyle w:val="31"/>
        <w:adjustRightInd w:val="0"/>
        <w:snapToGrid w:val="0"/>
        <w:spacing w:before="72" w:beforeLines="30" w:after="50" w:line="460" w:lineRule="exact"/>
        <w:ind w:firstLine="480" w:firstLineChars="200"/>
        <w:rPr>
          <w:rFonts w:ascii="宋体" w:hAnsi="宋体"/>
          <w:sz w:val="24"/>
        </w:rPr>
      </w:pPr>
      <w:r>
        <w:rPr>
          <w:rFonts w:hint="eastAsia" w:ascii="宋体" w:hAnsi="宋体"/>
          <w:sz w:val="24"/>
        </w:rPr>
        <w:t>21.3独立性原则：评标工作在评标委员会内部独立进行，不受外界任何因素的干扰和影响。评标委员会成员对出具的评审意见承担个人责任。</w:t>
      </w:r>
    </w:p>
    <w:p>
      <w:pPr>
        <w:pStyle w:val="31"/>
        <w:adjustRightInd w:val="0"/>
        <w:snapToGrid w:val="0"/>
        <w:spacing w:before="72" w:beforeLines="30" w:after="50" w:line="460" w:lineRule="exact"/>
        <w:ind w:firstLine="480" w:firstLineChars="200"/>
        <w:rPr>
          <w:rFonts w:ascii="宋体" w:hAnsi="宋体"/>
          <w:spacing w:val="-2"/>
          <w:sz w:val="24"/>
        </w:rPr>
      </w:pPr>
      <w:r>
        <w:rPr>
          <w:rFonts w:hint="eastAsia" w:ascii="宋体" w:hAnsi="宋体"/>
          <w:sz w:val="24"/>
        </w:rPr>
        <w:t>21.4保密性原则：招标方应当采取必要的措施，保证评标在严格保密的情况下进行。</w:t>
      </w:r>
    </w:p>
    <w:p>
      <w:pPr>
        <w:pStyle w:val="31"/>
        <w:adjustRightInd w:val="0"/>
        <w:snapToGrid w:val="0"/>
        <w:spacing w:before="72" w:beforeLines="30" w:after="50" w:line="460" w:lineRule="exact"/>
        <w:ind w:firstLine="480" w:firstLineChars="200"/>
        <w:rPr>
          <w:rFonts w:ascii="宋体" w:hAnsi="宋体"/>
          <w:sz w:val="24"/>
        </w:rPr>
      </w:pPr>
      <w:r>
        <w:rPr>
          <w:rFonts w:hint="eastAsia" w:ascii="宋体" w:hAnsi="宋体"/>
          <w:sz w:val="24"/>
        </w:rPr>
        <w:t>21.5 综合性原则：评标委员会将综合分析、评审投标方的各项指标，而不以单项指标的优劣评定出中标人。</w:t>
      </w:r>
    </w:p>
    <w:p>
      <w:pPr>
        <w:pStyle w:val="4"/>
        <w:spacing w:before="120" w:after="120" w:line="360" w:lineRule="exact"/>
        <w:rPr>
          <w:rFonts w:ascii="宋体" w:hAnsi="宋体" w:eastAsia="宋体" w:cs="宋体"/>
          <w:sz w:val="28"/>
          <w:szCs w:val="28"/>
        </w:rPr>
      </w:pPr>
      <w:bookmarkStart w:id="68" w:name="_Toc19661"/>
      <w:r>
        <w:rPr>
          <w:rFonts w:hint="eastAsia" w:ascii="宋体" w:hAnsi="宋体" w:eastAsia="宋体" w:cs="宋体"/>
          <w:sz w:val="28"/>
          <w:szCs w:val="28"/>
        </w:rPr>
        <w:t>六、授予合同</w:t>
      </w:r>
      <w:bookmarkEnd w:id="68"/>
    </w:p>
    <w:p>
      <w:pPr>
        <w:spacing w:line="360" w:lineRule="auto"/>
        <w:ind w:firstLine="488" w:firstLineChars="196"/>
        <w:rPr>
          <w:rFonts w:ascii="宋体" w:hAnsi="宋体"/>
          <w:b/>
          <w:spacing w:val="4"/>
          <w:sz w:val="24"/>
        </w:rPr>
      </w:pPr>
      <w:r>
        <w:rPr>
          <w:rFonts w:hint="eastAsia" w:ascii="宋体" w:hAnsi="宋体"/>
          <w:b/>
          <w:spacing w:val="4"/>
          <w:sz w:val="24"/>
        </w:rPr>
        <w:t>22、定标</w:t>
      </w:r>
    </w:p>
    <w:p>
      <w:pPr>
        <w:spacing w:line="360" w:lineRule="auto"/>
        <w:ind w:firstLine="496" w:firstLineChars="200"/>
        <w:rPr>
          <w:rFonts w:ascii="宋体" w:hAnsi="宋体"/>
          <w:spacing w:val="4"/>
          <w:sz w:val="24"/>
        </w:rPr>
      </w:pPr>
      <w:r>
        <w:rPr>
          <w:rFonts w:hint="eastAsia" w:ascii="宋体" w:hAnsi="宋体"/>
          <w:spacing w:val="4"/>
          <w:sz w:val="24"/>
        </w:rPr>
        <w:t>22.1招标方对评标委员会推荐的中标候选人进行资质审查。</w:t>
      </w:r>
    </w:p>
    <w:p>
      <w:pPr>
        <w:spacing w:line="360" w:lineRule="auto"/>
        <w:ind w:firstLine="496" w:firstLineChars="200"/>
        <w:rPr>
          <w:rFonts w:ascii="宋体" w:hAnsi="宋体"/>
          <w:spacing w:val="4"/>
          <w:sz w:val="24"/>
        </w:rPr>
      </w:pPr>
      <w:r>
        <w:rPr>
          <w:rFonts w:hint="eastAsia" w:ascii="宋体" w:hAnsi="宋体"/>
          <w:spacing w:val="4"/>
          <w:sz w:val="24"/>
        </w:rPr>
        <w:t>22.2最终审查的对象是招标项目的中标候选人。</w:t>
      </w:r>
    </w:p>
    <w:p>
      <w:pPr>
        <w:spacing w:line="360" w:lineRule="auto"/>
        <w:ind w:left="124" w:leftChars="59" w:firstLine="372" w:firstLineChars="150"/>
        <w:rPr>
          <w:rFonts w:ascii="宋体" w:hAnsi="宋体"/>
          <w:spacing w:val="4"/>
          <w:sz w:val="24"/>
        </w:rPr>
      </w:pPr>
      <w:r>
        <w:rPr>
          <w:rFonts w:hint="eastAsia" w:ascii="宋体" w:hAnsi="宋体"/>
          <w:spacing w:val="4"/>
          <w:sz w:val="24"/>
        </w:rPr>
        <w:t>22.3最终审查的内容是对中标候选人所报货物的产品性能及性价比、安装方案、调试方案、技术状况、生产条件、产品质量、交付时间、投标方信誉以及招标方认为有必要了解的其它问题作进一步的审查或了解。</w:t>
      </w:r>
    </w:p>
    <w:p>
      <w:pPr>
        <w:spacing w:line="360" w:lineRule="auto"/>
        <w:ind w:firstLine="496" w:firstLineChars="200"/>
        <w:rPr>
          <w:rFonts w:ascii="宋体" w:hAnsi="宋体"/>
          <w:spacing w:val="4"/>
          <w:sz w:val="24"/>
        </w:rPr>
      </w:pPr>
      <w:r>
        <w:rPr>
          <w:rFonts w:hint="eastAsia" w:ascii="宋体" w:hAnsi="宋体"/>
          <w:spacing w:val="4"/>
          <w:sz w:val="24"/>
        </w:rPr>
        <w:t>22.4通过对中标候选人的最终审查确定中标人。</w:t>
      </w:r>
    </w:p>
    <w:p>
      <w:pPr>
        <w:spacing w:line="360" w:lineRule="auto"/>
        <w:ind w:firstLine="498" w:firstLineChars="200"/>
        <w:rPr>
          <w:rFonts w:ascii="宋体" w:hAnsi="宋体"/>
          <w:b/>
          <w:spacing w:val="4"/>
          <w:sz w:val="24"/>
        </w:rPr>
      </w:pPr>
      <w:r>
        <w:rPr>
          <w:rFonts w:hint="eastAsia" w:ascii="宋体" w:hAnsi="宋体"/>
          <w:b/>
          <w:spacing w:val="4"/>
          <w:sz w:val="24"/>
        </w:rPr>
        <w:t>23、招标方在授标时有变更数量的权利。</w:t>
      </w:r>
    </w:p>
    <w:p>
      <w:pPr>
        <w:pStyle w:val="26"/>
        <w:spacing w:after="0" w:line="360" w:lineRule="auto"/>
        <w:ind w:firstLine="496" w:firstLineChars="200"/>
        <w:jc w:val="both"/>
        <w:rPr>
          <w:rFonts w:ascii="宋体" w:hAnsi="宋体"/>
          <w:spacing w:val="4"/>
          <w:sz w:val="24"/>
        </w:rPr>
      </w:pPr>
      <w:r>
        <w:rPr>
          <w:rFonts w:hint="eastAsia" w:ascii="宋体" w:hAnsi="宋体"/>
          <w:spacing w:val="4"/>
          <w:sz w:val="24"/>
        </w:rPr>
        <w:t>在向投标方授予中标通知书时，</w:t>
      </w:r>
      <w:r>
        <w:rPr>
          <w:rFonts w:hint="eastAsia" w:ascii="宋体" w:hAnsi="宋体"/>
          <w:b/>
          <w:bCs/>
          <w:spacing w:val="4"/>
          <w:sz w:val="24"/>
          <w:u w:val="single"/>
        </w:rPr>
        <w:t>在保证采购设备规格型号不变的前提下招标方有变更数量的权利</w:t>
      </w:r>
      <w:r>
        <w:rPr>
          <w:rFonts w:hint="eastAsia" w:ascii="宋体" w:hAnsi="宋体"/>
          <w:spacing w:val="4"/>
          <w:sz w:val="24"/>
        </w:rPr>
        <w:t>。</w:t>
      </w:r>
    </w:p>
    <w:p>
      <w:pPr>
        <w:spacing w:line="360" w:lineRule="auto"/>
        <w:ind w:firstLine="498" w:firstLineChars="200"/>
        <w:rPr>
          <w:rFonts w:ascii="宋体" w:hAnsi="宋体"/>
          <w:b/>
          <w:spacing w:val="4"/>
          <w:sz w:val="24"/>
        </w:rPr>
      </w:pPr>
      <w:r>
        <w:rPr>
          <w:rFonts w:hint="eastAsia" w:ascii="宋体" w:hAnsi="宋体"/>
          <w:b/>
          <w:spacing w:val="4"/>
          <w:sz w:val="24"/>
        </w:rPr>
        <w:t>24、招标方接受和拒绝任何一个或所有投标的权利</w:t>
      </w:r>
    </w:p>
    <w:p>
      <w:pPr>
        <w:spacing w:line="360" w:lineRule="auto"/>
        <w:ind w:firstLine="496" w:firstLineChars="200"/>
        <w:rPr>
          <w:rFonts w:ascii="宋体" w:hAnsi="宋体"/>
          <w:spacing w:val="4"/>
          <w:sz w:val="24"/>
          <w:u w:val="single"/>
        </w:rPr>
      </w:pPr>
      <w:r>
        <w:rPr>
          <w:rFonts w:hint="eastAsia" w:ascii="宋体" w:hAnsi="宋体"/>
          <w:spacing w:val="4"/>
          <w:sz w:val="24"/>
          <w:u w:val="single"/>
        </w:rPr>
        <w:t>招标方在中标通知书发出之前任何时候仍有选择或拒绝任何投标方中标或宣布招标无效的权利。对受影响的投标方不承担任何责任，也无义务向受影响的投标方解释采取这一行动的理由。</w:t>
      </w:r>
    </w:p>
    <w:p>
      <w:pPr>
        <w:spacing w:line="360" w:lineRule="auto"/>
        <w:ind w:firstLine="496" w:firstLineChars="200"/>
        <w:rPr>
          <w:rFonts w:ascii="宋体" w:hAnsi="宋体"/>
          <w:spacing w:val="4"/>
          <w:sz w:val="24"/>
          <w:u w:val="single"/>
        </w:rPr>
      </w:pPr>
      <w:r>
        <w:rPr>
          <w:rFonts w:hint="eastAsia" w:ascii="宋体" w:hAnsi="宋体"/>
          <w:spacing w:val="4"/>
          <w:sz w:val="24"/>
          <w:u w:val="single"/>
        </w:rPr>
        <w:t>无论基于何种原因，各项目应作为拒绝处理的情形即便未被及时发现而使该中标人通过了资格审核、初评、现场复审、终评或其他所有相关程序，包括已签订合同的情形，招标人有权取消中标人资格，一旦中标人被拒绝或该中标人此前的评议结果被取消，相关的一切损失均由该中标人承担。</w:t>
      </w:r>
    </w:p>
    <w:p>
      <w:pPr>
        <w:spacing w:line="360" w:lineRule="auto"/>
        <w:ind w:firstLine="498" w:firstLineChars="200"/>
        <w:rPr>
          <w:rFonts w:ascii="宋体" w:hAnsi="宋体"/>
          <w:b/>
          <w:spacing w:val="4"/>
          <w:sz w:val="24"/>
        </w:rPr>
      </w:pPr>
      <w:r>
        <w:rPr>
          <w:rFonts w:hint="eastAsia" w:ascii="宋体" w:hAnsi="宋体"/>
          <w:b/>
          <w:spacing w:val="4"/>
          <w:sz w:val="24"/>
        </w:rPr>
        <w:t>25、中标通知</w:t>
      </w:r>
    </w:p>
    <w:p>
      <w:pPr>
        <w:spacing w:line="360" w:lineRule="auto"/>
        <w:ind w:firstLine="496" w:firstLineChars="200"/>
        <w:rPr>
          <w:rFonts w:ascii="宋体" w:hAnsi="宋体" w:cs="宋体"/>
          <w:sz w:val="24"/>
        </w:rPr>
      </w:pPr>
      <w:r>
        <w:rPr>
          <w:rFonts w:hint="eastAsia" w:ascii="宋体" w:hAnsi="宋体"/>
          <w:spacing w:val="4"/>
          <w:sz w:val="24"/>
        </w:rPr>
        <w:t>25.1</w:t>
      </w:r>
      <w:r>
        <w:rPr>
          <w:rFonts w:hint="eastAsia" w:ascii="宋体" w:hAnsi="宋体" w:cs="宋体"/>
          <w:sz w:val="24"/>
        </w:rPr>
        <w:t>确定中标结果后，招标方向中标人签发《中标通知书》。</w:t>
      </w:r>
    </w:p>
    <w:p>
      <w:pPr>
        <w:spacing w:line="360" w:lineRule="auto"/>
        <w:ind w:firstLine="496" w:firstLineChars="200"/>
        <w:rPr>
          <w:rFonts w:ascii="宋体" w:hAnsi="宋体"/>
          <w:spacing w:val="4"/>
          <w:sz w:val="24"/>
        </w:rPr>
      </w:pPr>
      <w:r>
        <w:rPr>
          <w:rFonts w:hint="eastAsia" w:ascii="宋体" w:hAnsi="宋体"/>
          <w:spacing w:val="4"/>
          <w:sz w:val="24"/>
        </w:rPr>
        <w:t>25.2中标通知书将是合同的组成部分。</w:t>
      </w:r>
    </w:p>
    <w:p>
      <w:pPr>
        <w:spacing w:line="360" w:lineRule="auto"/>
        <w:ind w:firstLine="496" w:firstLineChars="200"/>
        <w:rPr>
          <w:rFonts w:ascii="宋体" w:hAnsi="宋体"/>
          <w:spacing w:val="4"/>
          <w:sz w:val="24"/>
        </w:rPr>
      </w:pPr>
      <w:r>
        <w:rPr>
          <w:rFonts w:hint="eastAsia" w:ascii="宋体" w:hAnsi="宋体"/>
          <w:spacing w:val="4"/>
          <w:sz w:val="24"/>
        </w:rPr>
        <w:t>25.3如投标人中标后悔标，招标方将取消该投标人本次中标资格，给招标人造成损失的，招标人有索赔的权利，投标人应予以赔偿。</w:t>
      </w:r>
    </w:p>
    <w:p>
      <w:pPr>
        <w:spacing w:line="360" w:lineRule="auto"/>
        <w:ind w:firstLine="498" w:firstLineChars="200"/>
        <w:rPr>
          <w:rFonts w:ascii="宋体" w:hAnsi="宋体"/>
          <w:b/>
          <w:spacing w:val="4"/>
          <w:sz w:val="24"/>
        </w:rPr>
      </w:pPr>
      <w:r>
        <w:rPr>
          <w:rFonts w:hint="eastAsia" w:ascii="宋体" w:hAnsi="宋体"/>
          <w:b/>
          <w:spacing w:val="4"/>
          <w:sz w:val="24"/>
        </w:rPr>
        <w:t>26、签订合同</w:t>
      </w:r>
    </w:p>
    <w:p>
      <w:pPr>
        <w:spacing w:line="360" w:lineRule="auto"/>
        <w:ind w:firstLine="496" w:firstLineChars="200"/>
        <w:rPr>
          <w:rFonts w:hint="eastAsia" w:ascii="宋体" w:hAnsi="宋体"/>
          <w:spacing w:val="4"/>
          <w:sz w:val="24"/>
        </w:rPr>
      </w:pPr>
      <w:r>
        <w:rPr>
          <w:rFonts w:hint="eastAsia" w:ascii="宋体" w:hAnsi="宋体"/>
          <w:spacing w:val="4"/>
          <w:sz w:val="24"/>
        </w:rPr>
        <w:t>26.1中标方应按中标通知书中规定的时间、地点与招标方签订中标经济合同，否则按开标后撤回投标处理。</w:t>
      </w:r>
    </w:p>
    <w:p>
      <w:pPr>
        <w:spacing w:line="360" w:lineRule="auto"/>
        <w:ind w:firstLine="496" w:firstLineChars="200"/>
        <w:rPr>
          <w:rFonts w:hint="eastAsia" w:ascii="宋体" w:hAnsi="宋体"/>
          <w:spacing w:val="4"/>
          <w:sz w:val="24"/>
        </w:rPr>
      </w:pPr>
      <w:r>
        <w:rPr>
          <w:rFonts w:hint="eastAsia" w:ascii="宋体" w:hAnsi="宋体"/>
          <w:spacing w:val="4"/>
          <w:sz w:val="24"/>
        </w:rPr>
        <w:t>26.2招标文件、中标方的投标文件及评标过程中有关澄清文件均应作为合同附件。</w:t>
      </w:r>
    </w:p>
    <w:p>
      <w:pPr>
        <w:spacing w:line="360" w:lineRule="auto"/>
        <w:ind w:firstLine="496" w:firstLineChars="200"/>
        <w:rPr>
          <w:rFonts w:hint="eastAsia" w:ascii="宋体" w:hAnsi="宋体"/>
          <w:spacing w:val="4"/>
          <w:sz w:val="24"/>
        </w:rPr>
      </w:pPr>
      <w:r>
        <w:rPr>
          <w:rFonts w:hint="eastAsia" w:ascii="宋体" w:hAnsi="宋体"/>
          <w:spacing w:val="4"/>
          <w:sz w:val="24"/>
        </w:rPr>
        <w:t>26.3合同以双方最终签署的版本为准。</w:t>
      </w:r>
    </w:p>
    <w:p>
      <w:pPr>
        <w:numPr>
          <w:ilvl w:val="0"/>
          <w:numId w:val="0"/>
        </w:numPr>
        <w:spacing w:line="360" w:lineRule="auto"/>
        <w:ind w:firstLine="498" w:firstLineChars="200"/>
        <w:rPr>
          <w:rFonts w:hint="eastAsia" w:ascii="宋体" w:hAnsi="宋体"/>
          <w:b/>
          <w:bCs w:val="0"/>
          <w:spacing w:val="4"/>
          <w:sz w:val="24"/>
          <w:highlight w:val="none"/>
          <w:lang w:val="en-US" w:eastAsia="zh-CN"/>
        </w:rPr>
      </w:pPr>
      <w:r>
        <w:rPr>
          <w:rFonts w:hint="eastAsia" w:ascii="宋体" w:hAnsi="宋体"/>
          <w:b/>
          <w:bCs w:val="0"/>
          <w:spacing w:val="4"/>
          <w:sz w:val="24"/>
          <w:highlight w:val="none"/>
          <w:lang w:val="en-US" w:eastAsia="zh-CN"/>
        </w:rPr>
        <w:t>27、终止招标</w:t>
      </w:r>
    </w:p>
    <w:p>
      <w:pPr>
        <w:spacing w:line="360" w:lineRule="auto"/>
        <w:ind w:firstLine="496" w:firstLineChars="200"/>
        <w:rPr>
          <w:rFonts w:hint="eastAsia" w:ascii="宋体" w:hAnsi="宋体" w:cs="Times New Roman"/>
          <w:bCs/>
          <w:i w:val="0"/>
          <w:iCs w:val="0"/>
          <w:caps w:val="0"/>
          <w:spacing w:val="4"/>
          <w:sz w:val="24"/>
          <w:szCs w:val="21"/>
          <w:highlight w:val="none"/>
          <w:shd w:val="clear"/>
          <w:lang w:val="en-US" w:eastAsia="zh-CN"/>
        </w:rPr>
      </w:pPr>
      <w:r>
        <w:rPr>
          <w:rFonts w:hint="eastAsia" w:ascii="宋体" w:hAnsi="宋体" w:eastAsia="宋体" w:cs="Times New Roman"/>
          <w:bCs/>
          <w:i w:val="0"/>
          <w:iCs w:val="0"/>
          <w:caps w:val="0"/>
          <w:spacing w:val="4"/>
          <w:sz w:val="24"/>
          <w:szCs w:val="21"/>
          <w:highlight w:val="none"/>
          <w:shd w:val="clear"/>
        </w:rPr>
        <w:t>出现下列情形之一，招标人有权否决所有投标人的投标，并终止招标</w:t>
      </w:r>
      <w:r>
        <w:rPr>
          <w:rFonts w:hint="eastAsia" w:ascii="宋体" w:hAnsi="宋体" w:cs="Times New Roman"/>
          <w:bCs/>
          <w:i w:val="0"/>
          <w:iCs w:val="0"/>
          <w:caps w:val="0"/>
          <w:spacing w:val="4"/>
          <w:sz w:val="24"/>
          <w:szCs w:val="21"/>
          <w:highlight w:val="none"/>
          <w:shd w:val="clear"/>
          <w:lang w:val="en-US" w:eastAsia="zh-CN"/>
        </w:rPr>
        <w:t>.</w:t>
      </w:r>
    </w:p>
    <w:p>
      <w:pPr>
        <w:spacing w:line="360" w:lineRule="auto"/>
        <w:ind w:firstLine="496" w:firstLineChars="200"/>
        <w:rPr>
          <w:rFonts w:hint="eastAsia" w:ascii="宋体" w:hAnsi="宋体" w:eastAsia="宋体" w:cs="Times New Roman"/>
          <w:bCs/>
          <w:i w:val="0"/>
          <w:iCs w:val="0"/>
          <w:caps w:val="0"/>
          <w:spacing w:val="4"/>
          <w:sz w:val="24"/>
          <w:szCs w:val="21"/>
          <w:highlight w:val="none"/>
          <w:shd w:val="clear"/>
        </w:rPr>
      </w:pPr>
      <w:r>
        <w:rPr>
          <w:rFonts w:hint="eastAsia" w:ascii="宋体" w:hAnsi="宋体" w:cs="Times New Roman"/>
          <w:bCs/>
          <w:i w:val="0"/>
          <w:iCs w:val="0"/>
          <w:caps w:val="0"/>
          <w:spacing w:val="4"/>
          <w:sz w:val="24"/>
          <w:szCs w:val="21"/>
          <w:highlight w:val="none"/>
          <w:shd w:val="clear"/>
          <w:lang w:val="en-US" w:eastAsia="zh-CN"/>
        </w:rPr>
        <w:t>27.1</w:t>
      </w:r>
      <w:r>
        <w:rPr>
          <w:rFonts w:hint="eastAsia" w:ascii="宋体" w:hAnsi="宋体" w:eastAsia="宋体" w:cs="Times New Roman"/>
          <w:bCs/>
          <w:i w:val="0"/>
          <w:iCs w:val="0"/>
          <w:caps w:val="0"/>
          <w:spacing w:val="4"/>
          <w:sz w:val="24"/>
          <w:szCs w:val="21"/>
          <w:highlight w:val="none"/>
          <w:shd w:val="clear"/>
        </w:rPr>
        <w:t>符合条件的投标人或者对招标文件做实质响应的投标人不足三家的。</w:t>
      </w:r>
    </w:p>
    <w:p>
      <w:pPr>
        <w:spacing w:line="360" w:lineRule="auto"/>
        <w:ind w:firstLine="496" w:firstLineChars="200"/>
        <w:rPr>
          <w:rFonts w:hint="eastAsia" w:ascii="宋体" w:hAnsi="宋体" w:eastAsia="宋体" w:cs="Times New Roman"/>
          <w:bCs/>
          <w:i w:val="0"/>
          <w:iCs w:val="0"/>
          <w:caps w:val="0"/>
          <w:spacing w:val="4"/>
          <w:sz w:val="24"/>
          <w:szCs w:val="21"/>
          <w:highlight w:val="none"/>
          <w:shd w:val="clear"/>
          <w:lang w:val="en-US" w:eastAsia="zh-CN"/>
        </w:rPr>
      </w:pPr>
      <w:r>
        <w:rPr>
          <w:rFonts w:hint="eastAsia" w:ascii="宋体" w:hAnsi="宋体" w:cs="Times New Roman"/>
          <w:bCs/>
          <w:i w:val="0"/>
          <w:iCs w:val="0"/>
          <w:caps w:val="0"/>
          <w:spacing w:val="4"/>
          <w:sz w:val="24"/>
          <w:szCs w:val="21"/>
          <w:highlight w:val="none"/>
          <w:shd w:val="clear"/>
          <w:lang w:val="en-US" w:eastAsia="zh-CN"/>
        </w:rPr>
        <w:t>27.2</w:t>
      </w:r>
      <w:r>
        <w:rPr>
          <w:rFonts w:hint="eastAsia" w:ascii="宋体" w:hAnsi="宋体" w:eastAsia="宋体" w:cs="Times New Roman"/>
          <w:bCs/>
          <w:i w:val="0"/>
          <w:iCs w:val="0"/>
          <w:caps w:val="0"/>
          <w:spacing w:val="4"/>
          <w:sz w:val="24"/>
          <w:szCs w:val="21"/>
          <w:highlight w:val="none"/>
          <w:shd w:val="clear"/>
        </w:rPr>
        <w:t>出现影响采购公正的违法、违规行为的</w:t>
      </w:r>
      <w:r>
        <w:rPr>
          <w:rFonts w:hint="eastAsia" w:ascii="宋体" w:hAnsi="宋体" w:cs="Times New Roman"/>
          <w:bCs/>
          <w:i w:val="0"/>
          <w:iCs w:val="0"/>
          <w:caps w:val="0"/>
          <w:spacing w:val="4"/>
          <w:sz w:val="24"/>
          <w:szCs w:val="21"/>
          <w:highlight w:val="none"/>
          <w:shd w:val="clear"/>
          <w:lang w:eastAsia="zh-CN"/>
        </w:rPr>
        <w:t>。</w:t>
      </w:r>
    </w:p>
    <w:p>
      <w:pPr>
        <w:spacing w:line="360" w:lineRule="auto"/>
        <w:ind w:firstLine="496" w:firstLineChars="200"/>
        <w:rPr>
          <w:rFonts w:hint="eastAsia" w:ascii="宋体" w:hAnsi="宋体" w:eastAsia="宋体" w:cs="Times New Roman"/>
          <w:bCs/>
          <w:i w:val="0"/>
          <w:iCs w:val="0"/>
          <w:caps w:val="0"/>
          <w:spacing w:val="4"/>
          <w:sz w:val="24"/>
          <w:szCs w:val="21"/>
          <w:highlight w:val="none"/>
          <w:shd w:val="clear"/>
          <w:lang w:val="en-US" w:eastAsia="zh-CN"/>
        </w:rPr>
      </w:pPr>
      <w:r>
        <w:rPr>
          <w:rFonts w:hint="eastAsia" w:ascii="宋体" w:hAnsi="宋体" w:cs="Times New Roman"/>
          <w:bCs/>
          <w:i w:val="0"/>
          <w:iCs w:val="0"/>
          <w:caps w:val="0"/>
          <w:spacing w:val="4"/>
          <w:sz w:val="24"/>
          <w:szCs w:val="21"/>
          <w:highlight w:val="none"/>
          <w:shd w:val="clear"/>
          <w:lang w:val="en-US" w:eastAsia="zh-CN"/>
        </w:rPr>
        <w:t>27.3</w:t>
      </w:r>
      <w:r>
        <w:rPr>
          <w:rFonts w:hint="eastAsia" w:ascii="宋体" w:hAnsi="宋体" w:eastAsia="宋体" w:cs="Times New Roman"/>
          <w:bCs/>
          <w:i w:val="0"/>
          <w:iCs w:val="0"/>
          <w:caps w:val="0"/>
          <w:spacing w:val="4"/>
          <w:sz w:val="24"/>
          <w:szCs w:val="21"/>
          <w:highlight w:val="none"/>
          <w:shd w:val="clear"/>
        </w:rPr>
        <w:t>投标人的投标均超过了采购预算</w:t>
      </w:r>
      <w:r>
        <w:rPr>
          <w:rFonts w:hint="eastAsia" w:ascii="宋体" w:hAnsi="宋体" w:cs="Times New Roman"/>
          <w:bCs/>
          <w:i w:val="0"/>
          <w:iCs w:val="0"/>
          <w:caps w:val="0"/>
          <w:spacing w:val="4"/>
          <w:sz w:val="24"/>
          <w:szCs w:val="21"/>
          <w:highlight w:val="none"/>
          <w:shd w:val="clear"/>
          <w:lang w:eastAsia="zh-CN"/>
        </w:rPr>
        <w:t>。</w:t>
      </w:r>
    </w:p>
    <w:p>
      <w:pPr>
        <w:spacing w:line="360" w:lineRule="auto"/>
        <w:ind w:firstLine="496" w:firstLineChars="200"/>
        <w:rPr>
          <w:rFonts w:hint="eastAsia" w:ascii="宋体" w:hAnsi="宋体" w:eastAsia="宋体" w:cs="Times New Roman"/>
          <w:bCs/>
          <w:i w:val="0"/>
          <w:iCs w:val="0"/>
          <w:caps w:val="0"/>
          <w:spacing w:val="4"/>
          <w:sz w:val="24"/>
          <w:szCs w:val="21"/>
          <w:highlight w:val="none"/>
          <w:shd w:val="clear"/>
          <w:lang w:val="en-US" w:eastAsia="zh-CN"/>
        </w:rPr>
      </w:pPr>
      <w:r>
        <w:rPr>
          <w:rFonts w:hint="eastAsia" w:ascii="宋体" w:hAnsi="宋体" w:cs="Times New Roman"/>
          <w:bCs/>
          <w:i w:val="0"/>
          <w:iCs w:val="0"/>
          <w:caps w:val="0"/>
          <w:spacing w:val="4"/>
          <w:sz w:val="24"/>
          <w:szCs w:val="21"/>
          <w:highlight w:val="none"/>
          <w:shd w:val="clear"/>
          <w:lang w:val="en-US" w:eastAsia="zh-CN"/>
        </w:rPr>
        <w:t>27.4</w:t>
      </w:r>
      <w:r>
        <w:rPr>
          <w:rFonts w:hint="eastAsia" w:ascii="宋体" w:hAnsi="宋体" w:eastAsia="宋体" w:cs="Times New Roman"/>
          <w:bCs/>
          <w:i w:val="0"/>
          <w:iCs w:val="0"/>
          <w:caps w:val="0"/>
          <w:spacing w:val="4"/>
          <w:sz w:val="24"/>
          <w:szCs w:val="21"/>
          <w:highlight w:val="none"/>
          <w:shd w:val="clear"/>
        </w:rPr>
        <w:t>因重大变故，采购任务取消的</w:t>
      </w:r>
      <w:r>
        <w:rPr>
          <w:rFonts w:hint="eastAsia" w:ascii="宋体" w:hAnsi="宋体" w:cs="Times New Roman"/>
          <w:bCs/>
          <w:i w:val="0"/>
          <w:iCs w:val="0"/>
          <w:caps w:val="0"/>
          <w:spacing w:val="4"/>
          <w:sz w:val="24"/>
          <w:szCs w:val="21"/>
          <w:highlight w:val="none"/>
          <w:shd w:val="clear"/>
          <w:lang w:eastAsia="zh-CN"/>
        </w:rPr>
        <w:t>。</w:t>
      </w:r>
    </w:p>
    <w:p>
      <w:pPr>
        <w:spacing w:line="360" w:lineRule="auto"/>
        <w:ind w:firstLine="496" w:firstLineChars="200"/>
        <w:rPr>
          <w:rFonts w:hint="eastAsia" w:ascii="宋体" w:hAnsi="宋体" w:eastAsia="宋体" w:cs="Times New Roman"/>
          <w:b w:val="0"/>
          <w:bCs/>
          <w:i w:val="0"/>
          <w:iCs w:val="0"/>
          <w:caps w:val="0"/>
          <w:spacing w:val="4"/>
          <w:kern w:val="2"/>
          <w:sz w:val="24"/>
          <w:szCs w:val="21"/>
          <w:highlight w:val="none"/>
          <w:shd w:val="clear"/>
        </w:rPr>
      </w:pPr>
      <w:r>
        <w:rPr>
          <w:rFonts w:hint="eastAsia" w:ascii="宋体" w:hAnsi="宋体" w:cs="Times New Roman"/>
          <w:b w:val="0"/>
          <w:bCs/>
          <w:i w:val="0"/>
          <w:iCs w:val="0"/>
          <w:caps w:val="0"/>
          <w:spacing w:val="4"/>
          <w:kern w:val="2"/>
          <w:sz w:val="24"/>
          <w:szCs w:val="21"/>
          <w:highlight w:val="none"/>
          <w:shd w:val="clear"/>
          <w:lang w:val="en-US" w:eastAsia="zh-CN"/>
        </w:rPr>
        <w:t>27</w:t>
      </w:r>
      <w:r>
        <w:rPr>
          <w:rFonts w:hint="eastAsia" w:ascii="宋体" w:hAnsi="宋体" w:eastAsia="宋体" w:cs="Times New Roman"/>
          <w:b w:val="0"/>
          <w:bCs/>
          <w:i w:val="0"/>
          <w:iCs w:val="0"/>
          <w:caps w:val="0"/>
          <w:spacing w:val="4"/>
          <w:kern w:val="2"/>
          <w:sz w:val="24"/>
          <w:szCs w:val="21"/>
          <w:highlight w:val="none"/>
          <w:shd w:val="clear"/>
          <w:lang w:val="en-US" w:eastAsia="zh-CN"/>
        </w:rPr>
        <w:t>.5</w:t>
      </w:r>
      <w:r>
        <w:rPr>
          <w:rFonts w:hint="eastAsia" w:ascii="宋体" w:hAnsi="宋体" w:eastAsia="宋体" w:cs="Times New Roman"/>
          <w:b w:val="0"/>
          <w:bCs/>
          <w:i w:val="0"/>
          <w:iCs w:val="0"/>
          <w:caps w:val="0"/>
          <w:spacing w:val="4"/>
          <w:kern w:val="2"/>
          <w:sz w:val="24"/>
          <w:szCs w:val="21"/>
          <w:highlight w:val="none"/>
          <w:shd w:val="clear"/>
        </w:rPr>
        <w:t>招标人认为其他应终止招标的情形。</w:t>
      </w:r>
    </w:p>
    <w:p>
      <w:pPr>
        <w:numPr>
          <w:ilvl w:val="0"/>
          <w:numId w:val="0"/>
        </w:numPr>
        <w:spacing w:line="360" w:lineRule="auto"/>
        <w:ind w:firstLine="498" w:firstLineChars="200"/>
        <w:rPr>
          <w:rFonts w:hint="default" w:ascii="宋体" w:hAnsi="宋体"/>
          <w:b/>
          <w:bCs w:val="0"/>
          <w:color w:val="auto"/>
          <w:spacing w:val="4"/>
          <w:sz w:val="24"/>
          <w:highlight w:val="none"/>
          <w:lang w:val="en-US" w:eastAsia="zh-CN"/>
        </w:rPr>
      </w:pPr>
      <w:r>
        <w:rPr>
          <w:rFonts w:hint="eastAsia" w:ascii="宋体" w:hAnsi="宋体"/>
          <w:b/>
          <w:bCs w:val="0"/>
          <w:color w:val="auto"/>
          <w:spacing w:val="4"/>
          <w:sz w:val="24"/>
          <w:highlight w:val="none"/>
          <w:lang w:val="en-US" w:eastAsia="zh-CN"/>
        </w:rPr>
        <w:t>28、废标</w:t>
      </w:r>
    </w:p>
    <w:p>
      <w:pPr>
        <w:pStyle w:val="6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96" w:firstLineChars="200"/>
        <w:textAlignment w:val="auto"/>
        <w:rPr>
          <w:rFonts w:hint="eastAsia" w:ascii="宋体" w:hAnsi="宋体" w:eastAsia="宋体" w:cs="Times New Roman"/>
          <w:b w:val="0"/>
          <w:bCs/>
          <w:i w:val="0"/>
          <w:iCs w:val="0"/>
          <w:caps w:val="0"/>
          <w:color w:val="auto"/>
          <w:spacing w:val="4"/>
          <w:kern w:val="2"/>
          <w:sz w:val="24"/>
          <w:szCs w:val="21"/>
          <w:highlight w:val="none"/>
          <w:shd w:val="clear"/>
          <w:lang w:val="en-US" w:eastAsia="zh-CN" w:bidi="ar-SA"/>
        </w:rPr>
      </w:pPr>
      <w:r>
        <w:rPr>
          <w:rFonts w:hint="eastAsia" w:ascii="宋体" w:hAnsi="宋体" w:eastAsia="宋体" w:cs="Times New Roman"/>
          <w:b w:val="0"/>
          <w:bCs/>
          <w:i w:val="0"/>
          <w:iCs w:val="0"/>
          <w:caps w:val="0"/>
          <w:color w:val="auto"/>
          <w:spacing w:val="4"/>
          <w:kern w:val="2"/>
          <w:sz w:val="24"/>
          <w:szCs w:val="21"/>
          <w:highlight w:val="none"/>
          <w:shd w:val="clear"/>
          <w:lang w:val="en-US" w:eastAsia="zh-CN" w:bidi="ar-SA"/>
        </w:rPr>
        <w:t>投标人有下列情形之一，其投标将被视为废标，招标人将严格按照《中华人民共和国招标投标法》及相关法律、法规及规章制度的规定行使权利。投标人给招标人造成损失的，招标人有索赔的权利，投标人应予以赔偿。</w:t>
      </w:r>
    </w:p>
    <w:p>
      <w:pPr>
        <w:pStyle w:val="6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96" w:firstLineChars="200"/>
        <w:textAlignment w:val="auto"/>
        <w:rPr>
          <w:rFonts w:hint="eastAsia" w:ascii="宋体" w:hAnsi="宋体" w:eastAsia="宋体" w:cs="Times New Roman"/>
          <w:b w:val="0"/>
          <w:bCs/>
          <w:i w:val="0"/>
          <w:iCs w:val="0"/>
          <w:caps w:val="0"/>
          <w:color w:val="auto"/>
          <w:spacing w:val="4"/>
          <w:kern w:val="2"/>
          <w:sz w:val="24"/>
          <w:szCs w:val="21"/>
          <w:highlight w:val="none"/>
          <w:shd w:val="clear"/>
          <w:lang w:val="en-US" w:eastAsia="zh-CN" w:bidi="ar-SA"/>
        </w:rPr>
      </w:pPr>
      <w:r>
        <w:rPr>
          <w:rFonts w:hint="eastAsia" w:cs="Times New Roman"/>
          <w:b w:val="0"/>
          <w:bCs/>
          <w:i w:val="0"/>
          <w:iCs w:val="0"/>
          <w:caps w:val="0"/>
          <w:color w:val="auto"/>
          <w:spacing w:val="4"/>
          <w:kern w:val="2"/>
          <w:sz w:val="24"/>
          <w:szCs w:val="21"/>
          <w:highlight w:val="none"/>
          <w:shd w:val="clear"/>
          <w:lang w:val="en-US" w:eastAsia="zh-CN" w:bidi="ar-SA"/>
        </w:rPr>
        <w:t>28.1</w:t>
      </w:r>
      <w:r>
        <w:rPr>
          <w:rFonts w:hint="eastAsia" w:ascii="宋体" w:hAnsi="宋体" w:eastAsia="宋体" w:cs="Times New Roman"/>
          <w:b w:val="0"/>
          <w:bCs/>
          <w:i w:val="0"/>
          <w:iCs w:val="0"/>
          <w:caps w:val="0"/>
          <w:color w:val="auto"/>
          <w:spacing w:val="4"/>
          <w:kern w:val="2"/>
          <w:sz w:val="24"/>
          <w:szCs w:val="21"/>
          <w:highlight w:val="none"/>
          <w:shd w:val="clear"/>
          <w:lang w:val="en-US" w:eastAsia="zh-CN" w:bidi="ar-SA"/>
        </w:rPr>
        <w:t>投标人提供的有关资格、资质证明文件不合格、不真实或提供虚假投标材料；</w:t>
      </w:r>
    </w:p>
    <w:p>
      <w:pPr>
        <w:pStyle w:val="6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96" w:firstLineChars="200"/>
        <w:textAlignment w:val="auto"/>
        <w:rPr>
          <w:rFonts w:hint="eastAsia" w:ascii="宋体" w:hAnsi="宋体" w:eastAsia="宋体" w:cs="Times New Roman"/>
          <w:b w:val="0"/>
          <w:bCs/>
          <w:i w:val="0"/>
          <w:iCs w:val="0"/>
          <w:caps w:val="0"/>
          <w:color w:val="auto"/>
          <w:spacing w:val="4"/>
          <w:kern w:val="2"/>
          <w:sz w:val="24"/>
          <w:szCs w:val="21"/>
          <w:highlight w:val="none"/>
          <w:shd w:val="clear"/>
          <w:lang w:val="en-US" w:eastAsia="zh-CN" w:bidi="ar-SA"/>
        </w:rPr>
      </w:pPr>
      <w:r>
        <w:rPr>
          <w:rFonts w:hint="eastAsia" w:cs="Times New Roman"/>
          <w:b w:val="0"/>
          <w:bCs/>
          <w:i w:val="0"/>
          <w:iCs w:val="0"/>
          <w:caps w:val="0"/>
          <w:color w:val="auto"/>
          <w:spacing w:val="4"/>
          <w:kern w:val="2"/>
          <w:sz w:val="24"/>
          <w:szCs w:val="21"/>
          <w:highlight w:val="none"/>
          <w:shd w:val="clear"/>
          <w:lang w:val="en-US" w:eastAsia="zh-CN" w:bidi="ar-SA"/>
        </w:rPr>
        <w:t>28.2</w:t>
      </w:r>
      <w:r>
        <w:rPr>
          <w:rFonts w:hint="eastAsia" w:ascii="宋体" w:hAnsi="宋体" w:eastAsia="宋体" w:cs="Times New Roman"/>
          <w:b w:val="0"/>
          <w:bCs/>
          <w:i w:val="0"/>
          <w:iCs w:val="0"/>
          <w:caps w:val="0"/>
          <w:color w:val="auto"/>
          <w:spacing w:val="4"/>
          <w:kern w:val="2"/>
          <w:sz w:val="24"/>
          <w:szCs w:val="21"/>
          <w:highlight w:val="none"/>
          <w:shd w:val="clear"/>
          <w:lang w:val="en-US" w:eastAsia="zh-CN" w:bidi="ar-SA"/>
        </w:rPr>
        <w:t>投标人在报价有效期内撤回投标；</w:t>
      </w:r>
    </w:p>
    <w:p>
      <w:pPr>
        <w:pStyle w:val="6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96" w:firstLineChars="200"/>
        <w:textAlignment w:val="auto"/>
        <w:rPr>
          <w:rFonts w:hint="eastAsia" w:ascii="宋体" w:hAnsi="宋体" w:eastAsia="宋体" w:cs="Times New Roman"/>
          <w:b w:val="0"/>
          <w:bCs/>
          <w:i w:val="0"/>
          <w:iCs w:val="0"/>
          <w:caps w:val="0"/>
          <w:color w:val="auto"/>
          <w:spacing w:val="4"/>
          <w:kern w:val="2"/>
          <w:sz w:val="24"/>
          <w:szCs w:val="21"/>
          <w:highlight w:val="none"/>
          <w:shd w:val="clear"/>
          <w:lang w:val="en-US" w:eastAsia="zh-CN" w:bidi="ar-SA"/>
        </w:rPr>
      </w:pPr>
      <w:r>
        <w:rPr>
          <w:rFonts w:hint="eastAsia" w:cs="Times New Roman"/>
          <w:b w:val="0"/>
          <w:bCs/>
          <w:i w:val="0"/>
          <w:iCs w:val="0"/>
          <w:caps w:val="0"/>
          <w:color w:val="auto"/>
          <w:spacing w:val="4"/>
          <w:kern w:val="2"/>
          <w:sz w:val="24"/>
          <w:szCs w:val="21"/>
          <w:highlight w:val="none"/>
          <w:shd w:val="clear"/>
          <w:lang w:val="en-US" w:eastAsia="zh-CN" w:bidi="ar-SA"/>
        </w:rPr>
        <w:t>28.3</w:t>
      </w:r>
      <w:r>
        <w:rPr>
          <w:rFonts w:hint="eastAsia" w:ascii="宋体" w:hAnsi="宋体" w:eastAsia="宋体" w:cs="Times New Roman"/>
          <w:b w:val="0"/>
          <w:bCs/>
          <w:i w:val="0"/>
          <w:iCs w:val="0"/>
          <w:caps w:val="0"/>
          <w:color w:val="auto"/>
          <w:spacing w:val="4"/>
          <w:kern w:val="2"/>
          <w:sz w:val="24"/>
          <w:szCs w:val="21"/>
          <w:highlight w:val="none"/>
          <w:shd w:val="clear"/>
          <w:lang w:val="en-US" w:eastAsia="zh-CN" w:bidi="ar-SA"/>
        </w:rPr>
        <w:t>在整个评标过程中，投标人有企图影响评标结果公正性的任何活动；</w:t>
      </w:r>
    </w:p>
    <w:p>
      <w:pPr>
        <w:pStyle w:val="6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96" w:firstLineChars="200"/>
        <w:textAlignment w:val="auto"/>
        <w:rPr>
          <w:rFonts w:hint="eastAsia" w:ascii="宋体" w:hAnsi="宋体" w:eastAsia="宋体" w:cs="Times New Roman"/>
          <w:b w:val="0"/>
          <w:bCs/>
          <w:i w:val="0"/>
          <w:iCs w:val="0"/>
          <w:caps w:val="0"/>
          <w:color w:val="auto"/>
          <w:spacing w:val="4"/>
          <w:kern w:val="2"/>
          <w:sz w:val="24"/>
          <w:szCs w:val="21"/>
          <w:highlight w:val="none"/>
          <w:shd w:val="clear"/>
          <w:lang w:val="en-US" w:eastAsia="zh-CN" w:bidi="ar-SA"/>
        </w:rPr>
      </w:pPr>
      <w:r>
        <w:rPr>
          <w:rFonts w:hint="eastAsia" w:cs="Times New Roman"/>
          <w:b w:val="0"/>
          <w:bCs/>
          <w:i w:val="0"/>
          <w:iCs w:val="0"/>
          <w:caps w:val="0"/>
          <w:color w:val="auto"/>
          <w:spacing w:val="4"/>
          <w:kern w:val="2"/>
          <w:sz w:val="24"/>
          <w:szCs w:val="21"/>
          <w:highlight w:val="none"/>
          <w:shd w:val="clear"/>
          <w:lang w:val="en-US" w:eastAsia="zh-CN" w:bidi="ar-SA"/>
        </w:rPr>
        <w:t>28.4</w:t>
      </w:r>
      <w:r>
        <w:rPr>
          <w:rFonts w:hint="eastAsia" w:ascii="宋体" w:hAnsi="宋体" w:eastAsia="宋体" w:cs="Times New Roman"/>
          <w:b w:val="0"/>
          <w:bCs/>
          <w:i w:val="0"/>
          <w:iCs w:val="0"/>
          <w:caps w:val="0"/>
          <w:color w:val="auto"/>
          <w:spacing w:val="4"/>
          <w:kern w:val="2"/>
          <w:sz w:val="24"/>
          <w:szCs w:val="21"/>
          <w:highlight w:val="none"/>
          <w:shd w:val="clear"/>
          <w:lang w:val="en-US" w:eastAsia="zh-CN" w:bidi="ar-SA"/>
        </w:rPr>
        <w:t>投标人以任何方式诋毁其他投标人；</w:t>
      </w:r>
    </w:p>
    <w:p>
      <w:pPr>
        <w:pStyle w:val="6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96" w:firstLineChars="200"/>
        <w:textAlignment w:val="auto"/>
        <w:rPr>
          <w:rFonts w:hint="eastAsia" w:ascii="宋体" w:hAnsi="宋体" w:eastAsia="宋体" w:cs="Times New Roman"/>
          <w:b w:val="0"/>
          <w:bCs/>
          <w:i w:val="0"/>
          <w:iCs w:val="0"/>
          <w:caps w:val="0"/>
          <w:color w:val="auto"/>
          <w:spacing w:val="4"/>
          <w:kern w:val="2"/>
          <w:sz w:val="24"/>
          <w:szCs w:val="21"/>
          <w:highlight w:val="none"/>
          <w:shd w:val="clear"/>
          <w:lang w:val="en-US" w:eastAsia="zh-CN" w:bidi="ar-SA"/>
        </w:rPr>
      </w:pPr>
      <w:r>
        <w:rPr>
          <w:rFonts w:hint="eastAsia" w:cs="Times New Roman"/>
          <w:b w:val="0"/>
          <w:bCs/>
          <w:i w:val="0"/>
          <w:iCs w:val="0"/>
          <w:caps w:val="0"/>
          <w:color w:val="auto"/>
          <w:spacing w:val="4"/>
          <w:kern w:val="2"/>
          <w:sz w:val="24"/>
          <w:szCs w:val="21"/>
          <w:highlight w:val="none"/>
          <w:shd w:val="clear"/>
          <w:lang w:val="en-US" w:eastAsia="zh-CN" w:bidi="ar-SA"/>
        </w:rPr>
        <w:t>28.5</w:t>
      </w:r>
      <w:r>
        <w:rPr>
          <w:rFonts w:hint="eastAsia" w:ascii="宋体" w:hAnsi="宋体" w:eastAsia="宋体" w:cs="Times New Roman"/>
          <w:b w:val="0"/>
          <w:bCs/>
          <w:i w:val="0"/>
          <w:iCs w:val="0"/>
          <w:caps w:val="0"/>
          <w:color w:val="auto"/>
          <w:spacing w:val="4"/>
          <w:kern w:val="2"/>
          <w:sz w:val="24"/>
          <w:szCs w:val="21"/>
          <w:highlight w:val="none"/>
          <w:shd w:val="clear"/>
          <w:lang w:val="en-US" w:eastAsia="zh-CN" w:bidi="ar-SA"/>
        </w:rPr>
        <w:t>投标人串通投标；</w:t>
      </w:r>
    </w:p>
    <w:p>
      <w:pPr>
        <w:pStyle w:val="6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96" w:firstLineChars="200"/>
        <w:textAlignment w:val="auto"/>
        <w:rPr>
          <w:rFonts w:hint="eastAsia" w:ascii="宋体" w:hAnsi="宋体" w:eastAsia="宋体" w:cs="Times New Roman"/>
          <w:b w:val="0"/>
          <w:bCs/>
          <w:i w:val="0"/>
          <w:iCs w:val="0"/>
          <w:caps w:val="0"/>
          <w:color w:val="auto"/>
          <w:spacing w:val="4"/>
          <w:kern w:val="2"/>
          <w:sz w:val="24"/>
          <w:szCs w:val="21"/>
          <w:highlight w:val="none"/>
          <w:shd w:val="clear"/>
          <w:lang w:val="en-US" w:eastAsia="zh-CN" w:bidi="ar-SA"/>
        </w:rPr>
      </w:pPr>
      <w:r>
        <w:rPr>
          <w:rFonts w:hint="eastAsia" w:cs="Times New Roman"/>
          <w:b w:val="0"/>
          <w:bCs/>
          <w:i w:val="0"/>
          <w:iCs w:val="0"/>
          <w:caps w:val="0"/>
          <w:color w:val="auto"/>
          <w:spacing w:val="4"/>
          <w:kern w:val="2"/>
          <w:sz w:val="24"/>
          <w:szCs w:val="21"/>
          <w:highlight w:val="none"/>
          <w:shd w:val="clear"/>
          <w:lang w:val="en-US" w:eastAsia="zh-CN" w:bidi="ar-SA"/>
        </w:rPr>
        <w:t>28.6</w:t>
      </w:r>
      <w:r>
        <w:rPr>
          <w:rFonts w:hint="eastAsia" w:ascii="宋体" w:hAnsi="宋体" w:eastAsia="宋体" w:cs="Times New Roman"/>
          <w:b w:val="0"/>
          <w:bCs/>
          <w:i w:val="0"/>
          <w:iCs w:val="0"/>
          <w:caps w:val="0"/>
          <w:color w:val="auto"/>
          <w:spacing w:val="4"/>
          <w:kern w:val="2"/>
          <w:sz w:val="24"/>
          <w:szCs w:val="21"/>
          <w:highlight w:val="none"/>
          <w:shd w:val="clear"/>
          <w:lang w:val="en-US" w:eastAsia="zh-CN" w:bidi="ar-SA"/>
        </w:rPr>
        <w:t>以他人名义投标或者以其他方式弄虚作假，骗取中标的；</w:t>
      </w:r>
    </w:p>
    <w:p>
      <w:pPr>
        <w:pStyle w:val="6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96" w:firstLineChars="200"/>
        <w:textAlignment w:val="auto"/>
        <w:rPr>
          <w:rFonts w:hint="eastAsia" w:ascii="宋体" w:hAnsi="宋体" w:eastAsia="宋体" w:cs="Times New Roman"/>
          <w:b w:val="0"/>
          <w:bCs/>
          <w:i w:val="0"/>
          <w:iCs w:val="0"/>
          <w:caps w:val="0"/>
          <w:color w:val="auto"/>
          <w:spacing w:val="4"/>
          <w:kern w:val="2"/>
          <w:sz w:val="24"/>
          <w:szCs w:val="21"/>
          <w:highlight w:val="none"/>
          <w:shd w:val="clear"/>
          <w:lang w:val="en-US" w:eastAsia="zh-CN" w:bidi="ar-SA"/>
        </w:rPr>
      </w:pPr>
      <w:r>
        <w:rPr>
          <w:rFonts w:hint="eastAsia" w:cs="Times New Roman"/>
          <w:b w:val="0"/>
          <w:bCs/>
          <w:i w:val="0"/>
          <w:iCs w:val="0"/>
          <w:caps w:val="0"/>
          <w:color w:val="auto"/>
          <w:spacing w:val="4"/>
          <w:kern w:val="2"/>
          <w:sz w:val="24"/>
          <w:szCs w:val="21"/>
          <w:highlight w:val="none"/>
          <w:shd w:val="clear"/>
          <w:lang w:val="en-US" w:eastAsia="zh-CN" w:bidi="ar-SA"/>
        </w:rPr>
        <w:t>28.7</w:t>
      </w:r>
      <w:r>
        <w:rPr>
          <w:rFonts w:hint="eastAsia" w:ascii="宋体" w:hAnsi="宋体" w:eastAsia="宋体" w:cs="Times New Roman"/>
          <w:b w:val="0"/>
          <w:bCs/>
          <w:i w:val="0"/>
          <w:iCs w:val="0"/>
          <w:caps w:val="0"/>
          <w:color w:val="auto"/>
          <w:spacing w:val="4"/>
          <w:kern w:val="2"/>
          <w:sz w:val="24"/>
          <w:szCs w:val="21"/>
          <w:highlight w:val="none"/>
          <w:shd w:val="clear"/>
          <w:lang w:val="en-US" w:eastAsia="zh-CN" w:bidi="ar-SA"/>
        </w:rPr>
        <w:t>中标人不按规定签订合同；</w:t>
      </w:r>
    </w:p>
    <w:p>
      <w:pPr>
        <w:pStyle w:val="6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96" w:firstLineChars="200"/>
        <w:textAlignment w:val="auto"/>
        <w:rPr>
          <w:rFonts w:hint="default" w:ascii="宋体" w:hAnsi="宋体" w:eastAsia="宋体" w:cs="Times New Roman"/>
          <w:b w:val="0"/>
          <w:bCs/>
          <w:i w:val="0"/>
          <w:iCs w:val="0"/>
          <w:caps w:val="0"/>
          <w:color w:val="auto"/>
          <w:spacing w:val="4"/>
          <w:kern w:val="2"/>
          <w:sz w:val="24"/>
          <w:szCs w:val="21"/>
          <w:highlight w:val="none"/>
          <w:shd w:val="clear"/>
          <w:lang w:val="en-US" w:eastAsia="zh-CN" w:bidi="ar-SA"/>
        </w:rPr>
      </w:pPr>
      <w:r>
        <w:rPr>
          <w:rFonts w:hint="eastAsia" w:cs="Times New Roman"/>
          <w:b w:val="0"/>
          <w:bCs/>
          <w:i w:val="0"/>
          <w:iCs w:val="0"/>
          <w:caps w:val="0"/>
          <w:color w:val="auto"/>
          <w:spacing w:val="4"/>
          <w:kern w:val="2"/>
          <w:sz w:val="24"/>
          <w:szCs w:val="21"/>
          <w:highlight w:val="none"/>
          <w:shd w:val="clear"/>
          <w:lang w:val="en-US" w:eastAsia="zh-CN" w:bidi="ar-SA"/>
        </w:rPr>
        <w:t>28.8</w:t>
      </w:r>
      <w:r>
        <w:rPr>
          <w:rFonts w:hint="eastAsia" w:ascii="宋体" w:hAnsi="宋体" w:eastAsia="宋体" w:cs="Times New Roman"/>
          <w:b w:val="0"/>
          <w:bCs/>
          <w:i w:val="0"/>
          <w:iCs w:val="0"/>
          <w:caps w:val="0"/>
          <w:color w:val="auto"/>
          <w:spacing w:val="4"/>
          <w:kern w:val="2"/>
          <w:sz w:val="24"/>
          <w:szCs w:val="21"/>
          <w:highlight w:val="none"/>
          <w:shd w:val="clear"/>
          <w:lang w:val="en-US" w:eastAsia="zh-CN" w:bidi="ar-SA"/>
        </w:rPr>
        <w:t>投标人被举报、检举，并经招标方查实无误的</w:t>
      </w:r>
      <w:r>
        <w:rPr>
          <w:rFonts w:hint="eastAsia" w:cs="Times New Roman"/>
          <w:b w:val="0"/>
          <w:bCs/>
          <w:i w:val="0"/>
          <w:iCs w:val="0"/>
          <w:caps w:val="0"/>
          <w:color w:val="auto"/>
          <w:spacing w:val="4"/>
          <w:kern w:val="2"/>
          <w:sz w:val="24"/>
          <w:szCs w:val="21"/>
          <w:highlight w:val="none"/>
          <w:shd w:val="clear"/>
          <w:lang w:val="en-US" w:eastAsia="zh-CN" w:bidi="ar-SA"/>
        </w:rPr>
        <w:t>；</w:t>
      </w:r>
    </w:p>
    <w:p>
      <w:pPr>
        <w:pStyle w:val="31"/>
        <w:spacing w:after="0" w:line="360" w:lineRule="auto"/>
        <w:ind w:firstLine="496" w:firstLineChars="200"/>
        <w:rPr>
          <w:rFonts w:hint="eastAsia" w:ascii="宋体" w:hAnsi="宋体" w:eastAsia="宋体" w:cs="Times New Roman"/>
          <w:b w:val="0"/>
          <w:bCs/>
          <w:i w:val="0"/>
          <w:iCs w:val="0"/>
          <w:caps w:val="0"/>
          <w:color w:val="auto"/>
          <w:spacing w:val="4"/>
          <w:kern w:val="2"/>
          <w:sz w:val="24"/>
          <w:szCs w:val="21"/>
          <w:highlight w:val="none"/>
          <w:shd w:val="clear"/>
          <w:lang w:val="en-US" w:eastAsia="zh-CN" w:bidi="ar-SA"/>
        </w:rPr>
      </w:pPr>
      <w:r>
        <w:rPr>
          <w:rFonts w:hint="eastAsia" w:ascii="宋体" w:hAnsi="宋体" w:cs="Times New Roman"/>
          <w:b w:val="0"/>
          <w:bCs/>
          <w:i w:val="0"/>
          <w:iCs w:val="0"/>
          <w:caps w:val="0"/>
          <w:color w:val="auto"/>
          <w:spacing w:val="4"/>
          <w:kern w:val="2"/>
          <w:sz w:val="24"/>
          <w:szCs w:val="21"/>
          <w:highlight w:val="none"/>
          <w:shd w:val="clear"/>
          <w:lang w:val="en-US" w:eastAsia="zh-CN" w:bidi="ar-SA"/>
        </w:rPr>
        <w:t>28</w:t>
      </w:r>
      <w:r>
        <w:rPr>
          <w:rFonts w:hint="eastAsia" w:ascii="宋体" w:hAnsi="宋体" w:eastAsia="宋体" w:cs="Times New Roman"/>
          <w:b w:val="0"/>
          <w:bCs/>
          <w:i w:val="0"/>
          <w:iCs w:val="0"/>
          <w:caps w:val="0"/>
          <w:color w:val="auto"/>
          <w:spacing w:val="4"/>
          <w:kern w:val="2"/>
          <w:sz w:val="24"/>
          <w:szCs w:val="21"/>
          <w:highlight w:val="none"/>
          <w:shd w:val="clear"/>
          <w:lang w:val="en-US" w:eastAsia="zh-CN" w:bidi="ar-SA"/>
        </w:rPr>
        <w:t>.</w:t>
      </w:r>
      <w:r>
        <w:rPr>
          <w:rFonts w:hint="eastAsia" w:ascii="宋体" w:hAnsi="宋体" w:cs="Times New Roman"/>
          <w:b w:val="0"/>
          <w:bCs/>
          <w:i w:val="0"/>
          <w:iCs w:val="0"/>
          <w:caps w:val="0"/>
          <w:color w:val="auto"/>
          <w:spacing w:val="4"/>
          <w:kern w:val="2"/>
          <w:sz w:val="24"/>
          <w:szCs w:val="21"/>
          <w:highlight w:val="none"/>
          <w:shd w:val="clear"/>
          <w:lang w:val="en-US" w:eastAsia="zh-CN" w:bidi="ar-SA"/>
        </w:rPr>
        <w:t>9</w:t>
      </w:r>
      <w:r>
        <w:rPr>
          <w:rFonts w:hint="eastAsia" w:ascii="宋体" w:hAnsi="宋体" w:eastAsia="宋体" w:cs="Times New Roman"/>
          <w:b w:val="0"/>
          <w:bCs/>
          <w:i w:val="0"/>
          <w:iCs w:val="0"/>
          <w:caps w:val="0"/>
          <w:color w:val="auto"/>
          <w:spacing w:val="4"/>
          <w:kern w:val="2"/>
          <w:sz w:val="24"/>
          <w:szCs w:val="21"/>
          <w:highlight w:val="none"/>
          <w:shd w:val="clear"/>
          <w:lang w:val="en-US" w:eastAsia="zh-CN" w:bidi="ar-SA"/>
        </w:rPr>
        <w:t>法律、法规规定的其他情况。</w:t>
      </w:r>
    </w:p>
    <w:p>
      <w:pPr>
        <w:numPr>
          <w:ilvl w:val="0"/>
          <w:numId w:val="0"/>
        </w:numPr>
        <w:spacing w:line="360" w:lineRule="auto"/>
        <w:ind w:firstLine="498" w:firstLineChars="200"/>
        <w:rPr>
          <w:rFonts w:hint="eastAsia" w:ascii="宋体" w:hAnsi="宋体"/>
          <w:b/>
          <w:bCs w:val="0"/>
          <w:color w:val="auto"/>
          <w:spacing w:val="4"/>
          <w:sz w:val="24"/>
          <w:highlight w:val="none"/>
          <w:lang w:val="en-US" w:eastAsia="zh-CN"/>
        </w:rPr>
      </w:pPr>
      <w:r>
        <w:rPr>
          <w:rFonts w:hint="eastAsia" w:ascii="宋体" w:hAnsi="宋体"/>
          <w:b/>
          <w:bCs w:val="0"/>
          <w:color w:val="auto"/>
          <w:spacing w:val="4"/>
          <w:sz w:val="24"/>
          <w:highlight w:val="none"/>
          <w:lang w:val="en-US" w:eastAsia="zh-CN"/>
        </w:rPr>
        <w:t>29、中标人瑕疵滞后发现的处理原则</w:t>
      </w:r>
    </w:p>
    <w:p>
      <w:pPr>
        <w:spacing w:line="360" w:lineRule="auto"/>
        <w:ind w:firstLine="480" w:firstLineChars="200"/>
        <w:rPr>
          <w:rFonts w:hint="eastAsia" w:ascii="宋体" w:hAnsi="宋体"/>
          <w:spacing w:val="4"/>
          <w:sz w:val="24"/>
        </w:rPr>
      </w:pPr>
      <w:r>
        <w:rPr>
          <w:rFonts w:hint="eastAsia" w:ascii="宋体" w:hAnsi="宋体" w:cs="宋体"/>
          <w:kern w:val="0"/>
          <w:sz w:val="24"/>
          <w:highlight w:val="none"/>
        </w:rPr>
        <w:t>无论基于何种原因，各项本应作为拒绝处理的情形即便未被及时发现而使该中标人通过了资格审核、初评、现场复审、终评或其他所有相关程序，包括已签订合同的情形，一旦中标人被拒绝或该中标人此前的评议结果被取消，相关的一切损失均由该中标人承担</w:t>
      </w:r>
      <w:r>
        <w:rPr>
          <w:rFonts w:hint="eastAsia" w:ascii="宋体" w:hAnsi="宋体" w:cs="宋体"/>
          <w:kern w:val="0"/>
          <w:sz w:val="24"/>
          <w:highlight w:val="none"/>
          <w:lang w:eastAsia="zh-CN"/>
        </w:rPr>
        <w:t>。</w:t>
      </w:r>
    </w:p>
    <w:p>
      <w:pPr>
        <w:pStyle w:val="4"/>
        <w:spacing w:before="120" w:after="120" w:line="360" w:lineRule="exact"/>
        <w:rPr>
          <w:rFonts w:ascii="宋体" w:hAnsi="宋体" w:eastAsia="宋体" w:cs="宋体"/>
          <w:sz w:val="28"/>
          <w:szCs w:val="28"/>
        </w:rPr>
      </w:pPr>
      <w:bookmarkStart w:id="69" w:name="_Toc5644"/>
      <w:r>
        <w:rPr>
          <w:rFonts w:hint="eastAsia" w:ascii="宋体" w:hAnsi="宋体" w:eastAsia="宋体" w:cs="宋体"/>
          <w:sz w:val="28"/>
          <w:szCs w:val="28"/>
        </w:rPr>
        <w:t>七、相关费用</w:t>
      </w:r>
      <w:bookmarkEnd w:id="69"/>
    </w:p>
    <w:p>
      <w:pPr>
        <w:pStyle w:val="31"/>
        <w:spacing w:after="0" w:line="360" w:lineRule="auto"/>
        <w:ind w:firstLine="480" w:firstLineChars="200"/>
        <w:rPr>
          <w:rFonts w:ascii="宋体" w:hAnsi="宋体"/>
          <w:sz w:val="24"/>
          <w:szCs w:val="24"/>
        </w:rPr>
      </w:pPr>
      <w:r>
        <w:rPr>
          <w:rFonts w:hint="eastAsia" w:ascii="宋体" w:hAnsi="宋体" w:cs="宋体"/>
          <w:sz w:val="24"/>
          <w:szCs w:val="24"/>
        </w:rPr>
        <w:t>本项目招标相关费用详见投标方须知前附表第18项。</w:t>
      </w:r>
    </w:p>
    <w:p>
      <w:pPr>
        <w:pStyle w:val="4"/>
        <w:spacing w:before="120" w:after="120" w:line="360" w:lineRule="exact"/>
        <w:rPr>
          <w:rFonts w:ascii="宋体" w:hAnsi="宋体" w:eastAsia="宋体" w:cs="宋体"/>
          <w:sz w:val="28"/>
          <w:szCs w:val="28"/>
        </w:rPr>
      </w:pPr>
      <w:bookmarkStart w:id="70" w:name="_Toc9420"/>
      <w:r>
        <w:rPr>
          <w:rFonts w:hint="eastAsia" w:ascii="宋体" w:hAnsi="宋体" w:eastAsia="宋体" w:cs="宋体"/>
          <w:sz w:val="28"/>
          <w:szCs w:val="28"/>
        </w:rPr>
        <w:t>八、解释权</w:t>
      </w:r>
      <w:bookmarkEnd w:id="70"/>
    </w:p>
    <w:p>
      <w:pPr>
        <w:pStyle w:val="31"/>
        <w:spacing w:after="0" w:line="360" w:lineRule="auto"/>
        <w:ind w:firstLine="480" w:firstLineChars="200"/>
        <w:rPr>
          <w:rFonts w:ascii="宋体" w:hAnsi="宋体"/>
          <w:sz w:val="24"/>
          <w:szCs w:val="24"/>
        </w:rPr>
      </w:pPr>
      <w:r>
        <w:rPr>
          <w:rFonts w:hint="eastAsia" w:ascii="宋体" w:hAnsi="宋体" w:cs="宋体"/>
          <w:sz w:val="24"/>
          <w:szCs w:val="24"/>
        </w:rPr>
        <w:t>本招标文件的最终解释权归招标方，当对一个问题有多种解释时以招标方的书面解释为准。招标文件未做明示，而又有相关法律、法规规定的，招标方对此所做解释以相关的法律、法规规定为依据。</w:t>
      </w:r>
    </w:p>
    <w:p>
      <w:pPr>
        <w:pStyle w:val="4"/>
        <w:spacing w:before="120" w:after="120" w:line="360" w:lineRule="exact"/>
        <w:rPr>
          <w:rFonts w:ascii="宋体" w:hAnsi="宋体" w:eastAsia="宋体" w:cs="宋体"/>
          <w:sz w:val="28"/>
          <w:szCs w:val="28"/>
        </w:rPr>
      </w:pPr>
      <w:bookmarkStart w:id="71" w:name="_Toc11848"/>
      <w:r>
        <w:rPr>
          <w:rFonts w:hint="eastAsia" w:ascii="宋体" w:hAnsi="宋体" w:eastAsia="宋体" w:cs="宋体"/>
          <w:sz w:val="28"/>
          <w:szCs w:val="28"/>
        </w:rPr>
        <w:t>九、其他</w:t>
      </w:r>
      <w:bookmarkEnd w:id="71"/>
    </w:p>
    <w:p>
      <w:pPr>
        <w:pStyle w:val="31"/>
        <w:spacing w:after="0" w:line="360" w:lineRule="auto"/>
        <w:ind w:firstLine="480" w:firstLineChars="200"/>
        <w:rPr>
          <w:rFonts w:ascii="宋体" w:hAnsi="宋体" w:cs="宋体"/>
          <w:sz w:val="24"/>
          <w:szCs w:val="24"/>
        </w:rPr>
      </w:pPr>
      <w:r>
        <w:rPr>
          <w:rFonts w:hint="eastAsia" w:ascii="宋体" w:hAnsi="宋体" w:cs="宋体"/>
          <w:sz w:val="24"/>
          <w:szCs w:val="24"/>
        </w:rPr>
        <w:t>需对“投标方须知”正文进行补充和修改的内容详见“投标方须知前附表”。</w:t>
      </w:r>
      <w:bookmarkStart w:id="72" w:name="_Toc500420293"/>
      <w:bookmarkStart w:id="73" w:name="_Toc500420375"/>
    </w:p>
    <w:p>
      <w:pPr>
        <w:pStyle w:val="2"/>
        <w:rPr>
          <w:rFonts w:ascii="宋体" w:hAnsi="宋体"/>
        </w:rPr>
      </w:pPr>
    </w:p>
    <w:p>
      <w:pPr>
        <w:pStyle w:val="2"/>
        <w:rPr>
          <w:rFonts w:ascii="宋体" w:hAnsi="宋体"/>
        </w:rPr>
      </w:pPr>
    </w:p>
    <w:p>
      <w:pPr>
        <w:pStyle w:val="2"/>
        <w:rPr>
          <w:rFonts w:ascii="宋体" w:hAnsi="宋体"/>
        </w:rPr>
      </w:pPr>
    </w:p>
    <w:p>
      <w:pPr>
        <w:pStyle w:val="2"/>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pStyle w:val="2"/>
        <w:rPr>
          <w:rFonts w:ascii="宋体" w:hAnsi="宋体"/>
        </w:rPr>
      </w:pPr>
    </w:p>
    <w:p>
      <w:pPr>
        <w:pStyle w:val="2"/>
        <w:rPr>
          <w:rFonts w:ascii="宋体" w:hAnsi="宋体"/>
        </w:rPr>
      </w:pPr>
    </w:p>
    <w:p>
      <w:pPr>
        <w:pStyle w:val="2"/>
        <w:rPr>
          <w:rFonts w:ascii="宋体" w:hAnsi="宋体"/>
        </w:rPr>
      </w:pPr>
    </w:p>
    <w:p>
      <w:pPr>
        <w:pStyle w:val="2"/>
        <w:rPr>
          <w:rFonts w:ascii="宋体" w:hAnsi="宋体"/>
        </w:rPr>
      </w:pPr>
    </w:p>
    <w:p>
      <w:pPr>
        <w:pStyle w:val="2"/>
        <w:rPr>
          <w:rFonts w:ascii="宋体" w:hAnsi="宋体"/>
        </w:rPr>
      </w:pPr>
    </w:p>
    <w:p>
      <w:pPr>
        <w:pStyle w:val="2"/>
        <w:rPr>
          <w:rFonts w:ascii="宋体" w:hAnsi="宋体"/>
        </w:rPr>
      </w:pPr>
    </w:p>
    <w:p>
      <w:pPr>
        <w:pStyle w:val="2"/>
        <w:rPr>
          <w:rFonts w:ascii="宋体" w:hAnsi="宋体"/>
        </w:rPr>
      </w:pPr>
    </w:p>
    <w:p>
      <w:pPr>
        <w:pStyle w:val="2"/>
        <w:rPr>
          <w:rFonts w:ascii="宋体" w:hAnsi="宋体"/>
        </w:rPr>
      </w:pPr>
    </w:p>
    <w:p>
      <w:pPr>
        <w:pStyle w:val="2"/>
        <w:rPr>
          <w:rFonts w:ascii="宋体" w:hAnsi="宋体"/>
          <w:b w:val="0"/>
          <w:bCs/>
          <w:i/>
        </w:rPr>
      </w:pPr>
      <w:bookmarkStart w:id="74" w:name="_Toc20746"/>
      <w:r>
        <w:rPr>
          <w:rFonts w:ascii="宋体" w:hAnsi="宋体"/>
        </w:rPr>
        <w:t>第三章</w:t>
      </w:r>
      <w:r>
        <w:rPr>
          <w:rFonts w:hint="eastAsia" w:ascii="宋体" w:hAnsi="宋体"/>
        </w:rPr>
        <w:t xml:space="preserve">  评标方法</w:t>
      </w:r>
      <w:bookmarkEnd w:id="74"/>
    </w:p>
    <w:p>
      <w:pPr>
        <w:spacing w:line="360" w:lineRule="auto"/>
        <w:rPr>
          <w:rFonts w:ascii="宋体" w:hAnsi="宋体" w:cs="宋体"/>
          <w:b/>
          <w:bCs/>
          <w:iCs/>
          <w:sz w:val="24"/>
          <w:szCs w:val="24"/>
        </w:rPr>
      </w:pPr>
      <w:r>
        <w:rPr>
          <w:rFonts w:hint="eastAsia" w:ascii="宋体" w:hAnsi="宋体" w:cs="宋体"/>
          <w:b/>
          <w:bCs/>
          <w:iCs/>
          <w:sz w:val="24"/>
          <w:szCs w:val="24"/>
        </w:rPr>
        <w:t>综合评审法</w:t>
      </w:r>
    </w:p>
    <w:p>
      <w:pPr>
        <w:spacing w:line="360" w:lineRule="auto"/>
        <w:ind w:firstLine="480" w:firstLineChars="200"/>
        <w:rPr>
          <w:rFonts w:ascii="宋体" w:hAnsi="宋体" w:cs="宋体"/>
          <w:sz w:val="24"/>
        </w:rPr>
      </w:pPr>
      <w:r>
        <w:rPr>
          <w:rFonts w:hint="eastAsia" w:ascii="宋体" w:hAnsi="宋体" w:cs="宋体"/>
          <w:sz w:val="24"/>
        </w:rPr>
        <w:t>本项目采用“综合评审法”，评标委员会成员综合评定各参加投标的投标方提交的资质文件，技术标，商务标，根据初步评审结果及综合评审评分细则所确定的得分排序由高到低确定中标方候选。</w:t>
      </w:r>
      <w:r>
        <w:rPr>
          <w:rFonts w:hint="eastAsia" w:ascii="宋体" w:hAnsi="宋体" w:cs="宋体"/>
          <w:b/>
          <w:bCs/>
          <w:sz w:val="24"/>
          <w:u w:val="single"/>
        </w:rPr>
        <w:t>资质标不参与打分，核查资质不满足要求的，直接取消竞标资格，不得进行下一轮</w:t>
      </w:r>
      <w:r>
        <w:rPr>
          <w:rFonts w:hint="eastAsia" w:ascii="宋体" w:hAnsi="宋体" w:cs="宋体"/>
          <w:sz w:val="24"/>
        </w:rPr>
        <w:t>。</w:t>
      </w:r>
    </w:p>
    <w:p>
      <w:pPr>
        <w:spacing w:line="360" w:lineRule="auto"/>
        <w:ind w:firstLine="540" w:firstLineChars="225"/>
        <w:rPr>
          <w:rFonts w:ascii="宋体" w:hAnsi="宋体" w:cs="宋体"/>
          <w:sz w:val="24"/>
        </w:rPr>
      </w:pPr>
      <w:r>
        <w:rPr>
          <w:rFonts w:hint="eastAsia" w:ascii="宋体" w:hAnsi="宋体" w:cs="宋体"/>
          <w:sz w:val="24"/>
        </w:rPr>
        <w:t>1、资质标、技术标和商务标分开密封，技术标与商务标同时投标，分开开标：先开技术标，按照标书中规定的详细技术配置对比表进行技术评标，在满足技术要求的前提下（含技术澄清），经专家组讨论通过后，再开商务标。</w:t>
      </w:r>
    </w:p>
    <w:p>
      <w:pPr>
        <w:spacing w:line="360" w:lineRule="auto"/>
        <w:ind w:firstLine="480"/>
        <w:rPr>
          <w:rFonts w:ascii="宋体" w:hAnsi="宋体" w:cs="宋体"/>
          <w:sz w:val="24"/>
        </w:rPr>
      </w:pPr>
      <w:r>
        <w:rPr>
          <w:rFonts w:hint="eastAsia" w:ascii="宋体" w:hAnsi="宋体" w:cs="宋体"/>
          <w:sz w:val="24"/>
        </w:rPr>
        <w:t>2、综合评审，确定中标方候选。</w:t>
      </w:r>
    </w:p>
    <w:p>
      <w:pPr>
        <w:spacing w:line="360" w:lineRule="auto"/>
        <w:ind w:firstLine="540" w:firstLineChars="225"/>
        <w:rPr>
          <w:rFonts w:ascii="宋体" w:hAnsi="宋体" w:cs="宋体"/>
          <w:sz w:val="24"/>
        </w:rPr>
      </w:pPr>
      <w:r>
        <w:rPr>
          <w:rFonts w:hint="eastAsia" w:ascii="宋体" w:hAnsi="宋体" w:cs="宋体"/>
          <w:sz w:val="24"/>
        </w:rPr>
        <w:t>评标委员会采用“综合实力最强，投标方的社会信誉好，能够最大限度满足招标文件中规定的各项标准，并且投标报价合理”的方法依次对各投标方进行综合评审，并进行打分，评委将按以下评分细则进行综合分析、比较并打分。为保证项目顺利实施，由招标人组织、按国家法律法规及公司相关规章制度要求，设立评标工作小组，本着公平、公正、公开的原则，在最大限度地满足招标文件实质性要求的前提下，对招标文件中规定的各项因素进行综合评审，确定中标人（</w:t>
      </w:r>
      <w:r>
        <w:rPr>
          <w:rFonts w:hint="eastAsia" w:ascii="宋体" w:hAnsi="宋体" w:cs="宋体"/>
          <w:sz w:val="24"/>
          <w:u w:val="single"/>
        </w:rPr>
        <w:t>不保证最低价格中标</w:t>
      </w:r>
      <w:r>
        <w:rPr>
          <w:rFonts w:hint="eastAsia" w:ascii="宋体" w:hAnsi="宋体" w:cs="宋体"/>
          <w:sz w:val="24"/>
        </w:rPr>
        <w:t>），对未中标单位不做任何解释。</w:t>
      </w:r>
    </w:p>
    <w:p>
      <w:pPr>
        <w:spacing w:line="360" w:lineRule="auto"/>
        <w:ind w:firstLine="540" w:firstLineChars="225"/>
        <w:rPr>
          <w:rFonts w:ascii="宋体" w:hAnsi="宋体" w:cs="宋体"/>
          <w:sz w:val="24"/>
        </w:rPr>
      </w:pPr>
      <w:r>
        <w:rPr>
          <w:rFonts w:hint="eastAsia" w:ascii="宋体" w:hAnsi="宋体" w:cs="宋体"/>
          <w:sz w:val="24"/>
        </w:rPr>
        <w:t>本次招标采取多级评标模式，由采购人员与专家组共同对候选中标人进行评/议标，最终确定推荐中标人。</w:t>
      </w:r>
    </w:p>
    <w:p>
      <w:pPr>
        <w:spacing w:line="360" w:lineRule="auto"/>
        <w:rPr>
          <w:rFonts w:ascii="宋体" w:hAnsi="宋体"/>
          <w:b/>
          <w:i/>
          <w:iCs/>
          <w:sz w:val="24"/>
          <w:szCs w:val="24"/>
        </w:rPr>
      </w:pPr>
      <w:r>
        <w:rPr>
          <w:rFonts w:hint="eastAsia" w:ascii="宋体" w:hAnsi="宋体"/>
          <w:b/>
          <w:sz w:val="24"/>
          <w:szCs w:val="24"/>
        </w:rPr>
        <w:t>综合评审评分细则</w:t>
      </w:r>
      <w:r>
        <w:rPr>
          <w:rFonts w:hint="eastAsia" w:ascii="宋体" w:hAnsi="宋体"/>
          <w:b/>
          <w:iCs/>
          <w:sz w:val="24"/>
          <w:szCs w:val="24"/>
        </w:rPr>
        <w:t>（满分100分）</w:t>
      </w:r>
    </w:p>
    <w:p>
      <w:pPr>
        <w:spacing w:line="360" w:lineRule="auto"/>
        <w:rPr>
          <w:rFonts w:ascii="宋体" w:hAnsi="宋体"/>
          <w:b/>
          <w:sz w:val="24"/>
          <w:szCs w:val="24"/>
        </w:rPr>
      </w:pPr>
      <w:r>
        <w:rPr>
          <w:rFonts w:hint="eastAsia" w:ascii="宋体" w:hAnsi="宋体"/>
          <w:b/>
          <w:sz w:val="24"/>
          <w:szCs w:val="24"/>
        </w:rPr>
        <w:t>详见下页</w:t>
      </w:r>
    </w:p>
    <w:tbl>
      <w:tblPr>
        <w:tblStyle w:val="76"/>
        <w:tblW w:w="9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059"/>
        <w:gridCol w:w="2552"/>
        <w:gridCol w:w="5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 w:hRule="atLeast"/>
        </w:trPr>
        <w:tc>
          <w:tcPr>
            <w:tcW w:w="750" w:type="dxa"/>
            <w:vAlign w:val="center"/>
          </w:tcPr>
          <w:p>
            <w:pPr>
              <w:spacing w:line="340" w:lineRule="exact"/>
              <w:jc w:val="center"/>
              <w:rPr>
                <w:rFonts w:ascii="宋体" w:hAnsi="宋体" w:cs="Calibri"/>
                <w:bCs/>
                <w:sz w:val="24"/>
                <w:szCs w:val="24"/>
              </w:rPr>
            </w:pPr>
            <w:r>
              <w:rPr>
                <w:rFonts w:hint="eastAsia" w:ascii="宋体" w:hAnsi="宋体" w:cs="Calibri"/>
                <w:bCs/>
                <w:sz w:val="24"/>
                <w:szCs w:val="24"/>
              </w:rPr>
              <w:t>序号</w:t>
            </w:r>
          </w:p>
        </w:tc>
        <w:tc>
          <w:tcPr>
            <w:tcW w:w="8810" w:type="dxa"/>
            <w:gridSpan w:val="3"/>
            <w:vAlign w:val="center"/>
          </w:tcPr>
          <w:p>
            <w:pPr>
              <w:spacing w:line="340" w:lineRule="exact"/>
              <w:jc w:val="center"/>
              <w:rPr>
                <w:rFonts w:ascii="宋体" w:hAnsi="宋体" w:cs="Calibri"/>
                <w:b/>
                <w:bCs/>
                <w:sz w:val="24"/>
                <w:szCs w:val="24"/>
              </w:rPr>
            </w:pPr>
            <w:r>
              <w:rPr>
                <w:rFonts w:hint="eastAsia" w:ascii="宋体" w:hAnsi="宋体" w:cs="Calibri"/>
                <w:bCs/>
                <w:sz w:val="24"/>
                <w:szCs w:val="24"/>
              </w:rPr>
              <w:t>评审内容(100分)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 w:hRule="atLeast"/>
        </w:trPr>
        <w:tc>
          <w:tcPr>
            <w:tcW w:w="750" w:type="dxa"/>
            <w:vMerge w:val="restart"/>
            <w:vAlign w:val="center"/>
          </w:tcPr>
          <w:p>
            <w:pPr>
              <w:spacing w:line="340" w:lineRule="exact"/>
              <w:jc w:val="center"/>
              <w:rPr>
                <w:rFonts w:ascii="宋体" w:hAnsi="宋体" w:cs="Calibri"/>
                <w:bCs/>
                <w:sz w:val="24"/>
                <w:szCs w:val="24"/>
              </w:rPr>
            </w:pPr>
            <w:r>
              <w:rPr>
                <w:rFonts w:hint="eastAsia" w:ascii="宋体" w:hAnsi="宋体" w:cs="Calibri"/>
                <w:bCs/>
                <w:sz w:val="24"/>
                <w:szCs w:val="24"/>
              </w:rPr>
              <w:t>1</w:t>
            </w:r>
          </w:p>
        </w:tc>
        <w:tc>
          <w:tcPr>
            <w:tcW w:w="1059" w:type="dxa"/>
            <w:vMerge w:val="restart"/>
            <w:vAlign w:val="center"/>
          </w:tcPr>
          <w:p>
            <w:pPr>
              <w:pStyle w:val="26"/>
              <w:spacing w:after="0" w:line="340" w:lineRule="exact"/>
              <w:jc w:val="center"/>
              <w:rPr>
                <w:rFonts w:ascii="宋体" w:hAnsi="宋体" w:cs="宋体"/>
                <w:sz w:val="24"/>
                <w:szCs w:val="24"/>
              </w:rPr>
            </w:pPr>
            <w:r>
              <w:rPr>
                <w:rFonts w:hint="eastAsia" w:ascii="宋体" w:hAnsi="宋体" w:cs="宋体"/>
                <w:sz w:val="24"/>
                <w:szCs w:val="24"/>
              </w:rPr>
              <w:t>技术标（</w:t>
            </w:r>
            <w:r>
              <w:rPr>
                <w:rFonts w:hint="eastAsia" w:ascii="宋体" w:hAnsi="宋体" w:cs="宋体"/>
                <w:sz w:val="24"/>
                <w:szCs w:val="24"/>
                <w:lang w:val="en-US" w:eastAsia="zh-CN"/>
              </w:rPr>
              <w:t>5</w:t>
            </w:r>
            <w:r>
              <w:rPr>
                <w:rFonts w:hint="eastAsia" w:ascii="宋体" w:hAnsi="宋体" w:cs="宋体"/>
                <w:sz w:val="24"/>
                <w:szCs w:val="24"/>
              </w:rPr>
              <w:t>0分）</w:t>
            </w:r>
          </w:p>
        </w:tc>
        <w:tc>
          <w:tcPr>
            <w:tcW w:w="2552" w:type="dxa"/>
            <w:vAlign w:val="center"/>
          </w:tcPr>
          <w:p>
            <w:pPr>
              <w:pStyle w:val="26"/>
              <w:spacing w:after="0" w:line="320" w:lineRule="exact"/>
              <w:jc w:val="center"/>
              <w:rPr>
                <w:rFonts w:ascii="宋体" w:hAnsi="宋体" w:cs="宋体"/>
                <w:sz w:val="24"/>
                <w:szCs w:val="24"/>
              </w:rPr>
            </w:pPr>
            <w:r>
              <w:rPr>
                <w:rFonts w:hint="eastAsia" w:ascii="宋体" w:hAnsi="宋体" w:cs="宋体"/>
                <w:sz w:val="24"/>
                <w:szCs w:val="24"/>
              </w:rPr>
              <w:t>技术方案部分（30分）</w:t>
            </w:r>
          </w:p>
        </w:tc>
        <w:tc>
          <w:tcPr>
            <w:tcW w:w="5199" w:type="dxa"/>
            <w:vAlign w:val="center"/>
          </w:tcPr>
          <w:p>
            <w:pPr>
              <w:pStyle w:val="26"/>
              <w:spacing w:after="0" w:line="340" w:lineRule="exact"/>
              <w:rPr>
                <w:rFonts w:ascii="宋体" w:hAnsi="宋体" w:cs="宋体"/>
                <w:sz w:val="24"/>
                <w:szCs w:val="24"/>
              </w:rPr>
            </w:pPr>
            <w:r>
              <w:rPr>
                <w:rFonts w:hint="eastAsia" w:ascii="宋体" w:hAnsi="宋体" w:cs="宋体"/>
                <w:sz w:val="24"/>
                <w:szCs w:val="24"/>
              </w:rPr>
              <w:t>2.1所报产品的技术参数满足招标文件要求得基本分20分；</w:t>
            </w:r>
          </w:p>
          <w:p>
            <w:pPr>
              <w:pStyle w:val="26"/>
              <w:spacing w:after="0" w:line="320" w:lineRule="exact"/>
              <w:rPr>
                <w:rFonts w:ascii="宋体" w:hAnsi="宋体" w:cs="宋体"/>
                <w:sz w:val="24"/>
                <w:szCs w:val="24"/>
              </w:rPr>
            </w:pPr>
            <w:r>
              <w:rPr>
                <w:rFonts w:hint="eastAsia" w:ascii="宋体" w:hAnsi="宋体" w:cs="宋体"/>
                <w:sz w:val="24"/>
                <w:szCs w:val="24"/>
              </w:rPr>
              <w:t>2.2每一项技术参数优于招标文件的加2分，最高加10分；每一项技术参数低于招标文件的减2分，减完为止。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 w:hRule="atLeast"/>
        </w:trPr>
        <w:tc>
          <w:tcPr>
            <w:tcW w:w="750" w:type="dxa"/>
            <w:vMerge w:val="continue"/>
            <w:vAlign w:val="center"/>
          </w:tcPr>
          <w:p>
            <w:pPr>
              <w:spacing w:line="340" w:lineRule="exact"/>
              <w:jc w:val="center"/>
              <w:rPr>
                <w:rFonts w:ascii="宋体" w:hAnsi="宋体" w:cs="Calibri"/>
                <w:bCs/>
                <w:sz w:val="24"/>
                <w:szCs w:val="24"/>
              </w:rPr>
            </w:pPr>
          </w:p>
        </w:tc>
        <w:tc>
          <w:tcPr>
            <w:tcW w:w="1059" w:type="dxa"/>
            <w:vMerge w:val="continue"/>
            <w:vAlign w:val="center"/>
          </w:tcPr>
          <w:p>
            <w:pPr>
              <w:pStyle w:val="26"/>
              <w:spacing w:after="0" w:line="340" w:lineRule="exact"/>
              <w:jc w:val="center"/>
              <w:rPr>
                <w:rFonts w:ascii="宋体" w:hAnsi="宋体" w:cs="宋体"/>
                <w:sz w:val="24"/>
                <w:szCs w:val="24"/>
              </w:rPr>
            </w:pPr>
          </w:p>
        </w:tc>
        <w:tc>
          <w:tcPr>
            <w:tcW w:w="2552" w:type="dxa"/>
            <w:vAlign w:val="center"/>
          </w:tcPr>
          <w:p>
            <w:pPr>
              <w:pStyle w:val="26"/>
              <w:spacing w:after="0" w:line="340" w:lineRule="exact"/>
              <w:jc w:val="center"/>
              <w:rPr>
                <w:rFonts w:ascii="宋体" w:hAnsi="宋体" w:cs="宋体"/>
                <w:sz w:val="24"/>
                <w:szCs w:val="24"/>
              </w:rPr>
            </w:pPr>
            <w:r>
              <w:rPr>
                <w:rFonts w:hint="eastAsia" w:ascii="宋体" w:hAnsi="宋体" w:cs="宋体"/>
                <w:sz w:val="24"/>
                <w:szCs w:val="24"/>
              </w:rPr>
              <w:t>产品质量及保证措施（5分）</w:t>
            </w:r>
          </w:p>
        </w:tc>
        <w:tc>
          <w:tcPr>
            <w:tcW w:w="5199" w:type="dxa"/>
            <w:vAlign w:val="center"/>
          </w:tcPr>
          <w:p>
            <w:pPr>
              <w:pStyle w:val="26"/>
              <w:spacing w:after="0" w:line="340" w:lineRule="exact"/>
              <w:rPr>
                <w:rFonts w:ascii="宋体" w:hAnsi="宋体" w:cs="宋体"/>
                <w:sz w:val="24"/>
                <w:szCs w:val="24"/>
              </w:rPr>
            </w:pPr>
            <w:r>
              <w:rPr>
                <w:rFonts w:hint="eastAsia" w:ascii="宋体" w:hAnsi="宋体" w:cs="宋体"/>
                <w:sz w:val="24"/>
                <w:szCs w:val="24"/>
              </w:rPr>
              <w:t>提供的产品质量、性能稳定可靠，且有完善的生产保证措施及质量保证体系的酌情得1-5分。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0" w:hRule="atLeast"/>
        </w:trPr>
        <w:tc>
          <w:tcPr>
            <w:tcW w:w="750" w:type="dxa"/>
            <w:vMerge w:val="continue"/>
            <w:vAlign w:val="center"/>
          </w:tcPr>
          <w:p>
            <w:pPr>
              <w:spacing w:line="340" w:lineRule="exact"/>
              <w:jc w:val="center"/>
              <w:rPr>
                <w:rFonts w:ascii="宋体" w:hAnsi="宋体" w:cs="Calibri"/>
                <w:bCs/>
                <w:sz w:val="24"/>
                <w:szCs w:val="24"/>
              </w:rPr>
            </w:pPr>
          </w:p>
        </w:tc>
        <w:tc>
          <w:tcPr>
            <w:tcW w:w="1059" w:type="dxa"/>
            <w:vMerge w:val="continue"/>
            <w:vAlign w:val="center"/>
          </w:tcPr>
          <w:p>
            <w:pPr>
              <w:pStyle w:val="26"/>
              <w:spacing w:after="0" w:line="340" w:lineRule="exact"/>
              <w:jc w:val="center"/>
              <w:rPr>
                <w:rFonts w:ascii="宋体" w:hAnsi="宋体" w:cs="宋体"/>
                <w:sz w:val="24"/>
                <w:szCs w:val="24"/>
              </w:rPr>
            </w:pPr>
          </w:p>
        </w:tc>
        <w:tc>
          <w:tcPr>
            <w:tcW w:w="2552" w:type="dxa"/>
            <w:vAlign w:val="center"/>
          </w:tcPr>
          <w:p>
            <w:pPr>
              <w:pStyle w:val="26"/>
              <w:spacing w:after="0" w:line="340" w:lineRule="exact"/>
              <w:jc w:val="center"/>
              <w:rPr>
                <w:rFonts w:ascii="宋体" w:hAnsi="宋体" w:cs="宋体"/>
                <w:sz w:val="24"/>
                <w:szCs w:val="24"/>
              </w:rPr>
            </w:pPr>
            <w:r>
              <w:rPr>
                <w:rFonts w:hint="eastAsia" w:ascii="宋体" w:hAnsi="宋体" w:cs="宋体"/>
                <w:sz w:val="24"/>
                <w:szCs w:val="24"/>
              </w:rPr>
              <w:t>供货周期（</w:t>
            </w:r>
            <w:r>
              <w:rPr>
                <w:rFonts w:hint="eastAsia" w:ascii="宋体" w:hAnsi="宋体" w:cs="宋体"/>
                <w:sz w:val="24"/>
                <w:szCs w:val="24"/>
                <w:lang w:val="en-US" w:eastAsia="zh-CN"/>
              </w:rPr>
              <w:t>5</w:t>
            </w:r>
            <w:r>
              <w:rPr>
                <w:rFonts w:hint="eastAsia" w:ascii="宋体" w:hAnsi="宋体" w:cs="宋体"/>
                <w:sz w:val="24"/>
                <w:szCs w:val="24"/>
              </w:rPr>
              <w:t>分）</w:t>
            </w:r>
          </w:p>
        </w:tc>
        <w:tc>
          <w:tcPr>
            <w:tcW w:w="5199" w:type="dxa"/>
            <w:vAlign w:val="center"/>
          </w:tcPr>
          <w:p>
            <w:pPr>
              <w:pStyle w:val="26"/>
              <w:spacing w:after="0" w:line="340" w:lineRule="exact"/>
              <w:rPr>
                <w:rFonts w:ascii="宋体" w:hAnsi="宋体" w:cs="宋体"/>
                <w:sz w:val="24"/>
                <w:szCs w:val="24"/>
              </w:rPr>
            </w:pPr>
            <w:r>
              <w:rPr>
                <w:rFonts w:hint="eastAsia" w:ascii="宋体" w:hAnsi="宋体" w:cs="宋体"/>
                <w:sz w:val="24"/>
                <w:szCs w:val="24"/>
              </w:rPr>
              <w:t>4.1响应供货期基本要求得基本分</w:t>
            </w:r>
            <w:r>
              <w:rPr>
                <w:rFonts w:hint="eastAsia" w:ascii="宋体" w:hAnsi="宋体" w:cs="宋体"/>
                <w:sz w:val="24"/>
                <w:szCs w:val="24"/>
                <w:lang w:val="en-US" w:eastAsia="zh-CN"/>
              </w:rPr>
              <w:t>3</w:t>
            </w:r>
            <w:r>
              <w:rPr>
                <w:rFonts w:hint="eastAsia" w:ascii="宋体" w:hAnsi="宋体" w:cs="宋体"/>
                <w:sz w:val="24"/>
                <w:szCs w:val="24"/>
              </w:rPr>
              <w:t>分；</w:t>
            </w:r>
          </w:p>
          <w:p>
            <w:pPr>
              <w:pStyle w:val="26"/>
              <w:spacing w:after="0" w:line="340" w:lineRule="exact"/>
              <w:rPr>
                <w:rFonts w:ascii="宋体" w:hAnsi="宋体" w:cs="宋体"/>
                <w:sz w:val="24"/>
                <w:szCs w:val="24"/>
              </w:rPr>
            </w:pPr>
            <w:r>
              <w:rPr>
                <w:rFonts w:hint="eastAsia" w:ascii="宋体" w:hAnsi="宋体" w:cs="宋体"/>
                <w:sz w:val="24"/>
                <w:szCs w:val="24"/>
              </w:rPr>
              <w:t>4.2能提供详细的供货计划或生产加工计划，有详细的确保满足供货期基本要求或能在保证质量的前提下提前交货措施的说明及证明材料，根据实际情况酌情得1-</w:t>
            </w:r>
            <w:r>
              <w:rPr>
                <w:rFonts w:hint="eastAsia" w:ascii="宋体" w:hAnsi="宋体" w:cs="宋体"/>
                <w:sz w:val="24"/>
                <w:szCs w:val="24"/>
                <w:lang w:val="en-US" w:eastAsia="zh-CN"/>
              </w:rPr>
              <w:t>2</w:t>
            </w:r>
            <w:r>
              <w:rPr>
                <w:rFonts w:hint="eastAsia" w:ascii="宋体" w:hAnsi="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 w:hRule="atLeast"/>
        </w:trPr>
        <w:tc>
          <w:tcPr>
            <w:tcW w:w="750" w:type="dxa"/>
            <w:vMerge w:val="continue"/>
            <w:vAlign w:val="center"/>
          </w:tcPr>
          <w:p>
            <w:pPr>
              <w:spacing w:line="340" w:lineRule="exact"/>
              <w:jc w:val="center"/>
              <w:rPr>
                <w:rFonts w:ascii="宋体" w:hAnsi="宋体" w:cs="Calibri"/>
                <w:bCs/>
                <w:sz w:val="24"/>
                <w:szCs w:val="24"/>
              </w:rPr>
            </w:pPr>
          </w:p>
        </w:tc>
        <w:tc>
          <w:tcPr>
            <w:tcW w:w="1059" w:type="dxa"/>
            <w:vMerge w:val="continue"/>
            <w:vAlign w:val="center"/>
          </w:tcPr>
          <w:p>
            <w:pPr>
              <w:pStyle w:val="26"/>
              <w:spacing w:after="0" w:line="340" w:lineRule="exact"/>
              <w:jc w:val="center"/>
              <w:rPr>
                <w:rFonts w:ascii="宋体" w:hAnsi="宋体" w:cs="宋体"/>
                <w:sz w:val="24"/>
                <w:szCs w:val="24"/>
              </w:rPr>
            </w:pPr>
          </w:p>
        </w:tc>
        <w:tc>
          <w:tcPr>
            <w:tcW w:w="2552" w:type="dxa"/>
            <w:vAlign w:val="center"/>
          </w:tcPr>
          <w:p>
            <w:pPr>
              <w:pStyle w:val="26"/>
              <w:spacing w:after="0" w:line="340" w:lineRule="exact"/>
              <w:jc w:val="center"/>
              <w:rPr>
                <w:rFonts w:ascii="宋体" w:hAnsi="宋体" w:cs="宋体"/>
                <w:sz w:val="24"/>
                <w:szCs w:val="24"/>
              </w:rPr>
            </w:pPr>
            <w:r>
              <w:rPr>
                <w:rFonts w:hint="eastAsia" w:ascii="宋体" w:hAnsi="宋体" w:cs="宋体"/>
                <w:sz w:val="24"/>
                <w:szCs w:val="24"/>
              </w:rPr>
              <w:t>业绩（</w:t>
            </w:r>
            <w:r>
              <w:rPr>
                <w:rFonts w:hint="eastAsia" w:ascii="宋体" w:hAnsi="宋体" w:cs="宋体"/>
                <w:sz w:val="24"/>
                <w:szCs w:val="24"/>
                <w:lang w:val="en-US" w:eastAsia="zh-CN"/>
              </w:rPr>
              <w:t>5</w:t>
            </w:r>
            <w:r>
              <w:rPr>
                <w:rFonts w:hint="eastAsia" w:ascii="宋体" w:hAnsi="宋体" w:cs="宋体"/>
                <w:sz w:val="24"/>
                <w:szCs w:val="24"/>
              </w:rPr>
              <w:t>分）</w:t>
            </w:r>
          </w:p>
        </w:tc>
        <w:tc>
          <w:tcPr>
            <w:tcW w:w="5199" w:type="dxa"/>
            <w:vAlign w:val="center"/>
          </w:tcPr>
          <w:p>
            <w:pPr>
              <w:pStyle w:val="26"/>
              <w:spacing w:after="0" w:line="340" w:lineRule="exact"/>
              <w:rPr>
                <w:rFonts w:ascii="宋体" w:hAnsi="宋体" w:cs="宋体"/>
                <w:sz w:val="24"/>
                <w:szCs w:val="24"/>
              </w:rPr>
            </w:pPr>
            <w:r>
              <w:rPr>
                <w:rFonts w:hint="eastAsia" w:ascii="宋体" w:hAnsi="宋体" w:cs="宋体"/>
                <w:sz w:val="24"/>
                <w:szCs w:val="24"/>
              </w:rPr>
              <w:t>承担一个高端乘用车品牌（奔驰、奥迪等品牌）类似的业绩得2分；承担一个国内乘用车品牌（吉利、长城、比亚迪等品牌）类似的业绩得1分；</w:t>
            </w:r>
          </w:p>
          <w:p>
            <w:pPr>
              <w:pStyle w:val="26"/>
              <w:spacing w:after="0" w:line="340" w:lineRule="exact"/>
              <w:rPr>
                <w:rFonts w:ascii="宋体" w:hAnsi="宋体" w:cs="宋体"/>
                <w:sz w:val="24"/>
                <w:szCs w:val="24"/>
              </w:rPr>
            </w:pPr>
            <w:r>
              <w:rPr>
                <w:rFonts w:hint="eastAsia" w:ascii="宋体" w:hAnsi="宋体" w:cs="宋体"/>
                <w:sz w:val="24"/>
                <w:szCs w:val="24"/>
              </w:rPr>
              <w:t>满分</w:t>
            </w:r>
            <w:r>
              <w:rPr>
                <w:rFonts w:hint="eastAsia" w:ascii="宋体" w:hAnsi="宋体" w:cs="宋体"/>
                <w:sz w:val="24"/>
                <w:szCs w:val="24"/>
                <w:lang w:val="en-US" w:eastAsia="zh-CN"/>
              </w:rPr>
              <w:t>5</w:t>
            </w:r>
            <w:r>
              <w:rPr>
                <w:rFonts w:hint="eastAsia" w:ascii="宋体" w:hAnsi="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 w:hRule="atLeast"/>
        </w:trPr>
        <w:tc>
          <w:tcPr>
            <w:tcW w:w="750" w:type="dxa"/>
            <w:vMerge w:val="continue"/>
            <w:vAlign w:val="center"/>
          </w:tcPr>
          <w:p>
            <w:pPr>
              <w:spacing w:line="340" w:lineRule="exact"/>
              <w:jc w:val="center"/>
              <w:rPr>
                <w:rFonts w:ascii="宋体" w:hAnsi="宋体" w:cs="Calibri"/>
                <w:bCs/>
                <w:sz w:val="24"/>
                <w:szCs w:val="24"/>
              </w:rPr>
            </w:pPr>
          </w:p>
        </w:tc>
        <w:tc>
          <w:tcPr>
            <w:tcW w:w="1059" w:type="dxa"/>
            <w:vMerge w:val="continue"/>
            <w:vAlign w:val="center"/>
          </w:tcPr>
          <w:p>
            <w:pPr>
              <w:pStyle w:val="26"/>
              <w:spacing w:after="0" w:line="340" w:lineRule="exact"/>
              <w:jc w:val="center"/>
              <w:rPr>
                <w:rFonts w:ascii="宋体" w:hAnsi="宋体" w:cs="宋体"/>
                <w:sz w:val="24"/>
                <w:szCs w:val="24"/>
              </w:rPr>
            </w:pPr>
          </w:p>
        </w:tc>
        <w:tc>
          <w:tcPr>
            <w:tcW w:w="2552" w:type="dxa"/>
            <w:vAlign w:val="center"/>
          </w:tcPr>
          <w:p>
            <w:pPr>
              <w:pStyle w:val="26"/>
              <w:spacing w:after="0" w:line="340" w:lineRule="exact"/>
              <w:jc w:val="center"/>
              <w:rPr>
                <w:rFonts w:ascii="宋体" w:hAnsi="宋体" w:cs="宋体"/>
                <w:sz w:val="24"/>
                <w:szCs w:val="24"/>
              </w:rPr>
            </w:pPr>
            <w:r>
              <w:rPr>
                <w:rFonts w:hint="eastAsia" w:ascii="宋体" w:hAnsi="宋体" w:cs="宋体"/>
                <w:sz w:val="24"/>
                <w:szCs w:val="24"/>
              </w:rPr>
              <w:t>质保期及售后服务</w:t>
            </w:r>
          </w:p>
          <w:p>
            <w:pPr>
              <w:pStyle w:val="26"/>
              <w:spacing w:after="0" w:line="340" w:lineRule="exact"/>
              <w:jc w:val="center"/>
              <w:rPr>
                <w:rFonts w:ascii="宋体" w:hAnsi="宋体" w:cs="宋体"/>
                <w:sz w:val="24"/>
                <w:szCs w:val="24"/>
              </w:rPr>
            </w:pPr>
            <w:r>
              <w:rPr>
                <w:rFonts w:hint="eastAsia" w:ascii="宋体" w:hAnsi="宋体" w:cs="宋体"/>
                <w:sz w:val="24"/>
                <w:szCs w:val="24"/>
              </w:rPr>
              <w:t>（5分）</w:t>
            </w:r>
          </w:p>
        </w:tc>
        <w:tc>
          <w:tcPr>
            <w:tcW w:w="5199" w:type="dxa"/>
            <w:vAlign w:val="center"/>
          </w:tcPr>
          <w:p>
            <w:pPr>
              <w:pStyle w:val="26"/>
              <w:spacing w:after="0" w:line="340" w:lineRule="exact"/>
              <w:rPr>
                <w:rFonts w:ascii="宋体" w:hAnsi="宋体" w:cs="宋体"/>
                <w:sz w:val="24"/>
                <w:szCs w:val="24"/>
              </w:rPr>
            </w:pPr>
            <w:r>
              <w:rPr>
                <w:rFonts w:hint="eastAsia" w:ascii="宋体" w:hAnsi="宋体" w:cs="宋体"/>
                <w:sz w:val="24"/>
                <w:szCs w:val="24"/>
              </w:rPr>
              <w:t>质保期满足或优于招标文件要求，售后服务措施得当，体系完整，项目所在地有相应的的售后服务能力酌情得1-5分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 w:hRule="atLeast"/>
        </w:trPr>
        <w:tc>
          <w:tcPr>
            <w:tcW w:w="750" w:type="dxa"/>
            <w:vAlign w:val="center"/>
          </w:tcPr>
          <w:p>
            <w:pPr>
              <w:spacing w:line="340" w:lineRule="exact"/>
              <w:jc w:val="center"/>
              <w:rPr>
                <w:rFonts w:ascii="宋体" w:hAnsi="宋体" w:cs="Calibri"/>
                <w:bCs/>
                <w:sz w:val="24"/>
                <w:szCs w:val="24"/>
              </w:rPr>
            </w:pPr>
            <w:r>
              <w:rPr>
                <w:rFonts w:hint="eastAsia" w:ascii="宋体" w:hAnsi="宋体" w:cs="Calibri"/>
                <w:bCs/>
                <w:sz w:val="24"/>
                <w:szCs w:val="24"/>
              </w:rPr>
              <w:t>2</w:t>
            </w:r>
          </w:p>
        </w:tc>
        <w:tc>
          <w:tcPr>
            <w:tcW w:w="1059" w:type="dxa"/>
            <w:vAlign w:val="center"/>
          </w:tcPr>
          <w:p>
            <w:pPr>
              <w:pStyle w:val="26"/>
              <w:spacing w:after="0" w:line="340" w:lineRule="exact"/>
              <w:jc w:val="center"/>
              <w:rPr>
                <w:rFonts w:ascii="宋体" w:hAnsi="宋体" w:cs="宋体"/>
                <w:sz w:val="24"/>
                <w:szCs w:val="24"/>
              </w:rPr>
            </w:pPr>
            <w:r>
              <w:rPr>
                <w:rFonts w:hint="eastAsia" w:ascii="宋体" w:hAnsi="宋体" w:cs="宋体"/>
                <w:sz w:val="24"/>
                <w:szCs w:val="24"/>
              </w:rPr>
              <w:t>商务标（</w:t>
            </w:r>
            <w:r>
              <w:rPr>
                <w:rFonts w:hint="eastAsia" w:ascii="宋体" w:hAnsi="宋体" w:cs="宋体"/>
                <w:sz w:val="24"/>
                <w:szCs w:val="24"/>
                <w:lang w:val="en-US" w:eastAsia="zh-CN"/>
              </w:rPr>
              <w:t>5</w:t>
            </w:r>
            <w:r>
              <w:rPr>
                <w:rFonts w:hint="eastAsia" w:ascii="宋体" w:hAnsi="宋体" w:cs="宋体"/>
                <w:sz w:val="24"/>
                <w:szCs w:val="24"/>
              </w:rPr>
              <w:t>0分）</w:t>
            </w:r>
          </w:p>
        </w:tc>
        <w:tc>
          <w:tcPr>
            <w:tcW w:w="7751" w:type="dxa"/>
            <w:gridSpan w:val="2"/>
            <w:vAlign w:val="center"/>
          </w:tcPr>
          <w:p>
            <w:pPr>
              <w:pStyle w:val="69"/>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经初审合格的投标文件其投标报价为有效报价。采用基准法：当有效投标人有效报价数量大于5时，去掉最低价和最高价，取剩余投标人有效报价的算数平均值*0.9作为基准值；当有效投标人有效报价数量小于等于5时，取所有有效投标人有效报价的算术平均值*0.9作为基准值，根据投标报价与基准值价差大小给与赋分：投标报价与基准值相等，得基本分</w:t>
            </w:r>
            <w:r>
              <w:rPr>
                <w:rFonts w:hint="eastAsia" w:cs="宋体"/>
                <w:kern w:val="0"/>
                <w:sz w:val="24"/>
                <w:szCs w:val="24"/>
                <w:lang w:val="en-US" w:eastAsia="zh-CN" w:bidi="ar-SA"/>
              </w:rPr>
              <w:t>3</w:t>
            </w:r>
            <w:r>
              <w:rPr>
                <w:rFonts w:hint="eastAsia" w:ascii="宋体" w:hAnsi="宋体" w:eastAsia="宋体" w:cs="宋体"/>
                <w:kern w:val="0"/>
                <w:sz w:val="24"/>
                <w:szCs w:val="24"/>
                <w:lang w:val="en-US" w:eastAsia="zh-CN" w:bidi="ar-SA"/>
              </w:rPr>
              <w:t>5分；投标报价高于基准值，每比基准值高1%扣1分，得分下限为0分；投标报价低于基准值，每比基准值低1%加0.5分，得分上限为</w:t>
            </w:r>
            <w:r>
              <w:rPr>
                <w:rFonts w:hint="eastAsia" w:cs="宋体"/>
                <w:kern w:val="0"/>
                <w:sz w:val="24"/>
                <w:szCs w:val="24"/>
                <w:lang w:val="en-US" w:eastAsia="zh-CN" w:bidi="ar-SA"/>
              </w:rPr>
              <w:t>50</w:t>
            </w:r>
            <w:r>
              <w:rPr>
                <w:rFonts w:hint="eastAsia" w:ascii="宋体" w:hAnsi="宋体" w:eastAsia="宋体" w:cs="宋体"/>
                <w:kern w:val="0"/>
                <w:sz w:val="24"/>
                <w:szCs w:val="24"/>
                <w:lang w:val="en-US" w:eastAsia="zh-CN" w:bidi="ar-SA"/>
              </w:rPr>
              <w:t>分。</w:t>
            </w:r>
          </w:p>
          <w:p>
            <w:pPr>
              <w:pStyle w:val="69"/>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评标价格均以元（RMB）为单位计算，百分率、得分值小数点后保留二位，第三位四舍五入。</w:t>
            </w:r>
          </w:p>
          <w:p>
            <w:pPr>
              <w:pStyle w:val="26"/>
              <w:spacing w:after="0" w:line="340" w:lineRule="exact"/>
              <w:rPr>
                <w:rFonts w:ascii="宋体" w:hAnsi="宋体" w:cs="宋体"/>
                <w:sz w:val="24"/>
                <w:szCs w:val="24"/>
              </w:rPr>
            </w:pPr>
            <w:r>
              <w:rPr>
                <w:rFonts w:hint="eastAsia" w:ascii="宋体" w:hAnsi="宋体" w:eastAsia="宋体" w:cs="宋体"/>
                <w:kern w:val="0"/>
                <w:sz w:val="24"/>
                <w:szCs w:val="24"/>
                <w:lang w:val="en-US" w:eastAsia="zh-CN" w:bidi="ar-SA"/>
              </w:rPr>
              <w:t>评标委员会二分之一以上人员认为某投标总报价有低于成本价嫌疑的，视为无效报价，不进入下一步评审。</w:t>
            </w:r>
          </w:p>
        </w:tc>
      </w:tr>
      <w:bookmarkEnd w:id="72"/>
      <w:bookmarkEnd w:id="73"/>
    </w:tbl>
    <w:p>
      <w:pPr>
        <w:pStyle w:val="2"/>
        <w:rPr>
          <w:rFonts w:hint="eastAsia" w:ascii="宋体" w:hAnsi="宋体"/>
        </w:rPr>
      </w:pPr>
      <w:bookmarkStart w:id="75" w:name="_Toc49845975"/>
      <w:bookmarkStart w:id="76" w:name="_Toc27758105"/>
      <w:bookmarkStart w:id="77" w:name="_Toc518655787"/>
    </w:p>
    <w:p>
      <w:pPr>
        <w:pStyle w:val="2"/>
        <w:rPr>
          <w:rFonts w:hint="eastAsia" w:ascii="宋体" w:hAnsi="宋体"/>
        </w:rPr>
      </w:pPr>
    </w:p>
    <w:p>
      <w:pPr>
        <w:pStyle w:val="2"/>
        <w:rPr>
          <w:rFonts w:hint="eastAsia" w:ascii="宋体" w:hAnsi="宋体"/>
        </w:rPr>
      </w:pPr>
    </w:p>
    <w:p>
      <w:pPr>
        <w:pStyle w:val="2"/>
        <w:rPr>
          <w:rFonts w:hint="eastAsia" w:ascii="宋体" w:hAnsi="宋体"/>
        </w:rPr>
      </w:pPr>
    </w:p>
    <w:p>
      <w:pPr>
        <w:pStyle w:val="2"/>
        <w:rPr>
          <w:rFonts w:hint="eastAsia" w:ascii="宋体" w:hAnsi="宋体"/>
        </w:rPr>
      </w:pPr>
    </w:p>
    <w:p>
      <w:pPr>
        <w:pStyle w:val="2"/>
        <w:rPr>
          <w:rFonts w:hint="eastAsia" w:ascii="宋体" w:hAnsi="宋体"/>
        </w:rPr>
      </w:pPr>
    </w:p>
    <w:p>
      <w:pPr>
        <w:pStyle w:val="2"/>
        <w:rPr>
          <w:rFonts w:hint="eastAsia" w:ascii="宋体" w:hAnsi="宋体"/>
        </w:rPr>
      </w:pPr>
    </w:p>
    <w:p>
      <w:pPr>
        <w:pStyle w:val="2"/>
        <w:rPr>
          <w:rFonts w:hint="eastAsia" w:ascii="宋体" w:hAnsi="宋体"/>
        </w:rPr>
      </w:pPr>
    </w:p>
    <w:p>
      <w:pPr>
        <w:pStyle w:val="2"/>
        <w:rPr>
          <w:rFonts w:hint="eastAsia" w:ascii="宋体" w:hAnsi="宋体"/>
        </w:rPr>
      </w:pPr>
    </w:p>
    <w:p>
      <w:pPr>
        <w:pStyle w:val="2"/>
        <w:rPr>
          <w:rFonts w:ascii="宋体" w:hAnsi="宋体"/>
        </w:rPr>
      </w:pPr>
      <w:bookmarkStart w:id="78" w:name="_Toc18893"/>
      <w:r>
        <w:rPr>
          <w:rFonts w:hint="eastAsia" w:ascii="宋体" w:hAnsi="宋体"/>
        </w:rPr>
        <w:t>第四章  技术规格及技术要求</w:t>
      </w:r>
      <w:bookmarkEnd w:id="78"/>
    </w:p>
    <w:bookmarkEnd w:id="75"/>
    <w:bookmarkEnd w:id="76"/>
    <w:p>
      <w:pPr>
        <w:spacing w:line="360" w:lineRule="auto"/>
        <w:rPr>
          <w:rFonts w:hint="eastAsia" w:ascii="宋体" w:hAnsi="宋体" w:eastAsia="宋体" w:cs="宋体"/>
          <w:b/>
          <w:sz w:val="28"/>
          <w:szCs w:val="28"/>
        </w:rPr>
      </w:pPr>
      <w:bookmarkStart w:id="79" w:name="_Toc18377"/>
      <w:bookmarkStart w:id="80" w:name="_Toc159998018"/>
      <w:bookmarkStart w:id="81" w:name="_Toc1918"/>
      <w:bookmarkStart w:id="82" w:name="_Toc26357138"/>
      <w:bookmarkStart w:id="83" w:name="_Toc27758130"/>
      <w:bookmarkStart w:id="84" w:name="_Toc17670"/>
      <w:r>
        <w:rPr>
          <w:rFonts w:hint="eastAsia" w:ascii="宋体" w:hAnsi="宋体" w:eastAsia="宋体" w:cs="宋体"/>
          <w:b/>
          <w:sz w:val="28"/>
          <w:szCs w:val="28"/>
        </w:rPr>
        <w:t>一、货物需求概况</w:t>
      </w:r>
      <w:bookmarkEnd w:id="79"/>
      <w:bookmarkEnd w:id="80"/>
      <w:bookmarkEnd w:id="81"/>
      <w:bookmarkStart w:id="85" w:name="_Toc13633"/>
      <w:bookmarkStart w:id="86" w:name="_Toc159998019"/>
    </w:p>
    <w:p>
      <w:pPr>
        <w:pStyle w:val="72"/>
        <w:keepNext w:val="0"/>
        <w:keepLines w:val="0"/>
        <w:pageBreakBefore w:val="0"/>
        <w:widowControl w:val="0"/>
        <w:tabs>
          <w:tab w:val="left" w:pos="4253"/>
        </w:tabs>
        <w:kinsoku/>
        <w:wordWrap/>
        <w:overflowPunct/>
        <w:topLinePunct w:val="0"/>
        <w:autoSpaceDE/>
        <w:autoSpaceDN/>
        <w:bidi w:val="0"/>
        <w:adjustRightInd/>
        <w:snapToGrid/>
        <w:spacing w:before="0" w:beforeAutospacing="0" w:after="0" w:afterAutospacing="0" w:line="240" w:lineRule="auto"/>
        <w:jc w:val="left"/>
        <w:textAlignment w:val="auto"/>
        <w:rPr>
          <w:rFonts w:hint="eastAsia" w:ascii="宋体" w:hAnsi="宋体" w:eastAsia="宋体" w:cs="宋体"/>
          <w:bCs w:val="0"/>
          <w:kern w:val="2"/>
          <w:sz w:val="24"/>
          <w:szCs w:val="21"/>
        </w:rPr>
      </w:pPr>
      <w:bookmarkStart w:id="87" w:name="_Toc20201"/>
      <w:bookmarkStart w:id="88" w:name="_Toc27796"/>
      <w:bookmarkStart w:id="89" w:name="_Toc2235"/>
      <w:bookmarkStart w:id="90" w:name="_Toc8284"/>
      <w:r>
        <w:rPr>
          <w:rFonts w:hint="eastAsia" w:ascii="宋体" w:hAnsi="宋体" w:eastAsia="宋体" w:cs="宋体"/>
          <w:bCs w:val="0"/>
          <w:kern w:val="2"/>
          <w:sz w:val="24"/>
          <w:szCs w:val="21"/>
        </w:rPr>
        <w:t>1．项目概况及货物的使用环境</w:t>
      </w:r>
      <w:bookmarkEnd w:id="85"/>
      <w:bookmarkEnd w:id="86"/>
      <w:bookmarkEnd w:id="87"/>
      <w:bookmarkEnd w:id="88"/>
      <w:bookmarkEnd w:id="89"/>
      <w:bookmarkEnd w:id="90"/>
    </w:p>
    <w:p>
      <w:pPr>
        <w:spacing w:line="360" w:lineRule="auto"/>
        <w:rPr>
          <w:rFonts w:hint="eastAsia" w:ascii="宋体" w:hAnsi="宋体" w:eastAsia="宋体" w:cs="宋体"/>
          <w:sz w:val="24"/>
        </w:rPr>
      </w:pPr>
      <w:r>
        <w:rPr>
          <w:rFonts w:hint="eastAsia" w:ascii="宋体" w:hAnsi="宋体" w:eastAsia="宋体" w:cs="宋体"/>
          <w:sz w:val="24"/>
        </w:rPr>
        <w:t>1.1项目名称：</w:t>
      </w:r>
      <w:r>
        <w:rPr>
          <w:rFonts w:hint="eastAsia" w:ascii="宋体" w:hAnsi="宋体" w:eastAsia="宋体" w:cs="宋体"/>
          <w:sz w:val="24"/>
          <w:lang w:val="en-US" w:eastAsia="zh-CN"/>
        </w:rPr>
        <w:t>纯电动皮卡</w:t>
      </w:r>
      <w:r>
        <w:rPr>
          <w:rFonts w:hint="eastAsia" w:ascii="宋体" w:hAnsi="宋体" w:eastAsia="宋体" w:cs="宋体"/>
          <w:sz w:val="24"/>
        </w:rPr>
        <w:t>冲压模具项目</w:t>
      </w:r>
    </w:p>
    <w:p>
      <w:pPr>
        <w:spacing w:line="360" w:lineRule="auto"/>
        <w:rPr>
          <w:rFonts w:hint="eastAsia" w:ascii="宋体" w:hAnsi="宋体" w:eastAsia="宋体" w:cs="宋体"/>
          <w:sz w:val="24"/>
        </w:rPr>
      </w:pPr>
      <w:r>
        <w:rPr>
          <w:rFonts w:hint="eastAsia" w:ascii="宋体" w:hAnsi="宋体" w:eastAsia="宋体" w:cs="宋体"/>
          <w:sz w:val="24"/>
        </w:rPr>
        <w:t>1.2建设地点：济南轻卡制造公司</w:t>
      </w:r>
    </w:p>
    <w:p>
      <w:pPr>
        <w:spacing w:line="360" w:lineRule="auto"/>
        <w:rPr>
          <w:rFonts w:hint="eastAsia" w:ascii="宋体" w:hAnsi="宋体" w:eastAsia="宋体" w:cs="宋体"/>
          <w:sz w:val="24"/>
        </w:rPr>
      </w:pPr>
      <w:r>
        <w:rPr>
          <w:rFonts w:hint="eastAsia" w:ascii="宋体" w:hAnsi="宋体" w:eastAsia="宋体" w:cs="宋体"/>
          <w:sz w:val="24"/>
        </w:rPr>
        <w:t>1.3使用地点：中国重汽集团济南商用车有限公司配套商</w:t>
      </w:r>
    </w:p>
    <w:p>
      <w:pPr>
        <w:spacing w:line="360" w:lineRule="auto"/>
        <w:rPr>
          <w:rFonts w:hint="eastAsia" w:ascii="宋体" w:hAnsi="宋体" w:eastAsia="宋体" w:cs="宋体"/>
          <w:sz w:val="24"/>
        </w:rPr>
      </w:pPr>
      <w:r>
        <w:rPr>
          <w:rFonts w:hint="eastAsia" w:ascii="宋体" w:hAnsi="宋体" w:eastAsia="宋体" w:cs="宋体"/>
          <w:sz w:val="24"/>
        </w:rPr>
        <w:t>1.4工作制度：全年工作300天、3班制、设备年时基数6120小时以上</w:t>
      </w:r>
    </w:p>
    <w:p>
      <w:pPr>
        <w:spacing w:line="360" w:lineRule="auto"/>
        <w:rPr>
          <w:rFonts w:hint="eastAsia" w:ascii="宋体" w:hAnsi="宋体" w:eastAsia="宋体" w:cs="宋体"/>
          <w:sz w:val="24"/>
        </w:rPr>
      </w:pPr>
      <w:r>
        <w:rPr>
          <w:rFonts w:hint="eastAsia" w:ascii="宋体" w:hAnsi="宋体" w:eastAsia="宋体" w:cs="宋体"/>
          <w:sz w:val="24"/>
        </w:rPr>
        <w:t>1.5使用环境：</w:t>
      </w:r>
    </w:p>
    <w:p>
      <w:pPr>
        <w:spacing w:line="360" w:lineRule="auto"/>
        <w:rPr>
          <w:rFonts w:hint="eastAsia" w:ascii="宋体" w:hAnsi="宋体" w:eastAsia="宋体" w:cs="宋体"/>
          <w:sz w:val="24"/>
        </w:rPr>
      </w:pPr>
      <w:r>
        <w:rPr>
          <w:rFonts w:hint="eastAsia" w:ascii="宋体" w:hAnsi="宋体" w:eastAsia="宋体" w:cs="宋体"/>
          <w:sz w:val="24"/>
        </w:rPr>
        <w:t>1.5.1 环境温度：室内温度-10℃～40℃</w:t>
      </w:r>
    </w:p>
    <w:p>
      <w:pPr>
        <w:spacing w:line="360" w:lineRule="auto"/>
        <w:rPr>
          <w:rFonts w:hint="eastAsia" w:ascii="宋体" w:hAnsi="宋体" w:eastAsia="宋体" w:cs="宋体"/>
          <w:sz w:val="24"/>
        </w:rPr>
      </w:pPr>
      <w:r>
        <w:rPr>
          <w:rFonts w:hint="eastAsia" w:ascii="宋体" w:hAnsi="宋体" w:eastAsia="宋体" w:cs="宋体"/>
          <w:sz w:val="24"/>
        </w:rPr>
        <w:t>1.5.2 相对湿度：≤90%</w:t>
      </w:r>
    </w:p>
    <w:p>
      <w:pPr>
        <w:spacing w:line="360" w:lineRule="auto"/>
        <w:rPr>
          <w:rFonts w:hint="eastAsia" w:ascii="宋体" w:hAnsi="宋体" w:eastAsia="宋体" w:cs="宋体"/>
          <w:sz w:val="24"/>
        </w:rPr>
      </w:pPr>
      <w:r>
        <w:rPr>
          <w:rFonts w:hint="eastAsia" w:ascii="宋体" w:hAnsi="宋体" w:eastAsia="宋体" w:cs="宋体"/>
          <w:sz w:val="24"/>
        </w:rPr>
        <w:t>1.5.3电力：中国制式，供电电压380V±10%，供电频率50Hz±1%。</w:t>
      </w:r>
    </w:p>
    <w:p>
      <w:pPr>
        <w:spacing w:line="360" w:lineRule="auto"/>
        <w:rPr>
          <w:rFonts w:hint="eastAsia" w:ascii="宋体" w:hAnsi="宋体" w:eastAsia="宋体" w:cs="宋体"/>
          <w:sz w:val="24"/>
        </w:rPr>
      </w:pPr>
      <w:r>
        <w:rPr>
          <w:rFonts w:hint="eastAsia" w:ascii="宋体" w:hAnsi="宋体" w:eastAsia="宋体" w:cs="宋体"/>
          <w:sz w:val="24"/>
        </w:rPr>
        <w:t>1.5.4压缩空气：厂区空压力机自产压缩空气，0.55～0.65MPa</w:t>
      </w:r>
    </w:p>
    <w:p>
      <w:pPr>
        <w:pStyle w:val="72"/>
        <w:spacing w:before="0" w:after="0"/>
        <w:jc w:val="left"/>
        <w:rPr>
          <w:rFonts w:hint="eastAsia" w:ascii="宋体" w:hAnsi="宋体" w:eastAsia="宋体" w:cs="宋体"/>
          <w:sz w:val="24"/>
        </w:rPr>
      </w:pPr>
      <w:bookmarkStart w:id="91" w:name="_Toc5673"/>
      <w:bookmarkStart w:id="92" w:name="_Toc27458"/>
      <w:bookmarkStart w:id="93" w:name="_Toc31516"/>
      <w:bookmarkStart w:id="94" w:name="_Toc159998020"/>
      <w:bookmarkStart w:id="95" w:name="_Toc19349"/>
      <w:bookmarkStart w:id="96" w:name="_Toc28250"/>
      <w:r>
        <w:rPr>
          <w:rFonts w:hint="eastAsia" w:ascii="宋体" w:hAnsi="宋体" w:eastAsia="宋体" w:cs="宋体"/>
          <w:bCs w:val="0"/>
          <w:kern w:val="2"/>
          <w:sz w:val="24"/>
          <w:szCs w:val="21"/>
        </w:rPr>
        <w:t>2．货物需求一览表</w:t>
      </w:r>
      <w:bookmarkEnd w:id="91"/>
      <w:bookmarkEnd w:id="92"/>
      <w:bookmarkEnd w:id="93"/>
      <w:bookmarkEnd w:id="94"/>
      <w:bookmarkEnd w:id="95"/>
      <w:bookmarkEnd w:id="96"/>
    </w:p>
    <w:tbl>
      <w:tblPr>
        <w:tblStyle w:val="76"/>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1"/>
        <w:gridCol w:w="1418"/>
        <w:gridCol w:w="2416"/>
        <w:gridCol w:w="1914"/>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 w:hRule="atLeast"/>
          <w:jc w:val="center"/>
        </w:trPr>
        <w:tc>
          <w:tcPr>
            <w:tcW w:w="571" w:type="dxa"/>
            <w:vAlign w:val="center"/>
          </w:tcPr>
          <w:p>
            <w:pPr>
              <w:spacing w:line="24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1418" w:type="dxa"/>
            <w:tcMar>
              <w:top w:w="20" w:type="dxa"/>
              <w:left w:w="20" w:type="dxa"/>
              <w:bottom w:w="0" w:type="dxa"/>
              <w:right w:w="20" w:type="dxa"/>
            </w:tcMar>
            <w:vAlign w:val="center"/>
          </w:tcPr>
          <w:p>
            <w:pPr>
              <w:spacing w:line="24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项目</w:t>
            </w:r>
            <w:r>
              <w:rPr>
                <w:rFonts w:hint="eastAsia" w:ascii="宋体" w:hAnsi="宋体" w:eastAsia="宋体" w:cs="宋体"/>
                <w:b/>
                <w:sz w:val="24"/>
                <w:szCs w:val="24"/>
                <w:highlight w:val="none"/>
              </w:rPr>
              <w:t>名称</w:t>
            </w:r>
          </w:p>
        </w:tc>
        <w:tc>
          <w:tcPr>
            <w:tcW w:w="2416" w:type="dxa"/>
            <w:vAlign w:val="center"/>
          </w:tcPr>
          <w:p>
            <w:pPr>
              <w:spacing w:line="240" w:lineRule="auto"/>
              <w:jc w:val="center"/>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rPr>
              <w:t>数量/</w:t>
            </w:r>
            <w:r>
              <w:rPr>
                <w:rFonts w:hint="eastAsia" w:ascii="宋体" w:hAnsi="宋体" w:eastAsia="宋体" w:cs="宋体"/>
                <w:b/>
                <w:sz w:val="24"/>
                <w:szCs w:val="24"/>
                <w:highlight w:val="none"/>
                <w:lang w:val="en-US" w:eastAsia="zh-CN"/>
              </w:rPr>
              <w:t>套</w:t>
            </w:r>
          </w:p>
        </w:tc>
        <w:tc>
          <w:tcPr>
            <w:tcW w:w="1914" w:type="dxa"/>
            <w:vAlign w:val="center"/>
          </w:tcPr>
          <w:p>
            <w:pPr>
              <w:spacing w:line="24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使用地</w:t>
            </w:r>
          </w:p>
        </w:tc>
        <w:tc>
          <w:tcPr>
            <w:tcW w:w="2625" w:type="dxa"/>
            <w:vAlign w:val="center"/>
          </w:tcPr>
          <w:p>
            <w:pPr>
              <w:spacing w:line="24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2" w:hRule="atLeast"/>
          <w:jc w:val="center"/>
        </w:trPr>
        <w:tc>
          <w:tcPr>
            <w:tcW w:w="571" w:type="dxa"/>
            <w:vAlign w:val="center"/>
          </w:tcPr>
          <w:p>
            <w:pPr>
              <w:pStyle w:val="69"/>
              <w:spacing w:line="240" w:lineRule="auto"/>
              <w:ind w:right="74"/>
              <w:jc w:val="center"/>
              <w:rPr>
                <w:rFonts w:hint="eastAsia" w:ascii="宋体" w:hAnsi="宋体" w:eastAsia="宋体" w:cs="宋体"/>
                <w:highlight w:val="none"/>
              </w:rPr>
            </w:pPr>
            <w:r>
              <w:rPr>
                <w:rFonts w:hint="eastAsia" w:ascii="宋体" w:hAnsi="宋体" w:eastAsia="宋体" w:cs="宋体"/>
                <w:highlight w:val="none"/>
              </w:rPr>
              <w:t>1</w:t>
            </w:r>
          </w:p>
        </w:tc>
        <w:tc>
          <w:tcPr>
            <w:tcW w:w="1418" w:type="dxa"/>
            <w:tcMar>
              <w:top w:w="20" w:type="dxa"/>
              <w:left w:w="20" w:type="dxa"/>
              <w:bottom w:w="0" w:type="dxa"/>
              <w:right w:w="20" w:type="dxa"/>
            </w:tcMar>
            <w:vAlign w:val="center"/>
          </w:tcPr>
          <w:p>
            <w:pPr>
              <w:pStyle w:val="69"/>
              <w:spacing w:line="240" w:lineRule="auto"/>
              <w:ind w:right="74"/>
              <w:jc w:val="center"/>
              <w:rPr>
                <w:rFonts w:hint="eastAsia" w:ascii="宋体" w:hAnsi="宋体" w:eastAsia="宋体" w:cs="宋体"/>
                <w:highlight w:val="none"/>
                <w:lang w:eastAsia="zh-CN"/>
              </w:rPr>
            </w:pPr>
            <w:r>
              <w:rPr>
                <w:rFonts w:hint="eastAsia" w:ascii="宋体" w:hAnsi="宋体" w:eastAsia="宋体" w:cs="宋体"/>
                <w:highlight w:val="none"/>
                <w:lang w:val="en-US" w:eastAsia="zh-CN"/>
              </w:rPr>
              <w:t>模具</w:t>
            </w:r>
          </w:p>
        </w:tc>
        <w:tc>
          <w:tcPr>
            <w:tcW w:w="2416" w:type="dxa"/>
            <w:vAlign w:val="center"/>
          </w:tcPr>
          <w:p>
            <w:pPr>
              <w:pStyle w:val="69"/>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宋体" w:hAnsi="宋体" w:eastAsia="宋体" w:cs="宋体"/>
                <w:highlight w:val="none"/>
                <w:lang w:val="en-US" w:eastAsia="zh-CN"/>
              </w:rPr>
            </w:pPr>
            <w:r>
              <w:rPr>
                <w:rFonts w:hint="eastAsia" w:cs="宋体"/>
                <w:highlight w:val="none"/>
                <w:lang w:val="en-US" w:eastAsia="zh-CN"/>
              </w:rPr>
              <w:t>75</w:t>
            </w:r>
          </w:p>
        </w:tc>
        <w:tc>
          <w:tcPr>
            <w:tcW w:w="1914" w:type="dxa"/>
            <w:vAlign w:val="center"/>
          </w:tcPr>
          <w:p>
            <w:pPr>
              <w:pStyle w:val="69"/>
              <w:spacing w:line="240" w:lineRule="auto"/>
              <w:ind w:right="74"/>
              <w:jc w:val="center"/>
              <w:rPr>
                <w:rFonts w:hint="eastAsia" w:ascii="宋体" w:hAnsi="宋体" w:eastAsia="宋体" w:cs="宋体"/>
                <w:kern w:val="2"/>
                <w:highlight w:val="none"/>
              </w:rPr>
            </w:pPr>
            <w:r>
              <w:rPr>
                <w:rFonts w:hint="eastAsia" w:ascii="宋体" w:hAnsi="宋体" w:eastAsia="宋体" w:cs="宋体"/>
                <w:kern w:val="2"/>
                <w:highlight w:val="none"/>
              </w:rPr>
              <w:t>山东济南市</w:t>
            </w:r>
          </w:p>
        </w:tc>
        <w:tc>
          <w:tcPr>
            <w:tcW w:w="2625" w:type="dxa"/>
            <w:vAlign w:val="center"/>
          </w:tcPr>
          <w:p>
            <w:pPr>
              <w:pStyle w:val="69"/>
              <w:spacing w:line="240" w:lineRule="auto"/>
              <w:ind w:right="74"/>
              <w:jc w:val="center"/>
              <w:rPr>
                <w:rFonts w:hint="eastAsia" w:ascii="宋体" w:hAnsi="宋体" w:eastAsia="宋体" w:cs="宋体"/>
                <w:color w:val="auto"/>
                <w:highlight w:val="none"/>
                <w:lang w:val="en-US" w:eastAsia="zh-CN"/>
              </w:rPr>
            </w:pPr>
            <w:r>
              <w:rPr>
                <w:rFonts w:hint="eastAsia" w:cs="宋体"/>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2" w:hRule="atLeast"/>
          <w:jc w:val="center"/>
        </w:trPr>
        <w:tc>
          <w:tcPr>
            <w:tcW w:w="571" w:type="dxa"/>
            <w:vAlign w:val="center"/>
          </w:tcPr>
          <w:p>
            <w:pPr>
              <w:pStyle w:val="69"/>
              <w:spacing w:line="240" w:lineRule="auto"/>
              <w:ind w:right="74"/>
              <w:jc w:val="center"/>
              <w:rPr>
                <w:rFonts w:hint="eastAsia" w:ascii="宋体" w:hAnsi="宋体" w:eastAsia="宋体" w:cs="宋体"/>
                <w:highlight w:val="none"/>
              </w:rPr>
            </w:pPr>
            <w:r>
              <w:rPr>
                <w:rFonts w:hint="eastAsia" w:ascii="宋体" w:hAnsi="宋体" w:eastAsia="宋体" w:cs="宋体"/>
                <w:highlight w:val="none"/>
              </w:rPr>
              <w:t>2</w:t>
            </w:r>
          </w:p>
        </w:tc>
        <w:tc>
          <w:tcPr>
            <w:tcW w:w="1418" w:type="dxa"/>
            <w:tcMar>
              <w:top w:w="20" w:type="dxa"/>
              <w:left w:w="20" w:type="dxa"/>
              <w:bottom w:w="0" w:type="dxa"/>
              <w:right w:w="20" w:type="dxa"/>
            </w:tcMar>
            <w:vAlign w:val="center"/>
          </w:tcPr>
          <w:p>
            <w:pPr>
              <w:pStyle w:val="69"/>
              <w:spacing w:line="240" w:lineRule="auto"/>
              <w:ind w:right="74"/>
              <w:jc w:val="center"/>
              <w:rPr>
                <w:rFonts w:hint="eastAsia" w:ascii="宋体" w:hAnsi="宋体" w:eastAsia="宋体" w:cs="宋体"/>
                <w:highlight w:val="none"/>
                <w:lang w:eastAsia="zh-CN"/>
              </w:rPr>
            </w:pPr>
            <w:r>
              <w:rPr>
                <w:rFonts w:hint="eastAsia" w:ascii="宋体" w:hAnsi="宋体" w:eastAsia="宋体" w:cs="宋体"/>
                <w:highlight w:val="none"/>
                <w:lang w:val="en-US" w:eastAsia="zh-CN"/>
              </w:rPr>
              <w:t>检具</w:t>
            </w:r>
          </w:p>
        </w:tc>
        <w:tc>
          <w:tcPr>
            <w:tcW w:w="2416" w:type="dxa"/>
            <w:vAlign w:val="center"/>
          </w:tcPr>
          <w:p>
            <w:pPr>
              <w:pStyle w:val="69"/>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宋体" w:hAnsi="宋体" w:eastAsia="宋体" w:cs="宋体"/>
                <w:highlight w:val="none"/>
                <w:lang w:val="en-US" w:eastAsia="zh-CN"/>
              </w:rPr>
            </w:pPr>
            <w:r>
              <w:rPr>
                <w:rFonts w:hint="eastAsia" w:cs="宋体"/>
                <w:highlight w:val="none"/>
                <w:lang w:val="en-US" w:eastAsia="zh-CN"/>
              </w:rPr>
              <w:t>39</w:t>
            </w:r>
          </w:p>
        </w:tc>
        <w:tc>
          <w:tcPr>
            <w:tcW w:w="1914" w:type="dxa"/>
            <w:vAlign w:val="center"/>
          </w:tcPr>
          <w:p>
            <w:pPr>
              <w:pStyle w:val="69"/>
              <w:spacing w:line="240" w:lineRule="auto"/>
              <w:ind w:right="74"/>
              <w:jc w:val="center"/>
              <w:rPr>
                <w:rFonts w:hint="eastAsia" w:ascii="宋体" w:hAnsi="宋体" w:eastAsia="宋体" w:cs="宋体"/>
                <w:kern w:val="2"/>
                <w:highlight w:val="none"/>
              </w:rPr>
            </w:pPr>
            <w:r>
              <w:rPr>
                <w:rFonts w:hint="eastAsia" w:ascii="宋体" w:hAnsi="宋体" w:eastAsia="宋体" w:cs="宋体"/>
                <w:kern w:val="2"/>
                <w:highlight w:val="none"/>
              </w:rPr>
              <w:t>山东济南市</w:t>
            </w:r>
          </w:p>
        </w:tc>
        <w:tc>
          <w:tcPr>
            <w:tcW w:w="2625" w:type="dxa"/>
            <w:vAlign w:val="center"/>
          </w:tcPr>
          <w:p>
            <w:pPr>
              <w:pStyle w:val="69"/>
              <w:spacing w:line="240" w:lineRule="auto"/>
              <w:ind w:right="74"/>
              <w:jc w:val="center"/>
              <w:rPr>
                <w:rFonts w:hint="eastAsia" w:ascii="宋体" w:hAnsi="宋体" w:eastAsia="宋体" w:cs="宋体"/>
                <w:color w:val="auto"/>
                <w:highlight w:val="none"/>
                <w:lang w:val="en-US" w:eastAsia="zh-CN"/>
              </w:rPr>
            </w:pPr>
            <w:r>
              <w:rPr>
                <w:rFonts w:hint="eastAsia" w:cs="宋体"/>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2" w:hRule="atLeast"/>
          <w:jc w:val="center"/>
        </w:trPr>
        <w:tc>
          <w:tcPr>
            <w:tcW w:w="571" w:type="dxa"/>
            <w:vAlign w:val="center"/>
          </w:tcPr>
          <w:p>
            <w:pPr>
              <w:pStyle w:val="69"/>
              <w:spacing w:line="240" w:lineRule="auto"/>
              <w:ind w:right="74"/>
              <w:jc w:val="center"/>
              <w:rPr>
                <w:rFonts w:hint="eastAsia" w:ascii="宋体" w:hAnsi="宋体" w:eastAsia="宋体" w:cs="宋体"/>
                <w:highlight w:val="none"/>
                <w:lang w:val="en-US" w:eastAsia="zh-CN"/>
              </w:rPr>
            </w:pPr>
            <w:r>
              <w:rPr>
                <w:rFonts w:hint="eastAsia" w:cs="宋体"/>
                <w:highlight w:val="none"/>
                <w:lang w:val="en-US" w:eastAsia="zh-CN"/>
              </w:rPr>
              <w:t>3</w:t>
            </w:r>
          </w:p>
        </w:tc>
        <w:tc>
          <w:tcPr>
            <w:tcW w:w="1418" w:type="dxa"/>
            <w:tcMar>
              <w:top w:w="20" w:type="dxa"/>
              <w:left w:w="20" w:type="dxa"/>
              <w:bottom w:w="0" w:type="dxa"/>
              <w:right w:w="20" w:type="dxa"/>
            </w:tcMar>
            <w:vAlign w:val="center"/>
          </w:tcPr>
          <w:p>
            <w:pPr>
              <w:pStyle w:val="69"/>
              <w:spacing w:line="240" w:lineRule="auto"/>
              <w:ind w:right="74"/>
              <w:jc w:val="center"/>
              <w:rPr>
                <w:rFonts w:hint="default" w:ascii="宋体" w:hAnsi="宋体" w:eastAsia="宋体" w:cs="宋体"/>
                <w:highlight w:val="none"/>
                <w:lang w:val="en-US" w:eastAsia="zh-CN"/>
              </w:rPr>
            </w:pPr>
            <w:r>
              <w:rPr>
                <w:rFonts w:hint="eastAsia" w:cs="宋体"/>
                <w:highlight w:val="none"/>
                <w:lang w:val="en-US" w:eastAsia="zh-CN"/>
              </w:rPr>
              <w:t>冲压样件</w:t>
            </w:r>
          </w:p>
        </w:tc>
        <w:tc>
          <w:tcPr>
            <w:tcW w:w="2416" w:type="dxa"/>
            <w:vAlign w:val="center"/>
          </w:tcPr>
          <w:p>
            <w:pPr>
              <w:pStyle w:val="69"/>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cs="宋体"/>
                <w:highlight w:val="none"/>
                <w:lang w:val="en-US" w:eastAsia="zh-CN"/>
              </w:rPr>
            </w:pPr>
            <w:r>
              <w:rPr>
                <w:rFonts w:hint="eastAsia" w:cs="宋体"/>
                <w:highlight w:val="none"/>
                <w:lang w:val="en-US" w:eastAsia="zh-CN"/>
              </w:rPr>
              <w:t>50（含10辆份半工装样件）</w:t>
            </w:r>
          </w:p>
        </w:tc>
        <w:tc>
          <w:tcPr>
            <w:tcW w:w="1914" w:type="dxa"/>
            <w:vAlign w:val="center"/>
          </w:tcPr>
          <w:p>
            <w:pPr>
              <w:pStyle w:val="69"/>
              <w:spacing w:line="240" w:lineRule="auto"/>
              <w:ind w:right="74"/>
              <w:jc w:val="center"/>
              <w:rPr>
                <w:rFonts w:hint="eastAsia" w:ascii="宋体" w:hAnsi="宋体" w:eastAsia="宋体" w:cs="宋体"/>
                <w:kern w:val="2"/>
                <w:highlight w:val="none"/>
              </w:rPr>
            </w:pPr>
            <w:r>
              <w:rPr>
                <w:rFonts w:hint="eastAsia" w:ascii="宋体" w:hAnsi="宋体" w:eastAsia="宋体" w:cs="宋体"/>
                <w:kern w:val="2"/>
                <w:highlight w:val="none"/>
              </w:rPr>
              <w:t>山东济南市</w:t>
            </w:r>
          </w:p>
        </w:tc>
        <w:tc>
          <w:tcPr>
            <w:tcW w:w="2625" w:type="dxa"/>
            <w:vAlign w:val="center"/>
          </w:tcPr>
          <w:p>
            <w:pPr>
              <w:pStyle w:val="69"/>
              <w:spacing w:line="240" w:lineRule="auto"/>
              <w:ind w:right="74"/>
              <w:jc w:val="center"/>
              <w:rPr>
                <w:rFonts w:hint="default" w:cs="宋体"/>
                <w:color w:val="auto"/>
                <w:highlight w:val="none"/>
                <w:lang w:val="en-US" w:eastAsia="zh-CN"/>
              </w:rPr>
            </w:pPr>
            <w:r>
              <w:rPr>
                <w:rFonts w:hint="eastAsia" w:cs="宋体"/>
                <w:color w:val="auto"/>
                <w:highlight w:val="none"/>
                <w:lang w:val="en-US" w:eastAsia="zh-CN"/>
              </w:rPr>
              <w:t>定标后5个月内提供至招标方指定地点</w:t>
            </w:r>
          </w:p>
        </w:tc>
      </w:tr>
    </w:tbl>
    <w:p>
      <w:pPr>
        <w:spacing w:line="360" w:lineRule="auto"/>
        <w:ind w:firstLine="360" w:firstLineChars="150"/>
        <w:rPr>
          <w:rFonts w:hint="eastAsia" w:ascii="宋体" w:hAnsi="宋体" w:eastAsia="宋体" w:cs="宋体"/>
        </w:rPr>
      </w:pPr>
      <w:r>
        <w:rPr>
          <w:rFonts w:hint="eastAsia" w:ascii="宋体" w:hAnsi="宋体" w:eastAsia="宋体" w:cs="宋体"/>
          <w:sz w:val="24"/>
        </w:rPr>
        <w:t>注：</w:t>
      </w:r>
      <w:r>
        <w:rPr>
          <w:rFonts w:hint="eastAsia" w:ascii="宋体" w:hAnsi="宋体" w:eastAsia="宋体" w:cs="宋体"/>
          <w:sz w:val="24"/>
          <w:lang w:val="en-US" w:eastAsia="zh-CN"/>
        </w:rPr>
        <w:t>模具</w:t>
      </w:r>
      <w:r>
        <w:rPr>
          <w:rFonts w:hint="eastAsia" w:ascii="宋体" w:hAnsi="宋体" w:cs="宋体"/>
          <w:sz w:val="24"/>
          <w:lang w:val="en-US" w:eastAsia="zh-CN"/>
        </w:rPr>
        <w:t>及检具</w:t>
      </w:r>
      <w:r>
        <w:rPr>
          <w:rFonts w:hint="eastAsia" w:ascii="宋体" w:hAnsi="宋体" w:eastAsia="宋体" w:cs="宋体"/>
          <w:sz w:val="24"/>
          <w:lang w:val="en-US" w:eastAsia="zh-CN"/>
        </w:rPr>
        <w:t>清单详见附件1。</w:t>
      </w:r>
      <w:r>
        <w:rPr>
          <w:rFonts w:hint="eastAsia" w:ascii="宋体" w:hAnsi="宋体" w:eastAsia="宋体" w:cs="宋体"/>
          <w:sz w:val="24"/>
        </w:rPr>
        <w:t>投标方应根据招标方提出的交货时间和实际工作量提出可以执行的工作计划。工作计划应包括但不限于设计、制造、调试、验收、运输、和安装等各阶段时间表。工作计划和交货期将作为评标的重要因素。</w:t>
      </w:r>
    </w:p>
    <w:bookmarkEnd w:id="82"/>
    <w:bookmarkEnd w:id="83"/>
    <w:bookmarkEnd w:id="84"/>
    <w:p>
      <w:pPr>
        <w:spacing w:line="360" w:lineRule="auto"/>
        <w:rPr>
          <w:rFonts w:hint="eastAsia" w:ascii="宋体" w:hAnsi="宋体" w:eastAsia="宋体" w:cs="宋体"/>
          <w:b/>
          <w:sz w:val="28"/>
          <w:szCs w:val="28"/>
        </w:rPr>
      </w:pPr>
      <w:r>
        <w:rPr>
          <w:rFonts w:hint="eastAsia" w:ascii="宋体" w:hAnsi="宋体" w:eastAsia="宋体" w:cs="宋体"/>
          <w:b/>
          <w:sz w:val="28"/>
          <w:szCs w:val="28"/>
        </w:rPr>
        <w:t>二、技术规格</w:t>
      </w:r>
    </w:p>
    <w:p>
      <w:pPr>
        <w:spacing w:line="360" w:lineRule="auto"/>
        <w:rPr>
          <w:rFonts w:hint="default" w:ascii="宋体" w:hAnsi="宋体" w:eastAsia="宋体" w:cs="宋体"/>
          <w:b/>
          <w:sz w:val="28"/>
          <w:szCs w:val="28"/>
          <w:lang w:val="en-US" w:eastAsia="zh-CN"/>
        </w:rPr>
      </w:pPr>
      <w:r>
        <w:rPr>
          <w:rFonts w:hint="eastAsia" w:ascii="宋体" w:hAnsi="宋体" w:cs="宋体"/>
          <w:b/>
          <w:sz w:val="28"/>
          <w:szCs w:val="28"/>
          <w:lang w:eastAsia="zh-CN"/>
        </w:rPr>
        <w:t>（</w:t>
      </w:r>
      <w:r>
        <w:rPr>
          <w:rFonts w:hint="eastAsia" w:ascii="宋体" w:hAnsi="宋体" w:cs="宋体"/>
          <w:b/>
          <w:sz w:val="28"/>
          <w:szCs w:val="28"/>
          <w:lang w:val="en-US" w:eastAsia="zh-CN"/>
        </w:rPr>
        <w:t>一）模具部分</w:t>
      </w:r>
    </w:p>
    <w:p>
      <w:pPr>
        <w:pStyle w:val="72"/>
        <w:keepNext w:val="0"/>
        <w:keepLines w:val="0"/>
        <w:pageBreakBefore w:val="0"/>
        <w:widowControl w:val="0"/>
        <w:tabs>
          <w:tab w:val="left" w:pos="4253"/>
        </w:tabs>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cs="宋体"/>
          <w:bCs w:val="0"/>
          <w:kern w:val="2"/>
          <w:sz w:val="24"/>
          <w:szCs w:val="21"/>
        </w:rPr>
      </w:pPr>
      <w:bookmarkStart w:id="97" w:name="_Toc20099"/>
      <w:bookmarkStart w:id="98" w:name="_Toc4818"/>
      <w:r>
        <w:rPr>
          <w:rFonts w:hint="eastAsia" w:ascii="宋体" w:hAnsi="宋体" w:eastAsia="宋体" w:cs="宋体"/>
          <w:bCs w:val="0"/>
          <w:kern w:val="2"/>
          <w:sz w:val="24"/>
          <w:szCs w:val="21"/>
        </w:rPr>
        <w:t>1、供货内容</w:t>
      </w:r>
      <w:bookmarkEnd w:id="97"/>
      <w:bookmarkEnd w:id="98"/>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1.1招标方负责提供产品开发零件清单及零件数模，投标方按产品开发明细表（见附件1）要求开发相应模具。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 xml:space="preserve">1.2投标方进行CAE 同步分析、工艺设计、模具设计、模具制作、模具调整、模具发运、现场调试及售后服务等。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 xml:space="preserve">1.3 投标方向招标方提供合格的 CAE 分析报告及分析源文件、DL 图、2D及3D模具结构图、模具参数表、模具安装图明细及其他电子版等相关技术文件。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1.4 投标方向招标方提供该项目所选用的标准件清单及备件清单  （电子文档书面文档各一份）。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1.5 投标方向招标方提供该项目模具自检报告（动静态检测及硬度检测等）、调试记录、模具出厂合格证各一份。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1.6投标方提供合格的试制用冲压件、预验收样件，各批次的冲压件均附冲压件零件精度检测报告。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1.7在模具发运前的各个阶段提交以下资料，提交时间按下表所示。格式由招标方指定，没有规定格式的由投标方准备并通过招标方确认。</w:t>
      </w:r>
    </w:p>
    <w:tbl>
      <w:tblPr>
        <w:tblStyle w:val="76"/>
        <w:tblW w:w="967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669"/>
        <w:gridCol w:w="1304"/>
        <w:gridCol w:w="1995"/>
        <w:gridCol w:w="2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20" w:type="dxa"/>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2669" w:type="dxa"/>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资料</w:t>
            </w:r>
          </w:p>
        </w:tc>
        <w:tc>
          <w:tcPr>
            <w:tcW w:w="1304" w:type="dxa"/>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固定格式</w:t>
            </w:r>
          </w:p>
        </w:tc>
        <w:tc>
          <w:tcPr>
            <w:tcW w:w="1995" w:type="dxa"/>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提交时间</w:t>
            </w:r>
          </w:p>
        </w:tc>
        <w:tc>
          <w:tcPr>
            <w:tcW w:w="2985" w:type="dxa"/>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20" w:type="dxa"/>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sz w:val="21"/>
                <w:szCs w:val="21"/>
              </w:rPr>
            </w:pPr>
            <w:r>
              <w:rPr>
                <w:rFonts w:hint="eastAsia" w:ascii="宋体" w:hAnsi="宋体" w:eastAsia="宋体" w:cs="宋体"/>
                <w:b w:val="0"/>
                <w:bCs/>
                <w:sz w:val="21"/>
                <w:szCs w:val="21"/>
              </w:rPr>
              <w:t>1</w:t>
            </w:r>
          </w:p>
        </w:tc>
        <w:tc>
          <w:tcPr>
            <w:tcW w:w="2669" w:type="dxa"/>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CAE分析报告</w:t>
            </w:r>
          </w:p>
        </w:tc>
        <w:tc>
          <w:tcPr>
            <w:tcW w:w="1304" w:type="dxa"/>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无</w:t>
            </w:r>
          </w:p>
        </w:tc>
        <w:tc>
          <w:tcPr>
            <w:tcW w:w="1995" w:type="dxa"/>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模具设计前</w:t>
            </w:r>
          </w:p>
        </w:tc>
        <w:tc>
          <w:tcPr>
            <w:tcW w:w="2985" w:type="dxa"/>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双方会审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20" w:type="dxa"/>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2669" w:type="dxa"/>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DL图</w:t>
            </w:r>
          </w:p>
        </w:tc>
        <w:tc>
          <w:tcPr>
            <w:tcW w:w="1304" w:type="dxa"/>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无</w:t>
            </w:r>
          </w:p>
        </w:tc>
        <w:tc>
          <w:tcPr>
            <w:tcW w:w="1995" w:type="dxa"/>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模具设计前</w:t>
            </w:r>
          </w:p>
        </w:tc>
        <w:tc>
          <w:tcPr>
            <w:tcW w:w="2985" w:type="dxa"/>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双方会审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20" w:type="dxa"/>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2669" w:type="dxa"/>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模具图检查表（DR及后工序）</w:t>
            </w:r>
          </w:p>
        </w:tc>
        <w:tc>
          <w:tcPr>
            <w:tcW w:w="1304" w:type="dxa"/>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无</w:t>
            </w:r>
          </w:p>
        </w:tc>
        <w:tc>
          <w:tcPr>
            <w:tcW w:w="1995" w:type="dxa"/>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模具图纸会签前</w:t>
            </w:r>
          </w:p>
        </w:tc>
        <w:tc>
          <w:tcPr>
            <w:tcW w:w="2985" w:type="dxa"/>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双方会审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20" w:type="dxa"/>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4</w:t>
            </w:r>
          </w:p>
        </w:tc>
        <w:tc>
          <w:tcPr>
            <w:tcW w:w="2669" w:type="dxa"/>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材料利用率报告书</w:t>
            </w:r>
          </w:p>
        </w:tc>
        <w:tc>
          <w:tcPr>
            <w:tcW w:w="1304" w:type="dxa"/>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无</w:t>
            </w:r>
          </w:p>
        </w:tc>
        <w:tc>
          <w:tcPr>
            <w:tcW w:w="1995" w:type="dxa"/>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模具图设计前</w:t>
            </w:r>
          </w:p>
        </w:tc>
        <w:tc>
          <w:tcPr>
            <w:tcW w:w="2985" w:type="dxa"/>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双方会审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20" w:type="dxa"/>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5</w:t>
            </w:r>
          </w:p>
        </w:tc>
        <w:tc>
          <w:tcPr>
            <w:tcW w:w="2669" w:type="dxa"/>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铸件的原始证明与金相分析报告</w:t>
            </w:r>
          </w:p>
        </w:tc>
        <w:tc>
          <w:tcPr>
            <w:tcW w:w="1304" w:type="dxa"/>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无</w:t>
            </w:r>
          </w:p>
        </w:tc>
        <w:tc>
          <w:tcPr>
            <w:tcW w:w="1995" w:type="dxa"/>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模具预验收前</w:t>
            </w:r>
          </w:p>
        </w:tc>
        <w:tc>
          <w:tcPr>
            <w:tcW w:w="2985" w:type="dxa"/>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双方会审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20" w:type="dxa"/>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6</w:t>
            </w:r>
          </w:p>
        </w:tc>
        <w:tc>
          <w:tcPr>
            <w:tcW w:w="2669" w:type="dxa"/>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静态检查表</w:t>
            </w:r>
          </w:p>
        </w:tc>
        <w:tc>
          <w:tcPr>
            <w:tcW w:w="1304" w:type="dxa"/>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无</w:t>
            </w:r>
            <w:r>
              <w:rPr>
                <w:rFonts w:hint="eastAsia" w:ascii="宋体" w:hAnsi="宋体" w:eastAsia="宋体" w:cs="宋体"/>
                <w:sz w:val="21"/>
                <w:szCs w:val="21"/>
                <w:lang w:val="en-US" w:eastAsia="zh-CN"/>
              </w:rPr>
              <w:t xml:space="preserve"> </w:t>
            </w:r>
          </w:p>
        </w:tc>
        <w:tc>
          <w:tcPr>
            <w:tcW w:w="1995" w:type="dxa"/>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模具预验收前</w:t>
            </w:r>
          </w:p>
        </w:tc>
        <w:tc>
          <w:tcPr>
            <w:tcW w:w="2985" w:type="dxa"/>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双方会审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20" w:type="dxa"/>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7</w:t>
            </w:r>
          </w:p>
        </w:tc>
        <w:tc>
          <w:tcPr>
            <w:tcW w:w="2669" w:type="dxa"/>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硬度测定表</w:t>
            </w:r>
          </w:p>
        </w:tc>
        <w:tc>
          <w:tcPr>
            <w:tcW w:w="1304" w:type="dxa"/>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无</w:t>
            </w:r>
          </w:p>
        </w:tc>
        <w:tc>
          <w:tcPr>
            <w:tcW w:w="1995" w:type="dxa"/>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模具预验收前</w:t>
            </w:r>
          </w:p>
        </w:tc>
        <w:tc>
          <w:tcPr>
            <w:tcW w:w="2985" w:type="dxa"/>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双方会审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20" w:type="dxa"/>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8</w:t>
            </w:r>
          </w:p>
        </w:tc>
        <w:tc>
          <w:tcPr>
            <w:tcW w:w="2669" w:type="dxa"/>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动态检查表</w:t>
            </w:r>
          </w:p>
        </w:tc>
        <w:tc>
          <w:tcPr>
            <w:tcW w:w="1304" w:type="dxa"/>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无</w:t>
            </w:r>
          </w:p>
        </w:tc>
        <w:tc>
          <w:tcPr>
            <w:tcW w:w="1995" w:type="dxa"/>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模具预验收前</w:t>
            </w:r>
          </w:p>
        </w:tc>
        <w:tc>
          <w:tcPr>
            <w:tcW w:w="2985" w:type="dxa"/>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双方会审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20" w:type="dxa"/>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9</w:t>
            </w:r>
          </w:p>
        </w:tc>
        <w:tc>
          <w:tcPr>
            <w:tcW w:w="2669" w:type="dxa"/>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冲压制件检查基准书</w:t>
            </w:r>
          </w:p>
        </w:tc>
        <w:tc>
          <w:tcPr>
            <w:tcW w:w="1304" w:type="dxa"/>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无</w:t>
            </w:r>
          </w:p>
        </w:tc>
        <w:tc>
          <w:tcPr>
            <w:tcW w:w="1995" w:type="dxa"/>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模具预验收前</w:t>
            </w:r>
          </w:p>
        </w:tc>
        <w:tc>
          <w:tcPr>
            <w:tcW w:w="2985" w:type="dxa"/>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双方会审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20" w:type="dxa"/>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10</w:t>
            </w:r>
          </w:p>
        </w:tc>
        <w:tc>
          <w:tcPr>
            <w:tcW w:w="2669" w:type="dxa"/>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零件精度检查表</w:t>
            </w:r>
          </w:p>
        </w:tc>
        <w:tc>
          <w:tcPr>
            <w:tcW w:w="1304" w:type="dxa"/>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无</w:t>
            </w:r>
          </w:p>
        </w:tc>
        <w:tc>
          <w:tcPr>
            <w:tcW w:w="1995" w:type="dxa"/>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各阶段样品出货时</w:t>
            </w:r>
          </w:p>
        </w:tc>
        <w:tc>
          <w:tcPr>
            <w:tcW w:w="2985" w:type="dxa"/>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双方会审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20" w:type="dxa"/>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11</w:t>
            </w:r>
          </w:p>
        </w:tc>
        <w:tc>
          <w:tcPr>
            <w:tcW w:w="2669" w:type="dxa"/>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试模报告书</w:t>
            </w:r>
          </w:p>
        </w:tc>
        <w:tc>
          <w:tcPr>
            <w:tcW w:w="1304" w:type="dxa"/>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无</w:t>
            </w:r>
          </w:p>
        </w:tc>
        <w:tc>
          <w:tcPr>
            <w:tcW w:w="1995" w:type="dxa"/>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模具预验收前</w:t>
            </w:r>
          </w:p>
        </w:tc>
        <w:tc>
          <w:tcPr>
            <w:tcW w:w="2985" w:type="dxa"/>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双方会审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20" w:type="dxa"/>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12</w:t>
            </w:r>
          </w:p>
        </w:tc>
        <w:tc>
          <w:tcPr>
            <w:tcW w:w="2669" w:type="dxa"/>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冲压工艺数模</w:t>
            </w:r>
          </w:p>
        </w:tc>
        <w:tc>
          <w:tcPr>
            <w:tcW w:w="1304" w:type="dxa"/>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无</w:t>
            </w:r>
          </w:p>
        </w:tc>
        <w:tc>
          <w:tcPr>
            <w:tcW w:w="1995" w:type="dxa"/>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模具预验收前</w:t>
            </w:r>
          </w:p>
        </w:tc>
        <w:tc>
          <w:tcPr>
            <w:tcW w:w="2985" w:type="dxa"/>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CATIA V5R19格式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20" w:type="dxa"/>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13</w:t>
            </w:r>
          </w:p>
        </w:tc>
        <w:tc>
          <w:tcPr>
            <w:tcW w:w="2669" w:type="dxa"/>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冲压工艺文件</w:t>
            </w:r>
          </w:p>
        </w:tc>
        <w:tc>
          <w:tcPr>
            <w:tcW w:w="1304" w:type="dxa"/>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有</w:t>
            </w:r>
          </w:p>
        </w:tc>
        <w:tc>
          <w:tcPr>
            <w:tcW w:w="1995" w:type="dxa"/>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模具预验收前</w:t>
            </w:r>
          </w:p>
        </w:tc>
        <w:tc>
          <w:tcPr>
            <w:tcW w:w="2985" w:type="dxa"/>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招标方格式， AutoCAD2007版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20" w:type="dxa"/>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14</w:t>
            </w:r>
          </w:p>
        </w:tc>
        <w:tc>
          <w:tcPr>
            <w:tcW w:w="2669" w:type="dxa"/>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零件设计变更记录表</w:t>
            </w:r>
          </w:p>
        </w:tc>
        <w:tc>
          <w:tcPr>
            <w:tcW w:w="1304" w:type="dxa"/>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有</w:t>
            </w:r>
          </w:p>
        </w:tc>
        <w:tc>
          <w:tcPr>
            <w:tcW w:w="1995" w:type="dxa"/>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模具预验收前</w:t>
            </w:r>
          </w:p>
        </w:tc>
        <w:tc>
          <w:tcPr>
            <w:tcW w:w="2985" w:type="dxa"/>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招标方格式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20" w:type="dxa"/>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15</w:t>
            </w:r>
          </w:p>
        </w:tc>
        <w:tc>
          <w:tcPr>
            <w:tcW w:w="2669" w:type="dxa"/>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模具材料表</w:t>
            </w:r>
          </w:p>
        </w:tc>
        <w:tc>
          <w:tcPr>
            <w:tcW w:w="1304" w:type="dxa"/>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无</w:t>
            </w:r>
          </w:p>
        </w:tc>
        <w:tc>
          <w:tcPr>
            <w:tcW w:w="1995" w:type="dxa"/>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模具出货前</w:t>
            </w:r>
          </w:p>
        </w:tc>
        <w:tc>
          <w:tcPr>
            <w:tcW w:w="2985" w:type="dxa"/>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双方会审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20" w:type="dxa"/>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16</w:t>
            </w:r>
          </w:p>
        </w:tc>
        <w:tc>
          <w:tcPr>
            <w:tcW w:w="2669" w:type="dxa"/>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标准件清单</w:t>
            </w:r>
          </w:p>
        </w:tc>
        <w:tc>
          <w:tcPr>
            <w:tcW w:w="1304" w:type="dxa"/>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无</w:t>
            </w:r>
          </w:p>
        </w:tc>
        <w:tc>
          <w:tcPr>
            <w:tcW w:w="1995" w:type="dxa"/>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模具出货前</w:t>
            </w:r>
          </w:p>
        </w:tc>
        <w:tc>
          <w:tcPr>
            <w:tcW w:w="2985" w:type="dxa"/>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双方会审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20" w:type="dxa"/>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17</w:t>
            </w:r>
          </w:p>
        </w:tc>
        <w:tc>
          <w:tcPr>
            <w:tcW w:w="2669" w:type="dxa"/>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备品备件清单</w:t>
            </w:r>
          </w:p>
        </w:tc>
        <w:tc>
          <w:tcPr>
            <w:tcW w:w="1304" w:type="dxa"/>
            <w:vAlign w:val="center"/>
          </w:tcPr>
          <w:p>
            <w:pPr>
              <w:keepNext/>
              <w:keepLines/>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无</w:t>
            </w:r>
          </w:p>
        </w:tc>
        <w:tc>
          <w:tcPr>
            <w:tcW w:w="1995" w:type="dxa"/>
            <w:vAlign w:val="center"/>
          </w:tcPr>
          <w:p>
            <w:pPr>
              <w:keepNext/>
              <w:keepLines/>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模具出货前</w:t>
            </w:r>
          </w:p>
        </w:tc>
        <w:tc>
          <w:tcPr>
            <w:tcW w:w="2985" w:type="dxa"/>
            <w:vAlign w:val="center"/>
          </w:tcPr>
          <w:p>
            <w:pPr>
              <w:keepNext/>
              <w:keepLines/>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双方会审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20" w:type="dxa"/>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18</w:t>
            </w:r>
          </w:p>
        </w:tc>
        <w:tc>
          <w:tcPr>
            <w:tcW w:w="2669" w:type="dxa"/>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模具出厂合格证</w:t>
            </w:r>
          </w:p>
        </w:tc>
        <w:tc>
          <w:tcPr>
            <w:tcW w:w="1304" w:type="dxa"/>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无</w:t>
            </w:r>
          </w:p>
        </w:tc>
        <w:tc>
          <w:tcPr>
            <w:tcW w:w="1995" w:type="dxa"/>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模具出货前</w:t>
            </w:r>
          </w:p>
        </w:tc>
        <w:tc>
          <w:tcPr>
            <w:tcW w:w="2985" w:type="dxa"/>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双方会审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20" w:type="dxa"/>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19</w:t>
            </w:r>
          </w:p>
        </w:tc>
        <w:tc>
          <w:tcPr>
            <w:tcW w:w="2669" w:type="dxa"/>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模具图纸（2D及3D）</w:t>
            </w:r>
          </w:p>
        </w:tc>
        <w:tc>
          <w:tcPr>
            <w:tcW w:w="1304" w:type="dxa"/>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有</w:t>
            </w:r>
          </w:p>
        </w:tc>
        <w:tc>
          <w:tcPr>
            <w:tcW w:w="1995" w:type="dxa"/>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模具终验收前</w:t>
            </w:r>
          </w:p>
        </w:tc>
        <w:tc>
          <w:tcPr>
            <w:tcW w:w="2985" w:type="dxa"/>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格式按招标方格式。</w:t>
            </w:r>
          </w:p>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2D、3D均用NX 10.0格式，且2D、3D实现联动。除标准件外，其余单件均应出2D图纸。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20" w:type="dxa"/>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20</w:t>
            </w:r>
          </w:p>
        </w:tc>
        <w:tc>
          <w:tcPr>
            <w:tcW w:w="2669" w:type="dxa"/>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模具钳修记录表</w:t>
            </w:r>
          </w:p>
        </w:tc>
        <w:tc>
          <w:tcPr>
            <w:tcW w:w="1304" w:type="dxa"/>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无</w:t>
            </w:r>
          </w:p>
        </w:tc>
        <w:tc>
          <w:tcPr>
            <w:tcW w:w="1995" w:type="dxa"/>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模具终验收前</w:t>
            </w:r>
          </w:p>
        </w:tc>
        <w:tc>
          <w:tcPr>
            <w:tcW w:w="2985" w:type="dxa"/>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双方会审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20" w:type="dxa"/>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21</w:t>
            </w:r>
          </w:p>
        </w:tc>
        <w:tc>
          <w:tcPr>
            <w:tcW w:w="2669" w:type="dxa"/>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产品工序制件图</w:t>
            </w:r>
          </w:p>
        </w:tc>
        <w:tc>
          <w:tcPr>
            <w:tcW w:w="1304" w:type="dxa"/>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有</w:t>
            </w:r>
          </w:p>
        </w:tc>
        <w:tc>
          <w:tcPr>
            <w:tcW w:w="1995" w:type="dxa"/>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模具终验收前</w:t>
            </w:r>
          </w:p>
        </w:tc>
        <w:tc>
          <w:tcPr>
            <w:tcW w:w="2985" w:type="dxa"/>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AutoCAD2007版；公差标注齐全</w:t>
            </w:r>
          </w:p>
        </w:tc>
      </w:tr>
    </w:tbl>
    <w:p>
      <w:pPr>
        <w:spacing w:line="360" w:lineRule="auto"/>
        <w:rPr>
          <w:rFonts w:hint="eastAsia" w:ascii="宋体" w:hAnsi="宋体" w:eastAsia="宋体" w:cs="宋体"/>
          <w:sz w:val="24"/>
          <w:szCs w:val="24"/>
        </w:rPr>
      </w:pPr>
      <w:r>
        <w:rPr>
          <w:rFonts w:hint="eastAsia" w:ascii="宋体" w:hAnsi="宋体" w:eastAsia="宋体" w:cs="宋体"/>
          <w:sz w:val="24"/>
          <w:szCs w:val="24"/>
        </w:rPr>
        <w:t>注：以上资料均应提供纸质及电子版，若投标方认为无需提供纸质版，需经招标方同意。</w:t>
      </w:r>
    </w:p>
    <w:p>
      <w:pPr>
        <w:keepNext w:val="0"/>
        <w:keepLines w:val="0"/>
        <w:pageBreakBefore w:val="0"/>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宋体" w:hAnsi="宋体" w:eastAsia="宋体" w:cs="宋体"/>
          <w:b/>
          <w:sz w:val="24"/>
        </w:rPr>
      </w:pPr>
      <w:r>
        <w:rPr>
          <w:rFonts w:hint="eastAsia" w:ascii="宋体" w:hAnsi="宋体" w:eastAsia="宋体" w:cs="宋体"/>
          <w:b/>
          <w:sz w:val="24"/>
        </w:rPr>
        <w:t>2、模具设计输入</w:t>
      </w:r>
    </w:p>
    <w:p>
      <w:pPr>
        <w:keepNext w:val="0"/>
        <w:keepLines w:val="0"/>
        <w:pageBreakBefore w:val="0"/>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宋体" w:hAnsi="宋体" w:eastAsia="宋体" w:cs="宋体"/>
          <w:b/>
          <w:sz w:val="24"/>
        </w:rPr>
      </w:pPr>
      <w:r>
        <w:rPr>
          <w:rFonts w:hint="eastAsia" w:ascii="宋体" w:hAnsi="宋体" w:eastAsia="宋体" w:cs="宋体"/>
          <w:b/>
          <w:sz w:val="24"/>
        </w:rPr>
        <w:t>2.1生产条件</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rPr>
      </w:pPr>
      <w:r>
        <w:rPr>
          <w:rFonts w:hint="eastAsia" w:ascii="宋体" w:hAnsi="宋体" w:eastAsia="宋体" w:cs="宋体"/>
          <w:sz w:val="24"/>
        </w:rPr>
        <w:t>2.1.1工作环境：室内，温度：-10℃～40℃，相对湿度：≤90%；</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rPr>
      </w:pPr>
      <w:r>
        <w:rPr>
          <w:rFonts w:hint="eastAsia" w:ascii="宋体" w:hAnsi="宋体" w:eastAsia="宋体" w:cs="宋体"/>
          <w:sz w:val="24"/>
        </w:rPr>
        <w:t>2.1.2生产节拍：自动线10-14件/分钟，手动线：4-8件/分钟。</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i/>
          <w:sz w:val="24"/>
        </w:rPr>
      </w:pPr>
      <w:r>
        <w:rPr>
          <w:rFonts w:hint="eastAsia" w:ascii="宋体" w:hAnsi="宋体" w:eastAsia="宋体" w:cs="宋体"/>
          <w:sz w:val="24"/>
        </w:rPr>
        <w:t>2.1.3使用寿命：50万次以上；</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rPr>
      </w:pPr>
      <w:r>
        <w:rPr>
          <w:rFonts w:hint="eastAsia" w:ascii="宋体" w:hAnsi="宋体" w:eastAsia="宋体" w:cs="宋体"/>
          <w:sz w:val="24"/>
        </w:rPr>
        <w:t>2.1.4操作方式：自动线模具要适用于自动化系统自动上下料要求；其他模具要求适用于手工操作。</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rPr>
      </w:pPr>
      <w:r>
        <w:rPr>
          <w:rFonts w:hint="eastAsia" w:ascii="宋体" w:hAnsi="宋体" w:eastAsia="宋体" w:cs="宋体"/>
          <w:sz w:val="24"/>
        </w:rPr>
        <w:t>2.1.5生产车间起吊方式：桥式起重机。</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lang w:eastAsia="zh-CN"/>
        </w:rPr>
      </w:pPr>
      <w:r>
        <w:rPr>
          <w:rFonts w:hint="eastAsia" w:ascii="宋体" w:hAnsi="宋体" w:eastAsia="宋体" w:cs="宋体"/>
          <w:sz w:val="24"/>
        </w:rPr>
        <w:t>2.1.6生产设备：招标方指定的冲压设备，其中A包、B包模具适用于现自动化冲压生产线及新建自动化冲压生产线。主要技术参数</w:t>
      </w:r>
      <w:r>
        <w:rPr>
          <w:rFonts w:hint="eastAsia" w:ascii="宋体" w:hAnsi="宋体" w:eastAsia="宋体" w:cs="宋体"/>
          <w:sz w:val="24"/>
          <w:lang w:val="en-US" w:eastAsia="zh-CN"/>
        </w:rPr>
        <w:t>同皮卡模具项目</w:t>
      </w:r>
      <w:r>
        <w:rPr>
          <w:rFonts w:hint="eastAsia" w:ascii="宋体" w:hAnsi="宋体" w:eastAsia="宋体" w:cs="宋体"/>
          <w:sz w:val="24"/>
        </w:rPr>
        <w:t>。</w:t>
      </w:r>
    </w:p>
    <w:p>
      <w:pPr>
        <w:keepNext w:val="0"/>
        <w:keepLines w:val="0"/>
        <w:pageBreakBefore w:val="0"/>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宋体" w:hAnsi="宋体" w:eastAsia="宋体" w:cs="宋体"/>
          <w:b/>
          <w:sz w:val="24"/>
        </w:rPr>
      </w:pPr>
      <w:r>
        <w:rPr>
          <w:rFonts w:hint="eastAsia" w:ascii="宋体" w:hAnsi="宋体" w:eastAsia="宋体" w:cs="宋体"/>
          <w:b/>
          <w:sz w:val="24"/>
        </w:rPr>
        <w:t>2.2 产品数据及要求</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rPr>
      </w:pPr>
      <w:r>
        <w:rPr>
          <w:rFonts w:hint="eastAsia" w:ascii="宋体" w:hAnsi="宋体" w:eastAsia="宋体" w:cs="宋体"/>
          <w:sz w:val="24"/>
        </w:rPr>
        <w:t>2.2.1 产品数模；</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rPr>
      </w:pPr>
      <w:r>
        <w:rPr>
          <w:rFonts w:hint="eastAsia" w:ascii="宋体" w:hAnsi="宋体" w:eastAsia="宋体" w:cs="宋体"/>
          <w:sz w:val="24"/>
        </w:rPr>
        <w:t>2.2.2 冲压件零件质量判定标准(见附件</w:t>
      </w:r>
      <w:r>
        <w:rPr>
          <w:rFonts w:hint="eastAsia" w:ascii="宋体" w:hAnsi="宋体" w:eastAsia="宋体" w:cs="宋体"/>
          <w:sz w:val="24"/>
          <w:lang w:val="en-US" w:eastAsia="zh-CN"/>
        </w:rPr>
        <w:t>2</w:t>
      </w:r>
      <w:r>
        <w:rPr>
          <w:rFonts w:hint="eastAsia" w:ascii="宋体" w:hAnsi="宋体" w:eastAsia="宋体" w:cs="宋体"/>
          <w:sz w:val="24"/>
        </w:rPr>
        <w:t>)</w:t>
      </w:r>
    </w:p>
    <w:p>
      <w:pPr>
        <w:keepNext w:val="0"/>
        <w:keepLines w:val="0"/>
        <w:pageBreakBefore w:val="0"/>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宋体" w:hAnsi="宋体" w:eastAsia="宋体" w:cs="宋体"/>
          <w:b/>
          <w:sz w:val="24"/>
        </w:rPr>
      </w:pPr>
      <w:r>
        <w:rPr>
          <w:rFonts w:hint="eastAsia" w:ascii="宋体" w:hAnsi="宋体" w:eastAsia="宋体" w:cs="宋体"/>
          <w:b/>
          <w:sz w:val="24"/>
        </w:rPr>
        <w:t>3、模具设计、制造的技术要求</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rPr>
      </w:pPr>
      <w:r>
        <w:rPr>
          <w:rFonts w:hint="eastAsia" w:ascii="宋体" w:hAnsi="宋体" w:eastAsia="宋体" w:cs="宋体"/>
          <w:sz w:val="24"/>
        </w:rPr>
        <w:t>3.1投标方提供招标方适用于本标的的模具设计制造标准，经招标方同意，作为模具设计、制造、验收的依据。该标准应随投标技术文件一起提供（可提供一份）。</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rPr>
      </w:pPr>
      <w:r>
        <w:rPr>
          <w:rFonts w:hint="eastAsia" w:ascii="宋体" w:hAnsi="宋体" w:eastAsia="宋体" w:cs="宋体"/>
          <w:sz w:val="24"/>
        </w:rPr>
        <w:t>3.2投标方提供的冲压工艺和模具应能冲制出与产品技术文件一致的冲压件。</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rPr>
      </w:pPr>
      <w:r>
        <w:rPr>
          <w:rFonts w:hint="eastAsia" w:ascii="宋体" w:hAnsi="宋体" w:eastAsia="宋体" w:cs="宋体"/>
          <w:sz w:val="24"/>
        </w:rPr>
        <w:t>3.3投标方提供的所有模具应保证能使用快速安装夹紧装置。（招标方在合同签定后5个工作日内提供快速安装夹紧装置参数）。</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rPr>
      </w:pPr>
      <w:r>
        <w:rPr>
          <w:rFonts w:hint="eastAsia" w:ascii="宋体" w:hAnsi="宋体" w:eastAsia="宋体" w:cs="宋体"/>
          <w:sz w:val="24"/>
        </w:rPr>
        <w:t>3.4自动线模具应满足自动化生产, 定位方式符合快速定位的结构方式，取、送件容易,保证生产节拍，操作方便安全。</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rPr>
      </w:pPr>
      <w:r>
        <w:rPr>
          <w:rFonts w:hint="eastAsia" w:ascii="宋体" w:hAnsi="宋体" w:eastAsia="宋体" w:cs="宋体"/>
          <w:sz w:val="24"/>
        </w:rPr>
        <w:t>3.5在自动化生产线上的模具应加装传感器，传感器由投标方购买、安装、调试。</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rPr>
      </w:pPr>
      <w:r>
        <w:rPr>
          <w:rFonts w:hint="eastAsia" w:ascii="宋体" w:hAnsi="宋体" w:eastAsia="宋体" w:cs="宋体"/>
          <w:sz w:val="24"/>
        </w:rPr>
        <w:t>3.6自动化生产线各序模具，板料及零件进出必须方便，空间足够，不得有对板料与零件造成磕碰划伤之隐患。对于手动生产线模具，影响外观质量和生产操作性的送料和取料均要求设有托架，托架上有防划橡胶滚轮，防止擦（碰）伤制件表面；托架超出模具底板外的部分应设成折叠式。</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rPr>
      </w:pPr>
      <w:r>
        <w:rPr>
          <w:rFonts w:hint="eastAsia" w:ascii="宋体" w:hAnsi="宋体" w:eastAsia="宋体" w:cs="宋体"/>
          <w:sz w:val="24"/>
        </w:rPr>
        <w:t>3.7考虑操作安全的前提下，模具尽量采用对称件和其他合适件的双件复合的模具结构，以节约材料，提高生产率。</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rPr>
      </w:pPr>
      <w:r>
        <w:rPr>
          <w:rFonts w:hint="eastAsia" w:ascii="宋体" w:hAnsi="宋体" w:eastAsia="宋体" w:cs="宋体"/>
          <w:sz w:val="24"/>
        </w:rPr>
        <w:t>3.8在冲裁过程中产生的废料屑应采取措施，避免被带到下工序从而影响产品表面质量，投标方应在标书中以书面形式明确解决措施。</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rPr>
      </w:pPr>
      <w:r>
        <w:rPr>
          <w:rFonts w:hint="eastAsia" w:ascii="宋体" w:hAnsi="宋体" w:eastAsia="宋体" w:cs="宋体"/>
          <w:sz w:val="24"/>
        </w:rPr>
        <w:t>3.9制件的定位应设有坯料的定位导向和定位机构，具体定位要求如下：</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rPr>
      </w:pPr>
      <w:r>
        <w:rPr>
          <w:rFonts w:hint="eastAsia" w:ascii="宋体" w:hAnsi="宋体" w:eastAsia="宋体" w:cs="宋体"/>
          <w:sz w:val="24"/>
        </w:rPr>
        <w:t>A)拉延模定位要求:，进料端和左/右侧为固定式定位，出料端为可动式定位。</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rPr>
      </w:pPr>
      <w:r>
        <w:rPr>
          <w:rFonts w:hint="eastAsia" w:ascii="宋体" w:hAnsi="宋体" w:eastAsia="宋体" w:cs="宋体"/>
          <w:sz w:val="24"/>
        </w:rPr>
        <w:t>B)对于其它类型模具的定位要求是进料通畅，定位可靠，易于机器人/人工取放件。</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rPr>
      </w:pPr>
      <w:r>
        <w:rPr>
          <w:rFonts w:hint="eastAsia" w:ascii="宋体" w:hAnsi="宋体" w:eastAsia="宋体" w:cs="宋体"/>
          <w:sz w:val="24"/>
        </w:rPr>
        <w:t>3.10自动生产线模具除首序拉延模外，其余模具压料器均采用氮气缸形式。</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rPr>
      </w:pPr>
      <w:r>
        <w:rPr>
          <w:rFonts w:hint="eastAsia" w:ascii="宋体" w:hAnsi="宋体" w:eastAsia="宋体" w:cs="宋体"/>
          <w:sz w:val="24"/>
        </w:rPr>
        <w:t>3.11制件从模具中取出前，模具应具有将制件顶出的机构，该机构将制件从模具型腔中顶出，顶出高度应便于取件，不能有任何障碍及粘附现象，并不妨碍取放制件和废料的排出。自动线模具设计自动化气源退料，且注意气源接头方向等的合理性，手动线由于模具结构、尺寸等原因确无法使用自动化气源退料的，则必须采用其他可靠方式，确保制件从下模脱落。</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rPr>
      </w:pPr>
      <w:r>
        <w:rPr>
          <w:rFonts w:hint="eastAsia" w:ascii="宋体" w:hAnsi="宋体" w:eastAsia="宋体" w:cs="宋体"/>
          <w:sz w:val="24"/>
        </w:rPr>
        <w:t>3.12自动线冲压件全工序模具的送料方向必须一致，不可翻转。</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rPr>
      </w:pPr>
      <w:r>
        <w:rPr>
          <w:rFonts w:hint="eastAsia" w:ascii="宋体" w:hAnsi="宋体" w:eastAsia="宋体" w:cs="宋体"/>
          <w:sz w:val="24"/>
        </w:rPr>
        <w:t>3.13冲圆孔φ8以下的凸模采用快换冲头，冲孔凹模采用可换式的（工作边距、孔距较小者除外），标准的冲孔凹模采用镶套结构，非圆凸模及凹模采取防转措施。冲孔凹模套外形随型，仿形后有效刃口高度不少于6mm。</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rPr>
      </w:pPr>
      <w:r>
        <w:rPr>
          <w:rFonts w:hint="eastAsia" w:ascii="宋体" w:hAnsi="宋体" w:eastAsia="宋体" w:cs="宋体"/>
          <w:sz w:val="24"/>
        </w:rPr>
        <w:t>3.14手动线模具小孔废料以废料盒暂存后送出（最小存放量需满足单班次生产要求），其余废料必须经废料滑槽滑出模具后进入废料箱或手动取下，废料滑槽超出模具底板部分的刚性良好并采用折叠式结构和带挂链。自动线模具废料均经废料滑槽滑出并落入废料输送带，切边废料应采用废料刀将废料切碎，废料对角线长度应小于600mm，该废料应自动排出工作台以外。废料的排出应保证排出可靠，而且考虑设备、模具、操作者的安全。</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rPr>
      </w:pPr>
      <w:r>
        <w:rPr>
          <w:rFonts w:hint="eastAsia" w:ascii="宋体" w:hAnsi="宋体" w:eastAsia="宋体" w:cs="宋体"/>
          <w:sz w:val="24"/>
        </w:rPr>
        <w:t>3.15模具凸模、凹模、废料刀原则上不允许悬空，对不可避免的必须控制其悬空量不大于10mm，但需告知招标方。</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rPr>
      </w:pPr>
      <w:r>
        <w:rPr>
          <w:rFonts w:hint="eastAsia" w:ascii="宋体" w:hAnsi="宋体" w:eastAsia="宋体" w:cs="宋体"/>
          <w:sz w:val="24"/>
        </w:rPr>
        <w:t>3.16模具导向型式采用矩形导向腿加防磨板结构，带刃口的拉延模另加导柱导向。模具采用导板导向的导向导腿要与底板铸成一体，不要厚钢板导向结构。导板导向部位应采用自润式。模具的导柱、导套要求采用锁紧结构，导套采用自润导套。</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rPr>
      </w:pPr>
      <w:r>
        <w:rPr>
          <w:rFonts w:hint="eastAsia" w:ascii="宋体" w:hAnsi="宋体" w:eastAsia="宋体" w:cs="宋体"/>
          <w:sz w:val="24"/>
        </w:rPr>
        <w:t>3.17模具固定采用U型槽形式，数量要求为：模具长度L≥1500mm时,上、下模各6～10个；L＜1500mm时，上、下模各4～6个,具体位置按所用压力机的连接位置设计(其中自动化生产线模具U形槽位置及数量合同签定后5个工作日内由招标方提供)，保证安装安全。</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rPr>
      </w:pPr>
      <w:r>
        <w:rPr>
          <w:rFonts w:hint="eastAsia" w:ascii="宋体" w:hAnsi="宋体" w:eastAsia="宋体" w:cs="宋体"/>
          <w:sz w:val="24"/>
        </w:rPr>
        <w:t>3.18上下模座定位要操作方便、可靠，上、下模座的前、后、左、右垂直面上的中心线要有V型槽标记；下模座左右两侧加工快速定位基准面，利用压力机工作台快速定位孔定位，具体尺寸由压力机确定；模具上、下模前端垂直面上明显处铸出前方标记“F”字。</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rPr>
      </w:pPr>
      <w:r>
        <w:rPr>
          <w:rFonts w:hint="eastAsia" w:ascii="宋体" w:hAnsi="宋体" w:eastAsia="宋体" w:cs="宋体"/>
          <w:sz w:val="24"/>
        </w:rPr>
        <w:t>3.19所有的翻边镶块、导板等均应设有挡块或背托，不能仅用销钉。</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rPr>
      </w:pPr>
      <w:r>
        <w:rPr>
          <w:rFonts w:hint="eastAsia" w:ascii="宋体" w:hAnsi="宋体" w:eastAsia="宋体" w:cs="宋体"/>
          <w:sz w:val="24"/>
        </w:rPr>
        <w:t>3.20修边、整形、翻边等模具主要镶块（修边刃口、翻边镶块）等在预验收前，不得补焊。预验收结束后，如确需补焊钳修的，必须如实填写《模具钳修记录表》，必须保证一次补焊成功，否则无条件更换。</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rPr>
      </w:pPr>
      <w:r>
        <w:rPr>
          <w:rFonts w:hint="eastAsia" w:ascii="宋体" w:hAnsi="宋体" w:eastAsia="宋体" w:cs="宋体"/>
          <w:sz w:val="24"/>
        </w:rPr>
        <w:t>3.21应保证模具使用的便利和安全，并便于维修、搬运、存放。模具闭合高度按招标方设备参数进行合理设计，以方便安装、拆卸为前提；结构以保证安全并具有足够的强度、刚性为原则。起吊及用于翻转的结构采用招标方认可的标准，设计时考虑模具吊装的平衡。凡模具零件超过15KG或取放不方便的模具零件，均设置起重螺孔或起重孔，起重螺孔原则上用： M16、M20、M24公制螺纹，起重孔采用：Φ16、Φ21、Φ26、Φ34，较大件要求四点起重。模具镶块起吊孔至少采用M16以上，压料器起吊孔至少采用M20以上。模具重心和多副模具组合在模板上的组合式模具重心与模具的几何中心应尽量重合,以保证吊运安全。模具的起吊结构必须满足行车吊运的要求。起吊装置大、中型模具（模具长度大于2000mm或是长度加上宽度尺寸超过3500mm的）采用插销式吊耳形式，插销式超重吊耳应配有自锁功能的起重棒。小型模具采用铸入式起重棒，起重棒要求安装于模具的前后侧，左右侧铸入起重翻转套，便于模具的起吊、反转；下模的活动部件应设置防护板，固定在下模座上；上下模均做出连接位置及孔。</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rPr>
      </w:pPr>
      <w:r>
        <w:rPr>
          <w:rFonts w:hint="eastAsia" w:ascii="宋体" w:hAnsi="宋体" w:eastAsia="宋体" w:cs="宋体"/>
          <w:sz w:val="24"/>
        </w:rPr>
        <w:t>3.22为便于上、下模合模时的安全性，应设计防反装置。上模的活动部件均应有安全措施。</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rPr>
      </w:pPr>
      <w:r>
        <w:rPr>
          <w:rFonts w:hint="eastAsia" w:ascii="宋体" w:hAnsi="宋体" w:eastAsia="宋体" w:cs="宋体"/>
          <w:sz w:val="24"/>
        </w:rPr>
        <w:t>3.23模具上安装标牌，在标牌上标有冲压件名称和编号、模具名称和编号、制造厂名和制造日期，位置统一在同一侧。</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rPr>
      </w:pPr>
      <w:r>
        <w:rPr>
          <w:rFonts w:hint="eastAsia" w:ascii="宋体" w:hAnsi="宋体" w:eastAsia="宋体" w:cs="宋体"/>
          <w:sz w:val="24"/>
        </w:rPr>
        <w:t>3.24在模具的上、下模明显位置，铸造标明产品编号、工序号、模具号，位置统一在明显的一侧。发货时标注出上模重量、下模重量（含压边圈重量）、及模具总重量，并在铸有电子体的数字字型上按实际重量描黄。</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rPr>
      </w:pPr>
      <w:r>
        <w:rPr>
          <w:rFonts w:hint="eastAsia" w:ascii="宋体" w:hAnsi="宋体" w:eastAsia="宋体" w:cs="宋体"/>
          <w:sz w:val="24"/>
        </w:rPr>
        <w:t>3.25在模具四角设置安全区，大中型模具安全区大小为 150mm×150mm，中小型模具安全区大小为120mm×120mm，安全区高度110mm（闭合状态）。</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rPr>
      </w:pPr>
      <w:r>
        <w:rPr>
          <w:rFonts w:hint="eastAsia" w:ascii="宋体" w:hAnsi="宋体" w:eastAsia="宋体" w:cs="宋体"/>
          <w:sz w:val="24"/>
        </w:rPr>
        <w:t>3.26模具上无功能要求的棱角全部倒钝。</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rPr>
      </w:pPr>
      <w:r>
        <w:rPr>
          <w:rFonts w:hint="eastAsia" w:ascii="宋体" w:hAnsi="宋体" w:eastAsia="宋体" w:cs="宋体"/>
          <w:sz w:val="24"/>
        </w:rPr>
        <w:t>3.27建议铸件结构尺寸：型面工作部分厚度＞60mm，主筋厚度＞50mm，其它筋厚度＞40mm，间距200-350mm，主要支撑面厚度50-80mm。上模U型槽处厚度50～80mm（自动化冲压件生产线模具U形槽厚度在合同签定后5个工作日内由招标方提供）。如偏离上述要求，在保证模具使用寿命的前提下，投标方可自行决定具体的铸件结构尺寸，但要在投标书中进行特别说明。</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rPr>
      </w:pPr>
      <w:r>
        <w:rPr>
          <w:rFonts w:hint="eastAsia" w:ascii="宋体" w:hAnsi="宋体" w:eastAsia="宋体" w:cs="宋体"/>
          <w:sz w:val="24"/>
        </w:rPr>
        <w:t>3.28模具的导柱均安装在下模座上，冲模的起重和翻转应在设计时考虑。冲模上的活动部件应有安全措施，应有行程限位器、存放式限位器、安全块、防护板、防护罩等。冲模零部件应考虑防松、防崩、防脱落、防冲击等措施。冲模的布置应考虑到压床的安全、合理和便于操作及安装。冲模的气动接头采用快换插头，并分别分布在冲模的左前侧，管路内应设有调压阀；接插座的排列顺序为定位装置升起、定位装置下降、托料装置升起、托料装置下降。</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rPr>
      </w:pPr>
      <w:r>
        <w:rPr>
          <w:rFonts w:hint="eastAsia" w:ascii="宋体" w:hAnsi="宋体" w:eastAsia="宋体" w:cs="宋体"/>
          <w:sz w:val="24"/>
        </w:rPr>
        <w:t>3.29外覆盖件模具成形型面（含拉延模工艺补充部分）不允许堆焊和补焊；拉延筋及压料面等，在调试过程中，确需要进行堆焊的，必须告知招标方，并如实填写《模具钳修记录单》，保证焊接质量。外覆盖件模具钳工修正前研合率须超过80%，进行钳修后研合率须超过95%，且如实填写《模具钳修记录表》；对于钳修后的研合率招标方将在预验收前进行蓝丹着色检查，投标方应予以无条件配合。有拉延工序零件的模具须有研模基准孔（CH孔）。</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rPr>
      </w:pPr>
      <w:r>
        <w:rPr>
          <w:rFonts w:hint="eastAsia" w:ascii="宋体" w:hAnsi="宋体" w:eastAsia="宋体" w:cs="宋体"/>
          <w:sz w:val="24"/>
        </w:rPr>
        <w:t>3.30模具材料及热处理。</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rPr>
      </w:pPr>
      <w:r>
        <w:rPr>
          <w:rFonts w:hint="eastAsia" w:ascii="宋体" w:hAnsi="宋体" w:eastAsia="宋体" w:cs="宋体"/>
          <w:sz w:val="24"/>
        </w:rPr>
        <w:t>3.30.1大型覆盖件类拉延模：侧围外板、车门外板、前机盖内/外板、左/右翼子板、顶盖外板拉延模的凸模、凹模、压边圈使用GGG70L铸铁，工作表面圆角部位需采取有效的热处理方式，不允许制件表面出现拉毛、划痕等影响外观质量的缺陷。圆角处的热处理方式应该由投标方提出并通过招标方同意；若进行TD处理，局部的分块结构与招标方人员进行确认。均匀淬火硬度HRC55±2°，工作部位表面粗糙度要求Ra0.8。硬度测试为每100mm随机取点，硬度平均值达到要求，且最小值≥50。地板的模具压边圈和凹模采用镶钢块（Cr12MoV）型面，并进行TD处理，硬度HRC58～62。</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rPr>
      </w:pPr>
      <w:r>
        <w:rPr>
          <w:rFonts w:hint="eastAsia" w:ascii="宋体" w:hAnsi="宋体" w:eastAsia="宋体" w:cs="宋体"/>
          <w:sz w:val="24"/>
        </w:rPr>
        <w:t>3.30.2一般拉延模：凹模、凸模及压边圈采用GM246铸铁，均匀淬火硬度HRC53±2°。工作部位表面粗糙度要求Ra0.8。硬度测试为每100mm随机取点，硬度平均值达到要求，且最小值≥50。制件料厚大于等于1.5MM或材质为高强钢或成形复杂的模具压边圈和凹模采用Cr12MoV镶钢块（Cr12MoV）型面，并进行TD处理，硬度HRC58～62。</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rPr>
      </w:pPr>
      <w:r>
        <w:rPr>
          <w:rFonts w:hint="eastAsia" w:ascii="宋体" w:hAnsi="宋体" w:eastAsia="宋体" w:cs="宋体"/>
          <w:sz w:val="24"/>
        </w:rPr>
        <w:t>3.30.3修边冲孔模：模座采用HT300，料厚&lt;1.2mm时，修边镶块采用7CrSiMnMoV，硬度HRC55～58。料厚≥1.2mm时，修边镶块采用Cr12MoV，硬度HRC58～62。压料芯等其他部件，采用HT300。工作部位表面及刃口表面粗糙度要求Ra0.8。</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rPr>
      </w:pPr>
      <w:r>
        <w:rPr>
          <w:rFonts w:hint="eastAsia" w:ascii="宋体" w:hAnsi="宋体" w:eastAsia="宋体" w:cs="宋体"/>
          <w:sz w:val="24"/>
        </w:rPr>
        <w:t>3.30.4翻边整形模：模座采用HT300，料厚＜1.2mm时，镶块采用7CrSiMnMoV，硬度HRC55～58。料厚≥1.2mm时，镶块采用Cr12MoV，硬度HRC58～62。需进行整形过程的压料芯等其他部件，采用Mocr，硬度要求达到HRC50以上，其他采用HT300。工作部位表面粗糙度要求Ra0.8。</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rPr>
      </w:pPr>
      <w:r>
        <w:rPr>
          <w:rFonts w:hint="eastAsia" w:ascii="宋体" w:hAnsi="宋体" w:eastAsia="宋体" w:cs="宋体"/>
          <w:sz w:val="24"/>
        </w:rPr>
        <w:t>3.31铸件及钢镶块可拆卸件应进行打号标记，打号位置为可拆卸件及对应的模座（阿拉伯数字）。</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rPr>
      </w:pPr>
      <w:r>
        <w:rPr>
          <w:rFonts w:hint="eastAsia" w:ascii="宋体" w:hAnsi="宋体" w:eastAsia="宋体" w:cs="宋体"/>
          <w:sz w:val="24"/>
        </w:rPr>
        <w:t>3.32拉延、成形类模具，要求有合模到底标记，模具布置2个到底标记，且不可集中于模具一侧，标记深度为0.3mm以内，且深度均匀。内板件需左右区分时，标识为R、L，取代到底标记。最终制件上不能有任何影响外观质量的标记存在。</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rPr>
      </w:pPr>
      <w:r>
        <w:rPr>
          <w:rFonts w:hint="eastAsia" w:ascii="宋体" w:hAnsi="宋体" w:eastAsia="宋体" w:cs="宋体"/>
          <w:sz w:val="24"/>
        </w:rPr>
        <w:t>3.33压边圈压料面设置平衡块，两相邻垫块间距小于500mm，保证到底时同时接触。</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rPr>
      </w:pPr>
      <w:r>
        <w:rPr>
          <w:rFonts w:hint="eastAsia" w:ascii="宋体" w:hAnsi="宋体" w:eastAsia="宋体" w:cs="宋体"/>
          <w:sz w:val="24"/>
        </w:rPr>
        <w:t>3.34压边圈与凸模的内导板不得少于8个，因模具尺寸等问题不能布置的，需得到招标方认可。导向间隙0.1～0.12mm，80%以上均匀接触视为合格。</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rPr>
      </w:pPr>
      <w:r>
        <w:rPr>
          <w:rFonts w:hint="eastAsia" w:ascii="宋体" w:hAnsi="宋体" w:eastAsia="宋体" w:cs="宋体"/>
          <w:sz w:val="24"/>
        </w:rPr>
        <w:t>3.35拉延模二级托杆与顶杆均要加装标准垫块，垫块厚20mm，HRC40-45。</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rPr>
      </w:pPr>
      <w:r>
        <w:rPr>
          <w:rFonts w:hint="eastAsia" w:ascii="宋体" w:hAnsi="宋体" w:eastAsia="宋体" w:cs="宋体"/>
          <w:sz w:val="24"/>
        </w:rPr>
        <w:t>3.36顶杆由投标方负责制造。模具图纸上要附有顶杆布置图。为使顶杆长度规格统一，减少顶杆种类，采用二级顶杆方式，招标方提供顶杆规格。</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rPr>
      </w:pPr>
      <w:r>
        <w:rPr>
          <w:rFonts w:hint="eastAsia" w:ascii="宋体" w:hAnsi="宋体" w:eastAsia="宋体" w:cs="宋体"/>
          <w:sz w:val="24"/>
        </w:rPr>
        <w:t>3.37投标方应保证对所采用的铸件进行消除应力处理，并向招标方提供试棒及其它有关材料的资料。铸造时必须同时带出标准材质检验棒（不少于3个），并要求铸造厂家提供材质单及铸件检验报告。主要模具铸件须经理化性能试验（理化性能试验包括：抗拉强度、硬度、化学成份、金相组织四个项目）合格后，方可开始加工重要模具铸件（如：凸模、凹模等），还须在铸件上预留用于理化性能复查的连体试棒。</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rPr>
      </w:pPr>
      <w:r>
        <w:rPr>
          <w:rFonts w:hint="eastAsia" w:ascii="宋体" w:hAnsi="宋体" w:eastAsia="宋体" w:cs="宋体"/>
          <w:sz w:val="24"/>
        </w:rPr>
        <w:t>3.38投标方应提供铸件材料标准、生产厂商、国家或地区。</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rPr>
      </w:pPr>
      <w:r>
        <w:rPr>
          <w:rFonts w:hint="eastAsia" w:ascii="宋体" w:hAnsi="宋体" w:eastAsia="宋体" w:cs="宋体"/>
          <w:sz w:val="24"/>
        </w:rPr>
        <w:t>3.39在满足招标方技术要求并能生产出合格的冲压件的前提下，投标方自己确定模具主要部件所用材料及表面处理硬度，材料报价及表面处理费用应计算在投标总报价之内。</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rPr>
      </w:pPr>
      <w:r>
        <w:rPr>
          <w:rFonts w:hint="eastAsia" w:ascii="宋体" w:hAnsi="宋体" w:eastAsia="宋体" w:cs="宋体"/>
          <w:sz w:val="24"/>
        </w:rPr>
        <w:t>3.40 其他的设计标准见附件</w:t>
      </w:r>
      <w:r>
        <w:rPr>
          <w:rFonts w:hint="eastAsia" w:ascii="宋体" w:hAnsi="宋体" w:eastAsia="宋体" w:cs="宋体"/>
          <w:sz w:val="24"/>
          <w:lang w:val="en-US" w:eastAsia="zh-CN"/>
        </w:rPr>
        <w:t>3</w:t>
      </w:r>
      <w:r>
        <w:rPr>
          <w:rFonts w:hint="eastAsia" w:ascii="宋体" w:hAnsi="宋体" w:eastAsia="宋体" w:cs="宋体"/>
          <w:sz w:val="24"/>
        </w:rPr>
        <w:t>《车身冲压模具设计标准》</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rPr>
      </w:pPr>
      <w:r>
        <w:rPr>
          <w:rFonts w:hint="eastAsia" w:ascii="宋体" w:hAnsi="宋体" w:eastAsia="宋体" w:cs="宋体"/>
          <w:sz w:val="24"/>
        </w:rPr>
        <w:t>3.41 热成型模具的设计标准由投标方提供，招标方确认后，做为设计的依据。</w:t>
      </w:r>
    </w:p>
    <w:p>
      <w:pPr>
        <w:keepNext w:val="0"/>
        <w:keepLines w:val="0"/>
        <w:pageBreakBefore w:val="0"/>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宋体" w:hAnsi="宋体" w:eastAsia="宋体" w:cs="宋体"/>
          <w:b/>
          <w:sz w:val="24"/>
          <w:szCs w:val="24"/>
        </w:rPr>
      </w:pPr>
      <w:r>
        <w:rPr>
          <w:rFonts w:hint="eastAsia" w:ascii="宋体" w:hAnsi="宋体" w:eastAsia="宋体" w:cs="宋体"/>
          <w:b/>
          <w:sz w:val="24"/>
        </w:rPr>
        <w:t>4、</w:t>
      </w:r>
      <w:r>
        <w:rPr>
          <w:rFonts w:hint="eastAsia" w:ascii="宋体" w:hAnsi="宋体" w:eastAsia="宋体" w:cs="宋体"/>
          <w:b/>
          <w:sz w:val="24"/>
          <w:szCs w:val="24"/>
        </w:rPr>
        <w:t>模具图纸会签、模具的验收</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rPr>
      </w:pPr>
      <w:r>
        <w:rPr>
          <w:rFonts w:hint="eastAsia" w:ascii="宋体" w:hAnsi="宋体" w:eastAsia="宋体" w:cs="宋体"/>
          <w:sz w:val="24"/>
        </w:rPr>
        <w:t>4.1  模具方案及模具图纸会签：中标方依照定标的模具设计方案进行设计，若需调整，需经招标方认可。原则上，DL图在招标方会签，如招标方有特殊情况，到中标方会签；模具设计图纸在中标方进行会签后方可投入后续工作。</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rPr>
      </w:pPr>
      <w:r>
        <w:rPr>
          <w:rFonts w:hint="eastAsia" w:ascii="宋体" w:hAnsi="宋体" w:eastAsia="宋体" w:cs="宋体"/>
          <w:sz w:val="24"/>
        </w:rPr>
        <w:t>4.2预验收</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rPr>
      </w:pPr>
      <w:r>
        <w:rPr>
          <w:rFonts w:hint="eastAsia" w:ascii="宋体" w:hAnsi="宋体" w:eastAsia="宋体" w:cs="宋体"/>
          <w:sz w:val="24"/>
        </w:rPr>
        <w:t>4.2.1 预验收依据：中标方提供并经招标方认可的模具设计制造标准、合同，工艺及模具图纸会签纪要，冲压件零件质量判定标准。</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rPr>
      </w:pPr>
      <w:r>
        <w:rPr>
          <w:rFonts w:hint="eastAsia" w:ascii="宋体" w:hAnsi="宋体" w:eastAsia="宋体" w:cs="宋体"/>
          <w:sz w:val="24"/>
        </w:rPr>
        <w:t>4.2.2 预验收启动条件：中标方完成模具制造，通过动、静态、硬度自检符合要求，冲压件自检质量达到冲压件零件质量判定标准(见附件</w:t>
      </w:r>
      <w:r>
        <w:rPr>
          <w:rFonts w:hint="eastAsia" w:ascii="宋体" w:hAnsi="宋体" w:eastAsia="宋体" w:cs="宋体"/>
          <w:sz w:val="24"/>
          <w:lang w:val="en-US" w:eastAsia="zh-CN"/>
        </w:rPr>
        <w:t>2</w:t>
      </w:r>
      <w:r>
        <w:rPr>
          <w:rFonts w:hint="eastAsia" w:ascii="宋体" w:hAnsi="宋体" w:eastAsia="宋体" w:cs="宋体"/>
          <w:sz w:val="24"/>
        </w:rPr>
        <w:t>)要求,并按要求完成1.7条款所示的内容后，中标方向招标方提出预验收申请。</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rPr>
      </w:pPr>
      <w:r>
        <w:rPr>
          <w:rFonts w:hint="eastAsia" w:ascii="宋体" w:hAnsi="宋体" w:eastAsia="宋体" w:cs="宋体"/>
          <w:sz w:val="24"/>
        </w:rPr>
        <w:t>4.2.3投标方负责向招标方提供冲压件及《冲压制件检查基准书》，并派技术人员参加零件匹配性验证。招标方按产品图纸及技术要求对制件的形状及尺寸进行必要的检测，并负责协调组织零件匹配性验证工作，验证完成后双方签署《验收纪要》。零件匹配性验证在招标方现场组织实施。</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rPr>
        <w:t>4.2.4在完成零件匹配性验证后，开展模具预验收工作，预验收场地在投标方处进行，并由投标方提供必要的设备、仪器、场地等预验收工作必须的条件</w:t>
      </w:r>
      <w:r>
        <w:rPr>
          <w:rFonts w:hint="eastAsia" w:ascii="宋体" w:hAnsi="宋体" w:eastAsia="宋体" w:cs="宋体"/>
          <w:sz w:val="24"/>
          <w:szCs w:val="24"/>
        </w:rPr>
        <w:t>。</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rPr>
      </w:pPr>
      <w:r>
        <w:rPr>
          <w:rFonts w:hint="eastAsia" w:ascii="宋体" w:hAnsi="宋体" w:eastAsia="宋体" w:cs="宋体"/>
          <w:sz w:val="24"/>
        </w:rPr>
        <w:t>4.2.5 预验收工作由双方配合完成。除完成动静态检测、硬度检测等基础检查项目外，连续试冲不少于30个合格冲压制件(以冲压件零件质量判定标准判定是否合格)，左右侧围外板、左右车门外板、前机盖内/外板、左/右翼子板、顶盖外板拉延模具凸模、凹模、压边圈及所有模具导向面着色率≥95%，其余拉延模着色率≥92%，视为预验收合格。预验收合格后，双方签署《预验收纪要》</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rPr>
      </w:pPr>
      <w:r>
        <w:rPr>
          <w:rFonts w:hint="eastAsia" w:ascii="宋体" w:hAnsi="宋体" w:eastAsia="宋体" w:cs="宋体"/>
          <w:sz w:val="24"/>
        </w:rPr>
        <w:t>4.3终验收</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rPr>
      </w:pPr>
      <w:r>
        <w:rPr>
          <w:rFonts w:hint="eastAsia" w:ascii="宋体" w:hAnsi="宋体" w:eastAsia="宋体" w:cs="宋体"/>
          <w:sz w:val="24"/>
          <w:szCs w:val="24"/>
        </w:rPr>
        <w:t>4.3.1在模具所有者现场，用工艺规定的材料、设备压出合格的制件（符合合同及技术协议中相关条款），并能够装出合格汽车车身为准。</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rPr>
      </w:pPr>
      <w:r>
        <w:rPr>
          <w:rFonts w:hint="eastAsia" w:ascii="宋体" w:hAnsi="宋体" w:eastAsia="宋体" w:cs="宋体"/>
          <w:sz w:val="24"/>
        </w:rPr>
        <w:t>4.3.2 终验收前，模具应在招标方生产加工3000件，若因招标方原因，在模具招标方1年内，仍未生产加工3000件的，则满足模具在到达招标方一年后，由投标方提出书面申请，进行模具终验收工作。在此期间，投标方应安排至少一名模具钳工进行陪产。</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rPr>
      </w:pPr>
      <w:r>
        <w:rPr>
          <w:rFonts w:hint="eastAsia" w:ascii="宋体" w:hAnsi="宋体" w:eastAsia="宋体" w:cs="宋体"/>
          <w:sz w:val="24"/>
        </w:rPr>
        <w:t>4.3.3 招标方收到投标方终验收申请后，根据生产情况，安排模具终验收工作。</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kern w:val="0"/>
          <w:sz w:val="24"/>
        </w:rPr>
      </w:pPr>
      <w:r>
        <w:rPr>
          <w:rFonts w:hint="eastAsia" w:ascii="宋体" w:hAnsi="宋体" w:eastAsia="宋体" w:cs="宋体"/>
          <w:sz w:val="24"/>
        </w:rPr>
        <w:t xml:space="preserve">4.3.4 </w:t>
      </w:r>
      <w:r>
        <w:rPr>
          <w:rFonts w:hint="eastAsia" w:ascii="宋体" w:hAnsi="宋体" w:eastAsia="宋体" w:cs="宋体"/>
          <w:kern w:val="0"/>
          <w:sz w:val="24"/>
        </w:rPr>
        <w:t>模具的最终验收在招标方生产现场实施。投标方对全部模具在招标方的安装调整负全责。模具最终验收前，为便于事前安排调整，投标方须提出压力机使用计划，以便尽快完成模具终验收。另外，由于投标方责任导致机械故障，须赔偿。模具在压力机上调试时，全工序必须要完全和生产状态同一条件下进行，不可添加生产状态以外的条件（涂油、贴薄膜等）。</w:t>
      </w:r>
    </w:p>
    <w:p>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kern w:val="0"/>
          <w:sz w:val="24"/>
        </w:rPr>
      </w:pPr>
      <w:r>
        <w:rPr>
          <w:rFonts w:hint="eastAsia" w:ascii="宋体" w:hAnsi="宋体" w:eastAsia="宋体" w:cs="宋体"/>
          <w:kern w:val="0"/>
          <w:sz w:val="24"/>
        </w:rPr>
        <w:t>4.3.5 模具终验时，投标方派遣模具技术人员在招标方工厂对接。模具调试用的工具、焊接棒、其它易耗品、技术人员所需的工作服、安全保护用品等均由投标方准备。投标方派遣的模具技术人员（模具交付人员）必须取得国家相关部门承认的证书（如天车操作证、焊机操作证等），并且遵守招标方的各项规定，若有违法或违反招标方公司制度，招标方有权对其进行相应的处罚并要求更换交模人员。</w:t>
      </w:r>
    </w:p>
    <w:p>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kern w:val="0"/>
          <w:sz w:val="24"/>
        </w:rPr>
      </w:pPr>
      <w:r>
        <w:rPr>
          <w:rFonts w:hint="eastAsia" w:ascii="宋体" w:hAnsi="宋体" w:eastAsia="宋体" w:cs="宋体"/>
          <w:kern w:val="0"/>
          <w:sz w:val="24"/>
        </w:rPr>
        <w:t>4.3.6 除进行必要的模具动态检测外，招标方有权重新安排不少于20%的模具重新进行全面的静态及硬度检测，投标方应予以配合。</w:t>
      </w:r>
    </w:p>
    <w:p>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kern w:val="0"/>
          <w:sz w:val="24"/>
        </w:rPr>
      </w:pPr>
      <w:r>
        <w:rPr>
          <w:rFonts w:hint="eastAsia" w:ascii="宋体" w:hAnsi="宋体" w:eastAsia="宋体" w:cs="宋体"/>
          <w:kern w:val="0"/>
          <w:sz w:val="24"/>
        </w:rPr>
        <w:t>4.3.7 拉延模具硬度，除满足硬度要求外，还应保证招标方能完成连续</w:t>
      </w:r>
      <w:r>
        <w:rPr>
          <w:rFonts w:hint="eastAsia" w:ascii="宋体" w:hAnsi="宋体" w:eastAsia="宋体" w:cs="宋体"/>
          <w:kern w:val="0"/>
          <w:sz w:val="28"/>
        </w:rPr>
        <w:t>500</w:t>
      </w:r>
      <w:r>
        <w:rPr>
          <w:rFonts w:hint="eastAsia" w:ascii="宋体" w:hAnsi="宋体" w:eastAsia="宋体" w:cs="宋体"/>
          <w:kern w:val="0"/>
          <w:sz w:val="24"/>
        </w:rPr>
        <w:t>件生产（不涂油），而不产生有明显触感的拉毛情况。</w:t>
      </w:r>
    </w:p>
    <w:p>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kern w:val="0"/>
          <w:sz w:val="24"/>
        </w:rPr>
      </w:pPr>
      <w:r>
        <w:rPr>
          <w:rFonts w:hint="eastAsia" w:ascii="宋体" w:hAnsi="宋体" w:eastAsia="宋体" w:cs="宋体"/>
          <w:kern w:val="0"/>
          <w:sz w:val="24"/>
        </w:rPr>
        <w:t>4.3.8 终验收时所生产零件需进行全尺寸检查及SPC检查。</w:t>
      </w:r>
    </w:p>
    <w:p>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kern w:val="0"/>
          <w:sz w:val="24"/>
        </w:rPr>
      </w:pPr>
      <w:r>
        <w:rPr>
          <w:rFonts w:hint="eastAsia" w:ascii="宋体" w:hAnsi="宋体" w:eastAsia="宋体" w:cs="宋体"/>
          <w:kern w:val="0"/>
          <w:sz w:val="24"/>
        </w:rPr>
        <w:t>4.3.8.1零件在自由状态下放置于检具或检测支架上（不夹紧状态），零件的反弹在2mm以下时进行全尺寸检查，否则不进行全尺寸检查。</w:t>
      </w:r>
    </w:p>
    <w:p>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kern w:val="0"/>
          <w:sz w:val="24"/>
        </w:rPr>
      </w:pPr>
      <w:r>
        <w:rPr>
          <w:rFonts w:hint="eastAsia" w:ascii="宋体" w:hAnsi="宋体" w:eastAsia="宋体" w:cs="宋体"/>
          <w:kern w:val="0"/>
          <w:sz w:val="24"/>
        </w:rPr>
        <w:t xml:space="preserve">   4.3.8.2 全尺寸检测中，所有的尺寸公差，按照招标方提供的冲压件质量判定标准进行。　</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kern w:val="0"/>
          <w:sz w:val="24"/>
        </w:rPr>
      </w:pPr>
      <w:r>
        <w:rPr>
          <w:rFonts w:hint="eastAsia" w:ascii="宋体" w:hAnsi="宋体" w:eastAsia="宋体" w:cs="宋体"/>
          <w:kern w:val="0"/>
          <w:sz w:val="24"/>
        </w:rPr>
        <w:t>4.3.8.3 SPC检查：关键点SPC测定，以cpk1.67以上为合格。</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kern w:val="0"/>
          <w:sz w:val="24"/>
        </w:rPr>
      </w:pPr>
      <w:r>
        <w:rPr>
          <w:rFonts w:hint="eastAsia" w:ascii="宋体" w:hAnsi="宋体" w:eastAsia="宋体" w:cs="宋体"/>
          <w:kern w:val="0"/>
          <w:sz w:val="24"/>
        </w:rPr>
        <w:t>4.3.9</w:t>
      </w:r>
      <w:r>
        <w:rPr>
          <w:rFonts w:hint="eastAsia" w:ascii="宋体" w:hAnsi="宋体" w:eastAsia="宋体" w:cs="宋体"/>
          <w:sz w:val="24"/>
          <w:szCs w:val="24"/>
        </w:rPr>
        <w:t>若在合同约定的时间内，投标方无法达到招标方的终验收要求，投标方应无条件按招标方的要求的时间，将模具发运至招标方指定的地点并派出合格的调试人员去调整交模。整改发生的费用由投标方承担，并从合同中扣除。</w:t>
      </w:r>
    </w:p>
    <w:p>
      <w:pPr>
        <w:keepNext w:val="0"/>
        <w:keepLines w:val="0"/>
        <w:pageBreakBefore w:val="0"/>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宋体" w:hAnsi="宋体" w:eastAsia="宋体" w:cs="宋体"/>
          <w:b/>
          <w:sz w:val="24"/>
        </w:rPr>
      </w:pPr>
      <w:r>
        <w:rPr>
          <w:rFonts w:hint="eastAsia" w:ascii="宋体" w:hAnsi="宋体" w:eastAsia="宋体" w:cs="宋体"/>
          <w:b/>
          <w:sz w:val="24"/>
        </w:rPr>
        <w:t>5、模具发运和包装</w:t>
      </w:r>
    </w:p>
    <w:p>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kern w:val="0"/>
          <w:sz w:val="24"/>
        </w:rPr>
      </w:pPr>
      <w:r>
        <w:rPr>
          <w:rFonts w:hint="eastAsia" w:ascii="宋体" w:hAnsi="宋体" w:eastAsia="宋体" w:cs="宋体"/>
          <w:kern w:val="0"/>
          <w:sz w:val="24"/>
        </w:rPr>
        <w:t>5.1 模具交付前，应进行清理、涂抹防锈油、固定模具连接板。根据使用单位要求涂装防锈漆，面漆颜色由招标方提供。</w:t>
      </w:r>
    </w:p>
    <w:p>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kern w:val="0"/>
          <w:sz w:val="24"/>
        </w:rPr>
      </w:pPr>
      <w:r>
        <w:rPr>
          <w:rFonts w:hint="eastAsia" w:ascii="宋体" w:hAnsi="宋体" w:eastAsia="宋体" w:cs="宋体"/>
          <w:kern w:val="0"/>
          <w:sz w:val="24"/>
        </w:rPr>
        <w:t>5.2 中标方负责模具的包装，包装要适用长途运输，做到防潮、防锈、防震、防变形。</w:t>
      </w:r>
    </w:p>
    <w:p>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kern w:val="0"/>
          <w:sz w:val="24"/>
        </w:rPr>
      </w:pPr>
      <w:r>
        <w:rPr>
          <w:rFonts w:hint="eastAsia" w:ascii="宋体" w:hAnsi="宋体" w:eastAsia="宋体" w:cs="宋体"/>
          <w:kern w:val="0"/>
          <w:sz w:val="24"/>
        </w:rPr>
        <w:t>5.3 模具由中标方负责运至模具所有者生产车间。</w:t>
      </w:r>
    </w:p>
    <w:p>
      <w:pPr>
        <w:spacing w:line="360" w:lineRule="auto"/>
        <w:ind w:left="562"/>
        <w:rPr>
          <w:rFonts w:hint="eastAsia" w:ascii="宋体" w:hAnsi="宋体" w:eastAsia="宋体" w:cs="宋体"/>
          <w:b/>
          <w:sz w:val="24"/>
        </w:rPr>
      </w:pPr>
      <w:r>
        <w:rPr>
          <w:rFonts w:hint="eastAsia" w:ascii="宋体" w:hAnsi="宋体" w:eastAsia="宋体" w:cs="宋体"/>
          <w:b/>
          <w:sz w:val="24"/>
        </w:rPr>
        <w:t>6、模具发运所附带的标准件等备品数量要求</w:t>
      </w:r>
    </w:p>
    <w:tbl>
      <w:tblPr>
        <w:tblStyle w:val="7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0"/>
        <w:gridCol w:w="887"/>
        <w:gridCol w:w="863"/>
        <w:gridCol w:w="687"/>
        <w:gridCol w:w="2675"/>
        <w:gridCol w:w="2175"/>
        <w:gridCol w:w="16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50" w:type="dxa"/>
            <w:vAlign w:val="center"/>
          </w:tcPr>
          <w:p>
            <w:pPr>
              <w:autoSpaceDE w:val="0"/>
              <w:autoSpaceDN w:val="0"/>
              <w:adjustRightInd w:val="0"/>
              <w:spacing w:line="3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序号</w:t>
            </w:r>
          </w:p>
        </w:tc>
        <w:tc>
          <w:tcPr>
            <w:tcW w:w="5112" w:type="dxa"/>
            <w:gridSpan w:val="4"/>
            <w:vAlign w:val="center"/>
          </w:tcPr>
          <w:p>
            <w:pPr>
              <w:autoSpaceDE w:val="0"/>
              <w:autoSpaceDN w:val="0"/>
              <w:adjustRightInd w:val="0"/>
              <w:spacing w:line="3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品种及规格</w:t>
            </w:r>
          </w:p>
        </w:tc>
        <w:tc>
          <w:tcPr>
            <w:tcW w:w="2175" w:type="dxa"/>
            <w:vAlign w:val="center"/>
          </w:tcPr>
          <w:p>
            <w:pPr>
              <w:autoSpaceDE w:val="0"/>
              <w:autoSpaceDN w:val="0"/>
              <w:adjustRightInd w:val="0"/>
              <w:spacing w:line="360" w:lineRule="exact"/>
              <w:jc w:val="center"/>
              <w:rPr>
                <w:rFonts w:hint="eastAsia" w:ascii="宋体" w:hAnsi="宋体" w:eastAsia="宋体" w:cs="宋体"/>
                <w:kern w:val="0"/>
                <w:sz w:val="24"/>
              </w:rPr>
            </w:pPr>
            <w:r>
              <w:rPr>
                <w:rFonts w:hint="eastAsia" w:ascii="宋体" w:hAnsi="宋体" w:eastAsia="宋体" w:cs="宋体"/>
                <w:kern w:val="0"/>
                <w:sz w:val="24"/>
                <w:szCs w:val="24"/>
              </w:rPr>
              <w:t>备件数量</w:t>
            </w:r>
          </w:p>
        </w:tc>
        <w:tc>
          <w:tcPr>
            <w:tcW w:w="1672" w:type="dxa"/>
          </w:tcPr>
          <w:p>
            <w:pPr>
              <w:autoSpaceDE w:val="0"/>
              <w:autoSpaceDN w:val="0"/>
              <w:adjustRightInd w:val="0"/>
              <w:spacing w:line="3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0" w:type="dxa"/>
            <w:vAlign w:val="center"/>
          </w:tcPr>
          <w:p>
            <w:pPr>
              <w:autoSpaceDE w:val="0"/>
              <w:autoSpaceDN w:val="0"/>
              <w:adjustRightInd w:val="0"/>
              <w:spacing w:line="3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750" w:type="dxa"/>
            <w:gridSpan w:val="2"/>
            <w:vAlign w:val="center"/>
          </w:tcPr>
          <w:p>
            <w:pPr>
              <w:autoSpaceDE w:val="0"/>
              <w:autoSpaceDN w:val="0"/>
              <w:adjustRightInd w:val="0"/>
              <w:spacing w:line="3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弹簧</w:t>
            </w:r>
          </w:p>
        </w:tc>
        <w:tc>
          <w:tcPr>
            <w:tcW w:w="3362" w:type="dxa"/>
            <w:gridSpan w:val="2"/>
            <w:vAlign w:val="center"/>
          </w:tcPr>
          <w:p>
            <w:pPr>
              <w:autoSpaceDE w:val="0"/>
              <w:autoSpaceDN w:val="0"/>
              <w:adjustRightInd w:val="0"/>
              <w:spacing w:line="3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每种规格按总数的5％提供备件</w:t>
            </w:r>
          </w:p>
        </w:tc>
        <w:tc>
          <w:tcPr>
            <w:tcW w:w="2175" w:type="dxa"/>
            <w:vAlign w:val="center"/>
          </w:tcPr>
          <w:p>
            <w:pPr>
              <w:autoSpaceDE w:val="0"/>
              <w:autoSpaceDN w:val="0"/>
              <w:adjustRightInd w:val="0"/>
              <w:spacing w:line="36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每种规格按总数的5％提供备件</w:t>
            </w:r>
          </w:p>
        </w:tc>
        <w:tc>
          <w:tcPr>
            <w:tcW w:w="1672" w:type="dxa"/>
            <w:vAlign w:val="center"/>
          </w:tcPr>
          <w:p>
            <w:pPr>
              <w:autoSpaceDE w:val="0"/>
              <w:autoSpaceDN w:val="0"/>
              <w:adjustRightInd w:val="0"/>
              <w:spacing w:line="3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不少于5件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8" w:hRule="atLeast"/>
          <w:jc w:val="center"/>
        </w:trPr>
        <w:tc>
          <w:tcPr>
            <w:tcW w:w="750" w:type="dxa"/>
            <w:vMerge w:val="restart"/>
            <w:vAlign w:val="center"/>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887" w:type="dxa"/>
            <w:vMerge w:val="restart"/>
            <w:tcBorders>
              <w:right w:val="single" w:color="auto" w:sz="4" w:space="0"/>
            </w:tcBorders>
            <w:vAlign w:val="center"/>
          </w:tcPr>
          <w:p>
            <w:pPr>
              <w:autoSpaceDE w:val="0"/>
              <w:autoSpaceDN w:val="0"/>
              <w:adjustRightInd w:val="0"/>
              <w:spacing w:line="3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冲孔凸模</w:t>
            </w:r>
          </w:p>
          <w:p>
            <w:pPr>
              <w:autoSpaceDE w:val="0"/>
              <w:autoSpaceDN w:val="0"/>
              <w:adjustRightInd w:val="0"/>
              <w:spacing w:line="360" w:lineRule="exact"/>
              <w:jc w:val="center"/>
              <w:rPr>
                <w:rFonts w:hint="eastAsia" w:ascii="宋体" w:hAnsi="宋体" w:eastAsia="宋体" w:cs="宋体"/>
                <w:kern w:val="0"/>
                <w:sz w:val="24"/>
              </w:rPr>
            </w:pPr>
            <w:r>
              <w:rPr>
                <w:rFonts w:hint="eastAsia" w:ascii="宋体" w:hAnsi="宋体" w:eastAsia="宋体" w:cs="宋体"/>
                <w:kern w:val="0"/>
                <w:sz w:val="24"/>
                <w:szCs w:val="24"/>
              </w:rPr>
              <w:t>和凹模</w:t>
            </w:r>
          </w:p>
        </w:tc>
        <w:tc>
          <w:tcPr>
            <w:tcW w:w="863" w:type="dxa"/>
            <w:vMerge w:val="restart"/>
            <w:tcBorders>
              <w:left w:val="single" w:color="auto" w:sz="4" w:space="0"/>
            </w:tcBorders>
            <w:vAlign w:val="center"/>
          </w:tcPr>
          <w:p>
            <w:pPr>
              <w:autoSpaceDE w:val="0"/>
              <w:autoSpaceDN w:val="0"/>
              <w:adjustRightInd w:val="0"/>
              <w:spacing w:line="360" w:lineRule="exact"/>
              <w:jc w:val="center"/>
              <w:rPr>
                <w:rFonts w:hint="eastAsia" w:ascii="宋体" w:hAnsi="宋体" w:eastAsia="宋体" w:cs="宋体"/>
                <w:kern w:val="0"/>
                <w:sz w:val="24"/>
              </w:rPr>
            </w:pPr>
            <w:r>
              <w:rPr>
                <w:rFonts w:hint="eastAsia" w:ascii="宋体" w:hAnsi="宋体" w:eastAsia="宋体" w:cs="宋体"/>
                <w:kern w:val="0"/>
                <w:sz w:val="24"/>
              </w:rPr>
              <w:t>圆孔</w:t>
            </w:r>
          </w:p>
        </w:tc>
        <w:tc>
          <w:tcPr>
            <w:tcW w:w="687" w:type="dxa"/>
            <w:vMerge w:val="restart"/>
            <w:tcBorders>
              <w:right w:val="single" w:color="auto" w:sz="4" w:space="0"/>
            </w:tcBorders>
            <w:vAlign w:val="center"/>
          </w:tcPr>
          <w:p>
            <w:pPr>
              <w:autoSpaceDE w:val="0"/>
              <w:autoSpaceDN w:val="0"/>
              <w:adjustRightInd w:val="0"/>
              <w:spacing w:line="3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标准件</w:t>
            </w:r>
          </w:p>
        </w:tc>
        <w:tc>
          <w:tcPr>
            <w:tcW w:w="2675" w:type="dxa"/>
            <w:tcBorders>
              <w:left w:val="single" w:color="auto" w:sz="4" w:space="0"/>
              <w:bottom w:val="single" w:color="auto" w:sz="4" w:space="0"/>
            </w:tcBorders>
            <w:vAlign w:val="center"/>
          </w:tcPr>
          <w:p>
            <w:pPr>
              <w:autoSpaceDE w:val="0"/>
              <w:autoSpaceDN w:val="0"/>
              <w:adjustRightInd w:val="0"/>
              <w:spacing w:line="3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直径小于ф10mm</w:t>
            </w:r>
          </w:p>
        </w:tc>
        <w:tc>
          <w:tcPr>
            <w:tcW w:w="2175" w:type="dxa"/>
            <w:tcBorders>
              <w:bottom w:val="single" w:color="auto" w:sz="4" w:space="0"/>
            </w:tcBorders>
            <w:vAlign w:val="center"/>
          </w:tcPr>
          <w:p>
            <w:pPr>
              <w:autoSpaceDE w:val="0"/>
              <w:autoSpaceDN w:val="0"/>
              <w:adjustRightInd w:val="0"/>
              <w:spacing w:line="360" w:lineRule="exact"/>
              <w:jc w:val="left"/>
              <w:rPr>
                <w:rFonts w:hint="eastAsia" w:ascii="宋体" w:hAnsi="宋体" w:eastAsia="宋体" w:cs="宋体"/>
                <w:sz w:val="24"/>
                <w:szCs w:val="24"/>
              </w:rPr>
            </w:pPr>
            <w:r>
              <w:rPr>
                <w:rFonts w:hint="eastAsia" w:ascii="宋体" w:hAnsi="宋体" w:eastAsia="宋体" w:cs="宋体"/>
                <w:kern w:val="0"/>
                <w:sz w:val="24"/>
                <w:szCs w:val="24"/>
              </w:rPr>
              <w:t>每种规格按总数的3％提供备件</w:t>
            </w:r>
          </w:p>
        </w:tc>
        <w:tc>
          <w:tcPr>
            <w:tcW w:w="1672" w:type="dxa"/>
            <w:vAlign w:val="center"/>
          </w:tcPr>
          <w:p>
            <w:pPr>
              <w:spacing w:line="360" w:lineRule="exact"/>
              <w:jc w:val="center"/>
              <w:rPr>
                <w:rFonts w:hint="eastAsia" w:ascii="宋体" w:hAnsi="宋体" w:eastAsia="宋体" w:cs="宋体"/>
                <w:sz w:val="24"/>
                <w:szCs w:val="24"/>
              </w:rPr>
            </w:pPr>
            <w:r>
              <w:rPr>
                <w:rFonts w:hint="eastAsia" w:ascii="宋体" w:hAnsi="宋体" w:eastAsia="宋体" w:cs="宋体"/>
                <w:kern w:val="0"/>
                <w:sz w:val="24"/>
                <w:szCs w:val="24"/>
              </w:rPr>
              <w:t>不少于5件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1" w:hRule="atLeast"/>
          <w:jc w:val="center"/>
        </w:trPr>
        <w:tc>
          <w:tcPr>
            <w:tcW w:w="750" w:type="dxa"/>
            <w:vMerge w:val="continue"/>
            <w:vAlign w:val="center"/>
          </w:tcPr>
          <w:p>
            <w:pPr>
              <w:spacing w:line="360" w:lineRule="exact"/>
              <w:jc w:val="center"/>
              <w:rPr>
                <w:rFonts w:hint="eastAsia" w:ascii="宋体" w:hAnsi="宋体" w:eastAsia="宋体" w:cs="宋体"/>
                <w:sz w:val="24"/>
                <w:szCs w:val="24"/>
              </w:rPr>
            </w:pPr>
          </w:p>
        </w:tc>
        <w:tc>
          <w:tcPr>
            <w:tcW w:w="887" w:type="dxa"/>
            <w:vMerge w:val="continue"/>
            <w:tcBorders>
              <w:right w:val="single" w:color="auto" w:sz="4" w:space="0"/>
            </w:tcBorders>
            <w:vAlign w:val="center"/>
          </w:tcPr>
          <w:p>
            <w:pPr>
              <w:keepNext/>
              <w:numPr>
                <w:ilvl w:val="3"/>
                <w:numId w:val="7"/>
              </w:numPr>
              <w:autoSpaceDE w:val="0"/>
              <w:autoSpaceDN w:val="0"/>
              <w:adjustRightInd w:val="0"/>
              <w:spacing w:line="360" w:lineRule="exact"/>
              <w:ind w:right="206" w:rightChars="98"/>
              <w:jc w:val="center"/>
              <w:outlineLvl w:val="0"/>
              <w:rPr>
                <w:rFonts w:hint="eastAsia" w:ascii="宋体" w:hAnsi="宋体" w:eastAsia="宋体" w:cs="宋体"/>
                <w:kern w:val="0"/>
                <w:sz w:val="24"/>
                <w:szCs w:val="24"/>
              </w:rPr>
            </w:pPr>
          </w:p>
        </w:tc>
        <w:tc>
          <w:tcPr>
            <w:tcW w:w="863" w:type="dxa"/>
            <w:vMerge w:val="continue"/>
            <w:tcBorders>
              <w:left w:val="single" w:color="auto" w:sz="4" w:space="0"/>
            </w:tcBorders>
            <w:vAlign w:val="center"/>
          </w:tcPr>
          <w:p>
            <w:pPr>
              <w:keepNext/>
              <w:numPr>
                <w:ilvl w:val="3"/>
                <w:numId w:val="7"/>
              </w:numPr>
              <w:autoSpaceDE w:val="0"/>
              <w:autoSpaceDN w:val="0"/>
              <w:adjustRightInd w:val="0"/>
              <w:spacing w:line="360" w:lineRule="exact"/>
              <w:ind w:right="206" w:rightChars="98"/>
              <w:jc w:val="center"/>
              <w:outlineLvl w:val="0"/>
              <w:rPr>
                <w:rFonts w:hint="eastAsia" w:ascii="宋体" w:hAnsi="宋体" w:eastAsia="宋体" w:cs="宋体"/>
                <w:kern w:val="0"/>
                <w:sz w:val="24"/>
              </w:rPr>
            </w:pPr>
          </w:p>
        </w:tc>
        <w:tc>
          <w:tcPr>
            <w:tcW w:w="687" w:type="dxa"/>
            <w:vMerge w:val="continue"/>
            <w:tcBorders>
              <w:right w:val="single" w:color="auto" w:sz="4" w:space="0"/>
            </w:tcBorders>
            <w:vAlign w:val="center"/>
          </w:tcPr>
          <w:p>
            <w:pPr>
              <w:spacing w:line="360" w:lineRule="exact"/>
              <w:jc w:val="center"/>
              <w:rPr>
                <w:rFonts w:hint="eastAsia" w:ascii="宋体" w:hAnsi="宋体" w:eastAsia="宋体" w:cs="宋体"/>
                <w:sz w:val="24"/>
                <w:szCs w:val="24"/>
              </w:rPr>
            </w:pPr>
          </w:p>
        </w:tc>
        <w:tc>
          <w:tcPr>
            <w:tcW w:w="2675" w:type="dxa"/>
            <w:tcBorders>
              <w:top w:val="single" w:color="auto" w:sz="4" w:space="0"/>
              <w:left w:val="single" w:color="auto" w:sz="4" w:space="0"/>
            </w:tcBorders>
            <w:vAlign w:val="center"/>
          </w:tcPr>
          <w:p>
            <w:pPr>
              <w:spacing w:line="360" w:lineRule="exact"/>
              <w:jc w:val="center"/>
              <w:rPr>
                <w:rFonts w:hint="eastAsia" w:ascii="宋体" w:hAnsi="宋体" w:eastAsia="宋体" w:cs="宋体"/>
                <w:sz w:val="24"/>
                <w:szCs w:val="24"/>
              </w:rPr>
            </w:pPr>
            <w:r>
              <w:rPr>
                <w:rFonts w:hint="eastAsia" w:ascii="宋体" w:hAnsi="宋体" w:eastAsia="宋体" w:cs="宋体"/>
                <w:kern w:val="0"/>
                <w:sz w:val="24"/>
                <w:szCs w:val="24"/>
              </w:rPr>
              <w:t>直径ф10mm～ф20mm</w:t>
            </w:r>
          </w:p>
        </w:tc>
        <w:tc>
          <w:tcPr>
            <w:tcW w:w="2175" w:type="dxa"/>
            <w:tcBorders>
              <w:top w:val="single" w:color="auto" w:sz="4" w:space="0"/>
            </w:tcBorders>
            <w:vAlign w:val="center"/>
          </w:tcPr>
          <w:p>
            <w:pPr>
              <w:autoSpaceDE w:val="0"/>
              <w:autoSpaceDN w:val="0"/>
              <w:adjustRightInd w:val="0"/>
              <w:spacing w:line="360" w:lineRule="exact"/>
              <w:jc w:val="left"/>
              <w:rPr>
                <w:rFonts w:hint="eastAsia" w:ascii="宋体" w:hAnsi="宋体" w:eastAsia="宋体" w:cs="宋体"/>
                <w:sz w:val="24"/>
                <w:szCs w:val="24"/>
              </w:rPr>
            </w:pPr>
            <w:r>
              <w:rPr>
                <w:rFonts w:hint="eastAsia" w:ascii="宋体" w:hAnsi="宋体" w:eastAsia="宋体" w:cs="宋体"/>
                <w:kern w:val="0"/>
                <w:sz w:val="24"/>
                <w:szCs w:val="24"/>
              </w:rPr>
              <w:t>每种规格按总数的2％提供备件</w:t>
            </w:r>
          </w:p>
        </w:tc>
        <w:tc>
          <w:tcPr>
            <w:tcW w:w="1672" w:type="dxa"/>
            <w:vAlign w:val="center"/>
          </w:tcPr>
          <w:p>
            <w:pPr>
              <w:spacing w:line="360" w:lineRule="exact"/>
              <w:jc w:val="center"/>
              <w:rPr>
                <w:rFonts w:hint="eastAsia" w:ascii="宋体" w:hAnsi="宋体" w:eastAsia="宋体" w:cs="宋体"/>
                <w:sz w:val="24"/>
                <w:szCs w:val="24"/>
              </w:rPr>
            </w:pPr>
            <w:r>
              <w:rPr>
                <w:rFonts w:hint="eastAsia" w:ascii="宋体" w:hAnsi="宋体" w:eastAsia="宋体" w:cs="宋体"/>
                <w:kern w:val="0"/>
                <w:sz w:val="24"/>
                <w:szCs w:val="24"/>
              </w:rPr>
              <w:t>不少于3件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0" w:type="dxa"/>
            <w:vMerge w:val="continue"/>
            <w:vAlign w:val="center"/>
          </w:tcPr>
          <w:p>
            <w:pPr>
              <w:spacing w:line="360" w:lineRule="exact"/>
              <w:jc w:val="center"/>
              <w:rPr>
                <w:rFonts w:hint="eastAsia" w:ascii="宋体" w:hAnsi="宋体" w:eastAsia="宋体" w:cs="宋体"/>
                <w:sz w:val="24"/>
                <w:szCs w:val="24"/>
              </w:rPr>
            </w:pPr>
          </w:p>
        </w:tc>
        <w:tc>
          <w:tcPr>
            <w:tcW w:w="887" w:type="dxa"/>
            <w:vMerge w:val="continue"/>
            <w:tcBorders>
              <w:right w:val="single" w:color="auto" w:sz="4" w:space="0"/>
            </w:tcBorders>
            <w:vAlign w:val="center"/>
          </w:tcPr>
          <w:p>
            <w:pPr>
              <w:spacing w:line="360" w:lineRule="exact"/>
              <w:jc w:val="center"/>
              <w:rPr>
                <w:rFonts w:hint="eastAsia" w:ascii="宋体" w:hAnsi="宋体" w:eastAsia="宋体" w:cs="宋体"/>
                <w:sz w:val="24"/>
                <w:szCs w:val="24"/>
              </w:rPr>
            </w:pPr>
          </w:p>
        </w:tc>
        <w:tc>
          <w:tcPr>
            <w:tcW w:w="863" w:type="dxa"/>
            <w:vMerge w:val="continue"/>
            <w:tcBorders>
              <w:left w:val="single" w:color="auto" w:sz="4" w:space="0"/>
            </w:tcBorders>
            <w:vAlign w:val="center"/>
          </w:tcPr>
          <w:p>
            <w:pPr>
              <w:spacing w:line="360" w:lineRule="exact"/>
              <w:jc w:val="center"/>
              <w:rPr>
                <w:rFonts w:hint="eastAsia" w:ascii="宋体" w:hAnsi="宋体" w:eastAsia="宋体" w:cs="宋体"/>
                <w:sz w:val="24"/>
              </w:rPr>
            </w:pPr>
          </w:p>
        </w:tc>
        <w:tc>
          <w:tcPr>
            <w:tcW w:w="3362" w:type="dxa"/>
            <w:gridSpan w:val="2"/>
            <w:vAlign w:val="center"/>
          </w:tcPr>
          <w:p>
            <w:pPr>
              <w:spacing w:line="360" w:lineRule="exact"/>
              <w:jc w:val="center"/>
              <w:rPr>
                <w:rFonts w:hint="eastAsia" w:ascii="宋体" w:hAnsi="宋体" w:eastAsia="宋体" w:cs="宋体"/>
                <w:sz w:val="24"/>
                <w:szCs w:val="24"/>
              </w:rPr>
            </w:pPr>
            <w:r>
              <w:rPr>
                <w:rFonts w:hint="eastAsia" w:ascii="宋体" w:hAnsi="宋体" w:eastAsia="宋体" w:cs="宋体"/>
                <w:kern w:val="0"/>
                <w:sz w:val="24"/>
                <w:szCs w:val="24"/>
              </w:rPr>
              <w:t>非标准的冲孔凹模镶块</w:t>
            </w:r>
          </w:p>
        </w:tc>
        <w:tc>
          <w:tcPr>
            <w:tcW w:w="2175" w:type="dxa"/>
            <w:vAlign w:val="center"/>
          </w:tcPr>
          <w:p>
            <w:pPr>
              <w:autoSpaceDE w:val="0"/>
              <w:autoSpaceDN w:val="0"/>
              <w:adjustRightInd w:val="0"/>
              <w:spacing w:line="360" w:lineRule="exact"/>
              <w:jc w:val="left"/>
              <w:rPr>
                <w:rFonts w:hint="eastAsia" w:ascii="宋体" w:hAnsi="宋体" w:eastAsia="宋体" w:cs="宋体"/>
                <w:sz w:val="24"/>
                <w:szCs w:val="24"/>
              </w:rPr>
            </w:pPr>
            <w:r>
              <w:rPr>
                <w:rFonts w:hint="eastAsia" w:ascii="宋体" w:hAnsi="宋体" w:eastAsia="宋体" w:cs="宋体"/>
                <w:kern w:val="0"/>
                <w:sz w:val="24"/>
                <w:szCs w:val="24"/>
              </w:rPr>
              <w:t>按总数的100％提供备件</w:t>
            </w:r>
          </w:p>
        </w:tc>
        <w:tc>
          <w:tcPr>
            <w:tcW w:w="1672" w:type="dxa"/>
            <w:vAlign w:val="center"/>
          </w:tcPr>
          <w:p>
            <w:pPr>
              <w:spacing w:line="360" w:lineRule="exact"/>
              <w:jc w:val="cente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2" w:hRule="atLeast"/>
          <w:jc w:val="center"/>
        </w:trPr>
        <w:tc>
          <w:tcPr>
            <w:tcW w:w="750" w:type="dxa"/>
            <w:vMerge w:val="continue"/>
            <w:vAlign w:val="center"/>
          </w:tcPr>
          <w:p>
            <w:pPr>
              <w:spacing w:line="360" w:lineRule="exact"/>
              <w:jc w:val="center"/>
              <w:rPr>
                <w:rFonts w:hint="eastAsia" w:ascii="宋体" w:hAnsi="宋体" w:eastAsia="宋体" w:cs="宋体"/>
                <w:sz w:val="24"/>
                <w:szCs w:val="24"/>
              </w:rPr>
            </w:pPr>
          </w:p>
        </w:tc>
        <w:tc>
          <w:tcPr>
            <w:tcW w:w="887" w:type="dxa"/>
            <w:vMerge w:val="continue"/>
            <w:tcBorders>
              <w:right w:val="single" w:color="auto" w:sz="4" w:space="0"/>
            </w:tcBorders>
            <w:vAlign w:val="center"/>
          </w:tcPr>
          <w:p>
            <w:pPr>
              <w:spacing w:line="360" w:lineRule="exact"/>
              <w:jc w:val="center"/>
              <w:rPr>
                <w:rFonts w:hint="eastAsia" w:ascii="宋体" w:hAnsi="宋体" w:eastAsia="宋体" w:cs="宋体"/>
                <w:sz w:val="24"/>
                <w:szCs w:val="24"/>
              </w:rPr>
            </w:pPr>
          </w:p>
        </w:tc>
        <w:tc>
          <w:tcPr>
            <w:tcW w:w="863" w:type="dxa"/>
            <w:vMerge w:val="restart"/>
            <w:tcBorders>
              <w:left w:val="single" w:color="auto" w:sz="4" w:space="0"/>
            </w:tcBorders>
            <w:vAlign w:val="center"/>
          </w:tcPr>
          <w:p>
            <w:pPr>
              <w:spacing w:line="360" w:lineRule="exact"/>
              <w:jc w:val="center"/>
              <w:rPr>
                <w:rFonts w:hint="eastAsia" w:ascii="宋体" w:hAnsi="宋体" w:eastAsia="宋体" w:cs="宋体"/>
                <w:sz w:val="24"/>
              </w:rPr>
            </w:pPr>
            <w:r>
              <w:rPr>
                <w:rFonts w:hint="eastAsia" w:ascii="宋体" w:hAnsi="宋体" w:eastAsia="宋体" w:cs="宋体"/>
                <w:sz w:val="24"/>
              </w:rPr>
              <w:t>异形孔</w:t>
            </w:r>
          </w:p>
        </w:tc>
        <w:tc>
          <w:tcPr>
            <w:tcW w:w="687" w:type="dxa"/>
            <w:vMerge w:val="restart"/>
            <w:tcBorders>
              <w:right w:val="single" w:color="auto" w:sz="4" w:space="0"/>
            </w:tcBorders>
            <w:vAlign w:val="center"/>
          </w:tcPr>
          <w:p>
            <w:pPr>
              <w:autoSpaceDE w:val="0"/>
              <w:autoSpaceDN w:val="0"/>
              <w:adjustRightInd w:val="0"/>
              <w:spacing w:line="3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标准件</w:t>
            </w:r>
          </w:p>
        </w:tc>
        <w:tc>
          <w:tcPr>
            <w:tcW w:w="2675" w:type="dxa"/>
            <w:tcBorders>
              <w:left w:val="single" w:color="auto" w:sz="4" w:space="0"/>
              <w:bottom w:val="single" w:color="auto" w:sz="4" w:space="0"/>
            </w:tcBorders>
            <w:vAlign w:val="center"/>
          </w:tcPr>
          <w:p>
            <w:pPr>
              <w:autoSpaceDE w:val="0"/>
              <w:autoSpaceDN w:val="0"/>
              <w:adjustRightInd w:val="0"/>
              <w:spacing w:line="360" w:lineRule="exact"/>
              <w:jc w:val="center"/>
              <w:rPr>
                <w:rFonts w:hint="eastAsia" w:ascii="宋体" w:hAnsi="宋体" w:eastAsia="宋体" w:cs="宋体"/>
                <w:kern w:val="0"/>
                <w:sz w:val="24"/>
              </w:rPr>
            </w:pPr>
            <w:r>
              <w:rPr>
                <w:rFonts w:hint="eastAsia" w:ascii="宋体" w:hAnsi="宋体" w:eastAsia="宋体" w:cs="宋体"/>
                <w:kern w:val="0"/>
                <w:sz w:val="24"/>
                <w:szCs w:val="24"/>
              </w:rPr>
              <w:t>长边尺寸小于12mm</w:t>
            </w:r>
          </w:p>
        </w:tc>
        <w:tc>
          <w:tcPr>
            <w:tcW w:w="2175" w:type="dxa"/>
            <w:tcBorders>
              <w:bottom w:val="single" w:color="auto" w:sz="4" w:space="0"/>
            </w:tcBorders>
            <w:vAlign w:val="center"/>
          </w:tcPr>
          <w:p>
            <w:pPr>
              <w:spacing w:line="360" w:lineRule="exact"/>
              <w:jc w:val="left"/>
              <w:rPr>
                <w:rFonts w:hint="eastAsia" w:ascii="宋体" w:hAnsi="宋体" w:eastAsia="宋体" w:cs="宋体"/>
                <w:sz w:val="24"/>
                <w:szCs w:val="24"/>
              </w:rPr>
            </w:pPr>
            <w:r>
              <w:rPr>
                <w:rFonts w:hint="eastAsia" w:ascii="宋体" w:hAnsi="宋体" w:eastAsia="宋体" w:cs="宋体"/>
                <w:kern w:val="0"/>
                <w:sz w:val="24"/>
                <w:szCs w:val="24"/>
              </w:rPr>
              <w:t>每种规格按总数的3％提供备件</w:t>
            </w:r>
          </w:p>
        </w:tc>
        <w:tc>
          <w:tcPr>
            <w:tcW w:w="1672" w:type="dxa"/>
            <w:vAlign w:val="center"/>
          </w:tcPr>
          <w:p>
            <w:pPr>
              <w:spacing w:line="360" w:lineRule="exact"/>
              <w:jc w:val="center"/>
              <w:rPr>
                <w:rFonts w:hint="eastAsia" w:ascii="宋体" w:hAnsi="宋体" w:eastAsia="宋体" w:cs="宋体"/>
                <w:sz w:val="24"/>
                <w:szCs w:val="24"/>
              </w:rPr>
            </w:pPr>
            <w:r>
              <w:rPr>
                <w:rFonts w:hint="eastAsia" w:ascii="宋体" w:hAnsi="宋体" w:eastAsia="宋体" w:cs="宋体"/>
                <w:kern w:val="0"/>
                <w:sz w:val="24"/>
                <w:szCs w:val="24"/>
              </w:rPr>
              <w:t>不少于5件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7" w:hRule="atLeast"/>
          <w:jc w:val="center"/>
        </w:trPr>
        <w:tc>
          <w:tcPr>
            <w:tcW w:w="750" w:type="dxa"/>
            <w:vMerge w:val="continue"/>
            <w:vAlign w:val="center"/>
          </w:tcPr>
          <w:p>
            <w:pPr>
              <w:spacing w:line="360" w:lineRule="exact"/>
              <w:jc w:val="center"/>
              <w:rPr>
                <w:rFonts w:hint="eastAsia" w:ascii="宋体" w:hAnsi="宋体" w:eastAsia="宋体" w:cs="宋体"/>
                <w:sz w:val="24"/>
                <w:szCs w:val="24"/>
              </w:rPr>
            </w:pPr>
          </w:p>
        </w:tc>
        <w:tc>
          <w:tcPr>
            <w:tcW w:w="887" w:type="dxa"/>
            <w:vMerge w:val="continue"/>
            <w:tcBorders>
              <w:right w:val="single" w:color="auto" w:sz="4" w:space="0"/>
            </w:tcBorders>
            <w:vAlign w:val="center"/>
          </w:tcPr>
          <w:p>
            <w:pPr>
              <w:spacing w:line="360" w:lineRule="exact"/>
              <w:jc w:val="center"/>
              <w:rPr>
                <w:rFonts w:hint="eastAsia" w:ascii="宋体" w:hAnsi="宋体" w:eastAsia="宋体" w:cs="宋体"/>
                <w:sz w:val="24"/>
                <w:szCs w:val="24"/>
              </w:rPr>
            </w:pPr>
          </w:p>
        </w:tc>
        <w:tc>
          <w:tcPr>
            <w:tcW w:w="863" w:type="dxa"/>
            <w:vMerge w:val="continue"/>
            <w:tcBorders>
              <w:left w:val="single" w:color="auto" w:sz="4" w:space="0"/>
            </w:tcBorders>
            <w:vAlign w:val="center"/>
          </w:tcPr>
          <w:p>
            <w:pPr>
              <w:spacing w:line="360" w:lineRule="exact"/>
              <w:jc w:val="center"/>
              <w:rPr>
                <w:rFonts w:hint="eastAsia" w:ascii="宋体" w:hAnsi="宋体" w:eastAsia="宋体" w:cs="宋体"/>
                <w:sz w:val="24"/>
              </w:rPr>
            </w:pPr>
          </w:p>
        </w:tc>
        <w:tc>
          <w:tcPr>
            <w:tcW w:w="687" w:type="dxa"/>
            <w:vMerge w:val="continue"/>
            <w:tcBorders>
              <w:right w:val="single" w:color="auto" w:sz="4" w:space="0"/>
            </w:tcBorders>
            <w:vAlign w:val="center"/>
          </w:tcPr>
          <w:p>
            <w:pPr>
              <w:spacing w:line="360" w:lineRule="exact"/>
              <w:jc w:val="center"/>
              <w:rPr>
                <w:rFonts w:hint="eastAsia" w:ascii="宋体" w:hAnsi="宋体" w:eastAsia="宋体" w:cs="宋体"/>
                <w:sz w:val="24"/>
                <w:szCs w:val="24"/>
              </w:rPr>
            </w:pPr>
          </w:p>
        </w:tc>
        <w:tc>
          <w:tcPr>
            <w:tcW w:w="2675" w:type="dxa"/>
            <w:tcBorders>
              <w:top w:val="single" w:color="auto" w:sz="4" w:space="0"/>
              <w:left w:val="single" w:color="auto" w:sz="4" w:space="0"/>
            </w:tcBorders>
            <w:vAlign w:val="center"/>
          </w:tcPr>
          <w:p>
            <w:pPr>
              <w:spacing w:line="360" w:lineRule="exact"/>
              <w:jc w:val="center"/>
              <w:rPr>
                <w:rFonts w:hint="eastAsia" w:ascii="宋体" w:hAnsi="宋体" w:eastAsia="宋体" w:cs="宋体"/>
                <w:sz w:val="24"/>
                <w:szCs w:val="24"/>
              </w:rPr>
            </w:pPr>
            <w:r>
              <w:rPr>
                <w:rFonts w:hint="eastAsia" w:ascii="宋体" w:hAnsi="宋体" w:eastAsia="宋体" w:cs="宋体"/>
                <w:kern w:val="0"/>
                <w:sz w:val="24"/>
                <w:szCs w:val="24"/>
              </w:rPr>
              <w:t>长边尺寸12～24mm</w:t>
            </w:r>
          </w:p>
        </w:tc>
        <w:tc>
          <w:tcPr>
            <w:tcW w:w="2175" w:type="dxa"/>
            <w:tcBorders>
              <w:top w:val="single" w:color="auto" w:sz="4" w:space="0"/>
            </w:tcBorders>
            <w:vAlign w:val="center"/>
          </w:tcPr>
          <w:p>
            <w:pPr>
              <w:spacing w:line="360" w:lineRule="exact"/>
              <w:jc w:val="left"/>
              <w:rPr>
                <w:rFonts w:hint="eastAsia" w:ascii="宋体" w:hAnsi="宋体" w:eastAsia="宋体" w:cs="宋体"/>
                <w:sz w:val="24"/>
                <w:szCs w:val="24"/>
              </w:rPr>
            </w:pPr>
            <w:r>
              <w:rPr>
                <w:rFonts w:hint="eastAsia" w:ascii="宋体" w:hAnsi="宋体" w:eastAsia="宋体" w:cs="宋体"/>
                <w:kern w:val="0"/>
                <w:sz w:val="24"/>
                <w:szCs w:val="24"/>
              </w:rPr>
              <w:t>每种规格按总数的2％提供备件</w:t>
            </w:r>
          </w:p>
        </w:tc>
        <w:tc>
          <w:tcPr>
            <w:tcW w:w="1672" w:type="dxa"/>
            <w:vAlign w:val="center"/>
          </w:tcPr>
          <w:p>
            <w:pPr>
              <w:spacing w:line="360" w:lineRule="exact"/>
              <w:jc w:val="center"/>
              <w:rPr>
                <w:rFonts w:hint="eastAsia" w:ascii="宋体" w:hAnsi="宋体" w:eastAsia="宋体" w:cs="宋体"/>
                <w:sz w:val="24"/>
                <w:szCs w:val="24"/>
              </w:rPr>
            </w:pPr>
            <w:r>
              <w:rPr>
                <w:rFonts w:hint="eastAsia" w:ascii="宋体" w:hAnsi="宋体" w:eastAsia="宋体" w:cs="宋体"/>
                <w:kern w:val="0"/>
                <w:sz w:val="24"/>
                <w:szCs w:val="24"/>
              </w:rPr>
              <w:t>不少于3件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0" w:type="dxa"/>
            <w:vMerge w:val="continue"/>
            <w:vAlign w:val="center"/>
          </w:tcPr>
          <w:p>
            <w:pPr>
              <w:spacing w:line="360" w:lineRule="exact"/>
              <w:jc w:val="center"/>
              <w:rPr>
                <w:rFonts w:hint="eastAsia" w:ascii="宋体" w:hAnsi="宋体" w:eastAsia="宋体" w:cs="宋体"/>
                <w:sz w:val="24"/>
                <w:szCs w:val="24"/>
              </w:rPr>
            </w:pPr>
          </w:p>
        </w:tc>
        <w:tc>
          <w:tcPr>
            <w:tcW w:w="887" w:type="dxa"/>
            <w:vMerge w:val="continue"/>
            <w:tcBorders>
              <w:right w:val="single" w:color="auto" w:sz="4" w:space="0"/>
            </w:tcBorders>
            <w:vAlign w:val="center"/>
          </w:tcPr>
          <w:p>
            <w:pPr>
              <w:spacing w:line="360" w:lineRule="exact"/>
              <w:jc w:val="center"/>
              <w:rPr>
                <w:rFonts w:hint="eastAsia" w:ascii="宋体" w:hAnsi="宋体" w:eastAsia="宋体" w:cs="宋体"/>
                <w:sz w:val="24"/>
                <w:szCs w:val="24"/>
              </w:rPr>
            </w:pPr>
          </w:p>
        </w:tc>
        <w:tc>
          <w:tcPr>
            <w:tcW w:w="863" w:type="dxa"/>
            <w:vMerge w:val="continue"/>
            <w:tcBorders>
              <w:left w:val="single" w:color="auto" w:sz="4" w:space="0"/>
            </w:tcBorders>
            <w:vAlign w:val="center"/>
          </w:tcPr>
          <w:p>
            <w:pPr>
              <w:spacing w:line="360" w:lineRule="exact"/>
              <w:jc w:val="center"/>
              <w:rPr>
                <w:rFonts w:hint="eastAsia" w:ascii="宋体" w:hAnsi="宋体" w:eastAsia="宋体" w:cs="宋体"/>
                <w:sz w:val="24"/>
                <w:szCs w:val="24"/>
              </w:rPr>
            </w:pPr>
          </w:p>
        </w:tc>
        <w:tc>
          <w:tcPr>
            <w:tcW w:w="3362" w:type="dxa"/>
            <w:gridSpan w:val="2"/>
            <w:vAlign w:val="center"/>
          </w:tcPr>
          <w:p>
            <w:pPr>
              <w:spacing w:line="360" w:lineRule="exact"/>
              <w:jc w:val="center"/>
              <w:rPr>
                <w:rFonts w:hint="eastAsia" w:ascii="宋体" w:hAnsi="宋体" w:eastAsia="宋体" w:cs="宋体"/>
                <w:sz w:val="24"/>
                <w:szCs w:val="24"/>
              </w:rPr>
            </w:pPr>
            <w:r>
              <w:rPr>
                <w:rFonts w:hint="eastAsia" w:ascii="宋体" w:hAnsi="宋体" w:eastAsia="宋体" w:cs="宋体"/>
                <w:kern w:val="0"/>
                <w:sz w:val="24"/>
                <w:szCs w:val="24"/>
              </w:rPr>
              <w:t>非标准的冲孔凹模镶块</w:t>
            </w:r>
          </w:p>
        </w:tc>
        <w:tc>
          <w:tcPr>
            <w:tcW w:w="2175" w:type="dxa"/>
          </w:tcPr>
          <w:p>
            <w:pPr>
              <w:autoSpaceDE w:val="0"/>
              <w:autoSpaceDN w:val="0"/>
              <w:adjustRightInd w:val="0"/>
              <w:spacing w:line="360" w:lineRule="exact"/>
              <w:jc w:val="left"/>
              <w:rPr>
                <w:rFonts w:hint="eastAsia" w:ascii="宋体" w:hAnsi="宋体" w:eastAsia="宋体" w:cs="宋体"/>
                <w:kern w:val="0"/>
                <w:sz w:val="24"/>
              </w:rPr>
            </w:pPr>
            <w:r>
              <w:rPr>
                <w:rFonts w:hint="eastAsia" w:ascii="宋体" w:hAnsi="宋体" w:eastAsia="宋体" w:cs="宋体"/>
                <w:kern w:val="0"/>
                <w:sz w:val="24"/>
                <w:szCs w:val="24"/>
              </w:rPr>
              <w:t>按总数的100％提供备件</w:t>
            </w:r>
          </w:p>
        </w:tc>
        <w:tc>
          <w:tcPr>
            <w:tcW w:w="1672" w:type="dxa"/>
            <w:vAlign w:val="center"/>
          </w:tcPr>
          <w:p>
            <w:pPr>
              <w:spacing w:line="360" w:lineRule="exact"/>
              <w:jc w:val="cente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709" w:type="dxa"/>
            <w:gridSpan w:val="7"/>
            <w:vAlign w:val="center"/>
          </w:tcPr>
          <w:p>
            <w:pPr>
              <w:spacing w:line="360" w:lineRule="exact"/>
              <w:jc w:val="left"/>
              <w:rPr>
                <w:rFonts w:hint="eastAsia" w:ascii="宋体" w:hAnsi="宋体" w:eastAsia="宋体" w:cs="宋体"/>
                <w:sz w:val="24"/>
              </w:rPr>
            </w:pPr>
            <w:r>
              <w:rPr>
                <w:rFonts w:hint="eastAsia" w:ascii="宋体" w:hAnsi="宋体" w:eastAsia="宋体" w:cs="宋体"/>
                <w:sz w:val="24"/>
              </w:rPr>
              <w:t>备注：</w:t>
            </w:r>
          </w:p>
          <w:p>
            <w:pPr>
              <w:spacing w:line="360" w:lineRule="exact"/>
              <w:jc w:val="left"/>
              <w:rPr>
                <w:rFonts w:hint="eastAsia" w:ascii="宋体" w:hAnsi="宋体" w:eastAsia="宋体" w:cs="宋体"/>
                <w:sz w:val="24"/>
              </w:rPr>
            </w:pPr>
            <w:r>
              <w:rPr>
                <w:rFonts w:hint="eastAsia" w:ascii="宋体" w:hAnsi="宋体" w:eastAsia="宋体" w:cs="宋体"/>
                <w:sz w:val="24"/>
              </w:rPr>
              <w:t xml:space="preserve">  1）备件上应有标准、规格、型号标识，并按规格分类包装，包装袋外侧应有备件明细。</w:t>
            </w:r>
          </w:p>
          <w:p>
            <w:pPr>
              <w:spacing w:line="360" w:lineRule="exact"/>
              <w:jc w:val="left"/>
              <w:rPr>
                <w:rFonts w:hint="eastAsia" w:ascii="宋体" w:hAnsi="宋体" w:eastAsia="宋体" w:cs="宋体"/>
                <w:sz w:val="24"/>
                <w:szCs w:val="24"/>
              </w:rPr>
            </w:pPr>
            <w:r>
              <w:rPr>
                <w:rFonts w:hint="eastAsia" w:ascii="宋体" w:hAnsi="宋体" w:eastAsia="宋体" w:cs="宋体"/>
                <w:sz w:val="24"/>
              </w:rPr>
              <w:t xml:space="preserve">  2）易损备件随模具一起交货。</w:t>
            </w:r>
          </w:p>
        </w:tc>
      </w:tr>
    </w:tbl>
    <w:p>
      <w:pPr>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sz w:val="24"/>
        </w:rPr>
      </w:pPr>
      <w:r>
        <w:rPr>
          <w:rFonts w:hint="eastAsia" w:ascii="宋体" w:hAnsi="宋体" w:eastAsia="宋体" w:cs="宋体"/>
          <w:b/>
          <w:sz w:val="24"/>
        </w:rPr>
        <w:t>7、关于中标方项目管理的要求</w:t>
      </w:r>
    </w:p>
    <w:p>
      <w:pPr>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kern w:val="0"/>
          <w:sz w:val="24"/>
        </w:rPr>
      </w:pPr>
      <w:bookmarkStart w:id="99" w:name="_Toc514853264"/>
      <w:r>
        <w:rPr>
          <w:rFonts w:hint="eastAsia" w:ascii="宋体" w:hAnsi="宋体" w:eastAsia="宋体" w:cs="宋体"/>
          <w:b/>
          <w:kern w:val="0"/>
          <w:sz w:val="24"/>
        </w:rPr>
        <w:t>7.1 项目管理组织</w:t>
      </w:r>
      <w:bookmarkEnd w:id="99"/>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0"/>
          <w:sz w:val="24"/>
        </w:rPr>
      </w:pPr>
      <w:bookmarkStart w:id="100" w:name="OLE_LINK1"/>
      <w:r>
        <w:rPr>
          <w:rFonts w:hint="eastAsia" w:ascii="宋体" w:hAnsi="宋体" w:eastAsia="宋体" w:cs="宋体"/>
          <w:kern w:val="0"/>
          <w:sz w:val="24"/>
        </w:rPr>
        <w:t>7.1.1 对投标方参与</w:t>
      </w:r>
      <w:bookmarkEnd w:id="100"/>
      <w:r>
        <w:rPr>
          <w:rFonts w:hint="eastAsia" w:ascii="宋体" w:hAnsi="宋体" w:eastAsia="宋体" w:cs="宋体"/>
          <w:kern w:val="0"/>
          <w:sz w:val="24"/>
        </w:rPr>
        <w:t>本项目的人员的要求，包括但不限于项目经理，项目管理团队，设计人员，加工管理人员，调试人员，质保人员。必须提供参加本项目大型覆盖件拉延模最后研磨工序的资深模具钳工的相关信息（至少两名），包括但不限于工龄、业绩等证明材料。</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0"/>
          <w:sz w:val="24"/>
        </w:rPr>
      </w:pPr>
      <w:r>
        <w:rPr>
          <w:rFonts w:hint="eastAsia" w:ascii="宋体" w:hAnsi="宋体" w:eastAsia="宋体" w:cs="宋体"/>
          <w:kern w:val="0"/>
          <w:sz w:val="24"/>
        </w:rPr>
        <w:t>7.1.2 项目期间，未经招标方书面许可，投标方不得中途更换项目经理。</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0"/>
          <w:sz w:val="24"/>
        </w:rPr>
      </w:pPr>
      <w:r>
        <w:rPr>
          <w:rFonts w:hint="eastAsia" w:ascii="宋体" w:hAnsi="宋体" w:eastAsia="宋体" w:cs="宋体"/>
          <w:kern w:val="0"/>
          <w:sz w:val="24"/>
        </w:rPr>
        <w:t>7.1.3 项目期间，投标方的项目经理、品管经理、技术经理等主要管理人员在项目过程中不得变动，模具制造关键工序的模具钳工不得变动，项目组80%的人员在项目过程中不得变动。招标方有权随时要求投标方更换招标方认为不适合的投标方项目参与人员。在招标方提供出充分理由的情况下，投标方应予以无条件配合。</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0"/>
          <w:sz w:val="24"/>
        </w:rPr>
      </w:pPr>
      <w:r>
        <w:rPr>
          <w:rFonts w:hint="eastAsia" w:ascii="宋体" w:hAnsi="宋体" w:eastAsia="宋体" w:cs="宋体"/>
          <w:kern w:val="0"/>
          <w:sz w:val="24"/>
        </w:rPr>
        <w:t>7.1.4 投标方必须提供管理组织结构图，要求包括参与人员的名字、年龄、学历、工作经历以及项目角色等信息。</w:t>
      </w:r>
    </w:p>
    <w:p>
      <w:pPr>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kern w:val="0"/>
          <w:sz w:val="24"/>
        </w:rPr>
      </w:pPr>
      <w:bookmarkStart w:id="101" w:name="_Toc514853265"/>
      <w:r>
        <w:rPr>
          <w:rFonts w:hint="eastAsia" w:ascii="宋体" w:hAnsi="宋体" w:eastAsia="宋体" w:cs="宋体"/>
          <w:b/>
          <w:kern w:val="0"/>
          <w:sz w:val="24"/>
        </w:rPr>
        <w:t>7.2 项目沟通的要求</w:t>
      </w:r>
      <w:bookmarkEnd w:id="101"/>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0"/>
          <w:sz w:val="24"/>
        </w:rPr>
      </w:pPr>
      <w:r>
        <w:rPr>
          <w:rFonts w:hint="eastAsia" w:ascii="宋体" w:hAnsi="宋体" w:eastAsia="宋体" w:cs="宋体"/>
          <w:kern w:val="0"/>
          <w:sz w:val="24"/>
        </w:rPr>
        <w:t>7.2.1投标方在投标文件中，根据招标方项目进度要求制订详细的设计、制造计划（以数模冻结为起点）。</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0"/>
          <w:sz w:val="24"/>
        </w:rPr>
      </w:pPr>
      <w:r>
        <w:rPr>
          <w:rFonts w:hint="eastAsia" w:ascii="宋体" w:hAnsi="宋体" w:eastAsia="宋体" w:cs="宋体"/>
          <w:kern w:val="0"/>
          <w:sz w:val="24"/>
        </w:rPr>
        <w:t>7.2.2甲乙双方每周固定约定一天，由投标方向招标方反馈项目的进度情况，包括项目总体汇报、项目进度汇报以及图片。如果发生项目拖期的情况，要求投标方同时反馈挽回计划以及挽回的情况。</w:t>
      </w:r>
    </w:p>
    <w:p>
      <w:pPr>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sz w:val="24"/>
        </w:rPr>
      </w:pPr>
      <w:bookmarkStart w:id="102" w:name="_Toc514853267"/>
      <w:bookmarkStart w:id="103" w:name="_Toc3283"/>
      <w:r>
        <w:rPr>
          <w:rFonts w:hint="eastAsia" w:ascii="宋体" w:hAnsi="宋体" w:eastAsia="宋体" w:cs="宋体"/>
          <w:b/>
          <w:sz w:val="24"/>
        </w:rPr>
        <w:t>8.培训、保修和终验收后的技术服务</w:t>
      </w:r>
      <w:bookmarkEnd w:id="102"/>
      <w:bookmarkEnd w:id="103"/>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0"/>
          <w:sz w:val="24"/>
        </w:rPr>
      </w:pPr>
      <w:r>
        <w:rPr>
          <w:rFonts w:hint="eastAsia" w:ascii="宋体" w:hAnsi="宋体" w:eastAsia="宋体" w:cs="宋体"/>
          <w:kern w:val="0"/>
          <w:sz w:val="24"/>
        </w:rPr>
        <w:t>8.1 模、检具到招标方后,投标方需派遣人员在招标方现场对招标方人员进行模、检具安装调试、操作、维修及冲压件、板件测量检验方法等技能培训。上述培训应持续至招标方操作及维修人员完全掌握模、检具的使用为止，且费用由投标方承担。</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0"/>
          <w:sz w:val="24"/>
        </w:rPr>
      </w:pPr>
      <w:r>
        <w:rPr>
          <w:rFonts w:hint="eastAsia" w:ascii="宋体" w:hAnsi="宋体" w:eastAsia="宋体" w:cs="宋体"/>
          <w:kern w:val="0"/>
          <w:sz w:val="24"/>
        </w:rPr>
        <w:t>8.2 现场服务内容及范围包括：现场安装、调试的技术准备；指导并参与现场安装、调试和试运行工作；处理安装、调试和试运行工作中出现的各种问题；检验调试、生产产品的精度及与设计的符合性等。</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0"/>
          <w:sz w:val="24"/>
        </w:rPr>
      </w:pPr>
      <w:r>
        <w:rPr>
          <w:rFonts w:hint="eastAsia" w:ascii="宋体" w:hAnsi="宋体" w:eastAsia="宋体" w:cs="宋体"/>
          <w:kern w:val="0"/>
          <w:sz w:val="24"/>
        </w:rPr>
        <w:t>8.3 在正常使用条件下，投标方需保证模具设计寿命。除易损件外，出现导向面磨损影响精度、托料块凹陷等现象的首次维修应在40万冲次以后。如果发生40万次之内所发生的维修由投标方承担。</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0"/>
          <w:sz w:val="24"/>
        </w:rPr>
      </w:pPr>
      <w:r>
        <w:rPr>
          <w:rFonts w:hint="eastAsia" w:ascii="宋体" w:hAnsi="宋体" w:eastAsia="宋体" w:cs="宋体"/>
          <w:kern w:val="0"/>
          <w:sz w:val="24"/>
        </w:rPr>
        <w:t>8.4本项目终验收起一年内为项目质保期，投标方需在质保期内保证模具运行良好，且投标方提供免费维修服务。</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0"/>
          <w:sz w:val="24"/>
        </w:rPr>
      </w:pPr>
      <w:r>
        <w:rPr>
          <w:rFonts w:hint="eastAsia" w:ascii="宋体" w:hAnsi="宋体" w:eastAsia="宋体" w:cs="宋体"/>
          <w:kern w:val="0"/>
          <w:sz w:val="24"/>
        </w:rPr>
        <w:t>8.5在质保期内,正常使用条件下,投标方对模具出现的故障提供免费维修,零部件损坏须及时免费更换，免费维修与更换缺陷部件的期限为投标方收到招标方通知后3天。投标方需自备安装调试及维修用工具。</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0"/>
          <w:sz w:val="24"/>
        </w:rPr>
      </w:pPr>
      <w:r>
        <w:rPr>
          <w:rFonts w:hint="eastAsia" w:ascii="宋体" w:hAnsi="宋体" w:eastAsia="宋体" w:cs="宋体"/>
          <w:kern w:val="0"/>
          <w:sz w:val="24"/>
        </w:rPr>
        <w:t>8.6 质保期内，投标方在收到招标方关于模、检具故障通知后，能以通讯方式解决的故障，2小时之内给予答复；不能以通讯方式解决的故障，投标方维修人员应在24小时内到达招标方现场，并确保对一般问题在此期限内排除故障。需维修与更换缺陷部件的故障，投标方维修人员应在到达货物使用方现场后2个日历日内解决。倘若投标方未能履行上述服务的，招标方有权自行或委托有能力的第三方对货物进行维修，所需的费用由投标方承担。</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0"/>
          <w:sz w:val="24"/>
        </w:rPr>
      </w:pPr>
      <w:r>
        <w:rPr>
          <w:rFonts w:hint="eastAsia" w:ascii="宋体" w:hAnsi="宋体" w:eastAsia="宋体" w:cs="宋体"/>
          <w:kern w:val="0"/>
          <w:sz w:val="24"/>
        </w:rPr>
        <w:t>8.7 质量保证期不含投标方对其交付物的排故时间，即在质量保证期内由投标方原因导致故障，质量保证期顺延，且更换的零件保质期自更换日起开始计算。</w:t>
      </w:r>
    </w:p>
    <w:p>
      <w:pPr>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sz w:val="24"/>
        </w:rPr>
      </w:pPr>
      <w:r>
        <w:rPr>
          <w:rFonts w:hint="eastAsia" w:ascii="宋体" w:hAnsi="宋体" w:eastAsia="宋体" w:cs="宋体"/>
          <w:b/>
          <w:sz w:val="24"/>
        </w:rPr>
        <w:t>9</w:t>
      </w:r>
      <w:bookmarkStart w:id="104" w:name="_Toc30996"/>
      <w:bookmarkStart w:id="105" w:name="_Toc514853268"/>
      <w:r>
        <w:rPr>
          <w:rFonts w:hint="eastAsia" w:ascii="宋体" w:hAnsi="宋体" w:eastAsia="宋体" w:cs="宋体"/>
          <w:b/>
          <w:sz w:val="24"/>
        </w:rPr>
        <w:t>、其它条款</w:t>
      </w:r>
      <w:bookmarkEnd w:id="104"/>
      <w:bookmarkEnd w:id="105"/>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0"/>
          <w:sz w:val="24"/>
        </w:rPr>
      </w:pPr>
      <w:bookmarkStart w:id="106" w:name="_Toc514853269"/>
      <w:r>
        <w:rPr>
          <w:rFonts w:hint="eastAsia" w:ascii="宋体" w:hAnsi="宋体" w:eastAsia="宋体" w:cs="宋体"/>
          <w:kern w:val="0"/>
          <w:sz w:val="24"/>
        </w:rPr>
        <w:t>9.1 关于设变、板料运输、设变费用的说明</w:t>
      </w:r>
      <w:bookmarkEnd w:id="106"/>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0"/>
          <w:sz w:val="24"/>
        </w:rPr>
      </w:pPr>
      <w:r>
        <w:rPr>
          <w:rFonts w:hint="eastAsia" w:ascii="宋体" w:hAnsi="宋体" w:eastAsia="宋体" w:cs="宋体"/>
          <w:kern w:val="0"/>
          <w:sz w:val="24"/>
        </w:rPr>
        <w:t>9.1.1要求投标方报价详细到每一套模具的重量及价格（报价格式详见附件4）。</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0"/>
          <w:sz w:val="24"/>
        </w:rPr>
      </w:pPr>
      <w:r>
        <w:rPr>
          <w:rFonts w:hint="eastAsia" w:ascii="宋体" w:hAnsi="宋体" w:eastAsia="宋体" w:cs="宋体"/>
          <w:kern w:val="0"/>
          <w:sz w:val="24"/>
        </w:rPr>
        <w:t>9.1.2中标通知发出后，若发生模具套数的增加，由投标方提出设变申请，经招标方审核确认后执行，费用由投标方承担。在满足工艺使用要求下，招标方鼓励模具套数减少，若发生模具套数的减少，由投标方提出申请，经招标方审核确认后执行，由招标方直接扣除相应模具投标报价费用。</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0"/>
          <w:sz w:val="24"/>
        </w:rPr>
      </w:pPr>
      <w:r>
        <w:rPr>
          <w:rFonts w:hint="eastAsia" w:ascii="宋体" w:hAnsi="宋体" w:eastAsia="宋体" w:cs="宋体"/>
          <w:kern w:val="0"/>
          <w:sz w:val="24"/>
        </w:rPr>
        <w:t>9.1.3若因招标方零件产品数量减少，而发生的模具数量减少，由招标方直接扣除相应模具投标报价费用。</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0"/>
          <w:sz w:val="24"/>
        </w:rPr>
      </w:pPr>
      <w:r>
        <w:rPr>
          <w:rFonts w:hint="eastAsia" w:ascii="宋体" w:hAnsi="宋体" w:eastAsia="宋体" w:cs="宋体"/>
          <w:kern w:val="0"/>
          <w:sz w:val="24"/>
        </w:rPr>
        <w:t>9.1.4 招标方设变发生在模具投铸之前，发生的设计变更，不计设变费用。</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0"/>
          <w:sz w:val="24"/>
        </w:rPr>
      </w:pPr>
      <w:r>
        <w:rPr>
          <w:rFonts w:hint="eastAsia" w:ascii="宋体" w:hAnsi="宋体" w:eastAsia="宋体" w:cs="宋体"/>
          <w:kern w:val="0"/>
          <w:sz w:val="24"/>
        </w:rPr>
        <w:t>9.1.5 招标方设变发生在投标方模具投铸之后，若对后续制造工作（如加工）没有影响，不计设变费用。若影响后续制造工作而产生费用，或因招标方零件产品数量增加，发生模具数量增加而产生费用，全部费用不超过模具费用的3%(含)，费用由投标方承提，超过3%，双方协商解决；设变费用按加工成本核算，新增模具费用按模具实际出厂重量与中标单吨价格的乘积（中标单吨价格=最终中标总价格/投标报价中模具总重量）。</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0"/>
          <w:sz w:val="24"/>
        </w:rPr>
      </w:pPr>
      <w:r>
        <w:rPr>
          <w:rFonts w:hint="eastAsia" w:ascii="宋体" w:hAnsi="宋体" w:eastAsia="宋体" w:cs="宋体"/>
          <w:kern w:val="0"/>
          <w:sz w:val="24"/>
        </w:rPr>
        <w:t>9.1.6若因投标方提出产品设计变更要求，投标方需向招标方提出书面申请（含工艺分析报告），招标方确认后，方可实施，但不计设变费用。</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0"/>
          <w:sz w:val="24"/>
        </w:rPr>
      </w:pPr>
      <w:r>
        <w:rPr>
          <w:rFonts w:hint="eastAsia" w:ascii="宋体" w:hAnsi="宋体" w:eastAsia="宋体" w:cs="宋体"/>
          <w:kern w:val="0"/>
          <w:sz w:val="24"/>
        </w:rPr>
        <w:t>9.1.7以上设变，若投标方向招标方提出设变费用，必须将设变留底，以备查。</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0"/>
          <w:sz w:val="24"/>
        </w:rPr>
      </w:pPr>
      <w:r>
        <w:rPr>
          <w:rFonts w:hint="eastAsia" w:ascii="宋体" w:hAnsi="宋体" w:eastAsia="宋体" w:cs="宋体"/>
          <w:kern w:val="0"/>
          <w:sz w:val="24"/>
        </w:rPr>
        <w:t>9.2.关于模具重量</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0"/>
          <w:sz w:val="24"/>
        </w:rPr>
      </w:pPr>
      <w:r>
        <w:rPr>
          <w:rFonts w:hint="eastAsia" w:ascii="宋体" w:hAnsi="宋体" w:eastAsia="宋体" w:cs="宋体"/>
          <w:kern w:val="0"/>
          <w:sz w:val="24"/>
        </w:rPr>
        <w:t>模具预验收完成并运抵招标方工厂后，招标方对全部模具进行称重，如每组模具的重量少于模具理论重量的3%(含)，模具的合同价格需要重新核算，按模具实际出厂重量与中标单吨价格的乘积（中标单吨价格=最终中标总价格/投标报价中模具总重量）。</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0"/>
          <w:sz w:val="24"/>
        </w:rPr>
      </w:pPr>
      <w:r>
        <w:rPr>
          <w:rFonts w:hint="eastAsia" w:ascii="宋体" w:hAnsi="宋体" w:eastAsia="宋体" w:cs="宋体"/>
          <w:kern w:val="0"/>
          <w:sz w:val="24"/>
        </w:rPr>
        <w:t>9.</w:t>
      </w:r>
      <w:bookmarkStart w:id="107" w:name="_Toc503952493"/>
      <w:bookmarkStart w:id="108" w:name="_Toc514853247"/>
      <w:r>
        <w:rPr>
          <w:rFonts w:hint="eastAsia" w:ascii="宋体" w:hAnsi="宋体" w:eastAsia="宋体" w:cs="宋体"/>
          <w:kern w:val="0"/>
          <w:sz w:val="24"/>
        </w:rPr>
        <w:t>3调试板料</w:t>
      </w:r>
      <w:bookmarkEnd w:id="107"/>
      <w:bookmarkEnd w:id="108"/>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0"/>
          <w:sz w:val="24"/>
        </w:rPr>
      </w:pPr>
      <w:r>
        <w:rPr>
          <w:rFonts w:hint="eastAsia" w:ascii="宋体" w:hAnsi="宋体" w:eastAsia="宋体" w:cs="宋体"/>
          <w:kern w:val="0"/>
          <w:sz w:val="24"/>
        </w:rPr>
        <w:t>9.3.1关于调试板料的约定：招标方提供每一个产品件的单车用量；投标方按照招标方制定的钢材品牌，自行购买调试板料；调试板料的数量由投标方自行判断，所有的板材的采购价格均包含在投标报价内，调试板料的数量要满足80辆份冲压件、30辆份预验收产品件及在投标方模具调试数量的要求。</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0"/>
          <w:sz w:val="24"/>
        </w:rPr>
      </w:pPr>
      <w:r>
        <w:rPr>
          <w:rFonts w:hint="eastAsia" w:ascii="宋体" w:hAnsi="宋体" w:eastAsia="宋体" w:cs="宋体"/>
          <w:kern w:val="0"/>
          <w:sz w:val="24"/>
        </w:rPr>
        <w:t>9.3.2 板料及样件运输费用包含在总合同费用之内。</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0"/>
          <w:sz w:val="24"/>
        </w:rPr>
      </w:pPr>
      <w:r>
        <w:rPr>
          <w:rFonts w:hint="eastAsia" w:ascii="宋体" w:hAnsi="宋体" w:eastAsia="宋体" w:cs="宋体"/>
          <w:kern w:val="0"/>
          <w:sz w:val="24"/>
        </w:rPr>
        <w:t>9.4材料利用率作为评标的重要依据，并在投标文件中予以说明。</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0"/>
          <w:sz w:val="24"/>
        </w:rPr>
      </w:pPr>
      <w:r>
        <w:rPr>
          <w:rFonts w:hint="eastAsia" w:ascii="宋体" w:hAnsi="宋体" w:eastAsia="宋体" w:cs="宋体"/>
          <w:kern w:val="0"/>
          <w:sz w:val="24"/>
        </w:rPr>
        <w:t>9.5投标方需提供一个招标方指定产品详细CAE分析报告及ECR反馈。鼓励投标方对产品进行工艺性分析，提出改进方案，如有需要，可在招标方指定电脑，使用分析软件进行分析，分析结果可作为投标文件的附件，格式不做统一要求。</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0"/>
          <w:sz w:val="24"/>
        </w:rPr>
      </w:pPr>
      <w:bookmarkStart w:id="109" w:name="_Toc514853270"/>
      <w:r>
        <w:rPr>
          <w:rFonts w:hint="eastAsia" w:ascii="宋体" w:hAnsi="宋体" w:eastAsia="宋体" w:cs="宋体"/>
          <w:kern w:val="0"/>
          <w:sz w:val="24"/>
        </w:rPr>
        <w:t>9.6关于不能准时交付的说明</w:t>
      </w:r>
      <w:bookmarkEnd w:id="109"/>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0"/>
          <w:sz w:val="24"/>
        </w:rPr>
      </w:pPr>
      <w:r>
        <w:rPr>
          <w:rFonts w:hint="eastAsia" w:ascii="宋体" w:hAnsi="宋体" w:eastAsia="宋体" w:cs="宋体"/>
          <w:kern w:val="0"/>
          <w:sz w:val="24"/>
        </w:rPr>
        <w:t>如果因投标方原因模具不能在规定周期内交付,招标方装车所需单件由投标方负责免费生产及运输，且投标方承担相应的商务责任。</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0"/>
          <w:sz w:val="24"/>
        </w:rPr>
      </w:pPr>
      <w:bookmarkStart w:id="110" w:name="_Toc514853271"/>
      <w:r>
        <w:rPr>
          <w:rFonts w:hint="eastAsia" w:ascii="宋体" w:hAnsi="宋体" w:eastAsia="宋体" w:cs="宋体"/>
          <w:kern w:val="0"/>
          <w:sz w:val="24"/>
        </w:rPr>
        <w:t>9.7关于保密的说明</w:t>
      </w:r>
      <w:bookmarkEnd w:id="110"/>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0"/>
          <w:sz w:val="24"/>
        </w:rPr>
      </w:pPr>
      <w:r>
        <w:rPr>
          <w:rFonts w:hint="eastAsia" w:ascii="宋体" w:hAnsi="宋体" w:eastAsia="宋体" w:cs="宋体"/>
          <w:kern w:val="0"/>
          <w:sz w:val="24"/>
        </w:rPr>
        <w:t>投标方对招标方提供的汽车产品数模、数据及相关技术资料负有保密责任，投标方负有保密责任，违者将按保密协议（详见附件5）有关条款执行。</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0"/>
          <w:sz w:val="24"/>
        </w:rPr>
      </w:pPr>
      <w:r>
        <w:rPr>
          <w:rFonts w:hint="eastAsia" w:ascii="宋体" w:hAnsi="宋体" w:eastAsia="宋体" w:cs="宋体"/>
          <w:kern w:val="0"/>
          <w:sz w:val="24"/>
        </w:rPr>
        <w:t>9.8带*条款为否决项。</w:t>
      </w:r>
    </w:p>
    <w:p>
      <w:pPr>
        <w:spacing w:line="360" w:lineRule="auto"/>
        <w:rPr>
          <w:rFonts w:hint="default" w:ascii="宋体" w:hAnsi="宋体" w:eastAsia="宋体" w:cs="宋体"/>
          <w:b/>
          <w:sz w:val="28"/>
          <w:szCs w:val="28"/>
          <w:lang w:val="en-US" w:eastAsia="zh-CN"/>
        </w:rPr>
      </w:pPr>
      <w:r>
        <w:rPr>
          <w:rFonts w:hint="eastAsia" w:ascii="宋体" w:hAnsi="宋体" w:cs="宋体"/>
          <w:b/>
          <w:sz w:val="28"/>
          <w:szCs w:val="28"/>
          <w:lang w:eastAsia="zh-CN"/>
        </w:rPr>
        <w:t>（</w:t>
      </w:r>
      <w:r>
        <w:rPr>
          <w:rFonts w:hint="eastAsia" w:ascii="宋体" w:hAnsi="宋体" w:cs="宋体"/>
          <w:b/>
          <w:sz w:val="28"/>
          <w:szCs w:val="28"/>
          <w:lang w:val="en-US" w:eastAsia="zh-CN"/>
        </w:rPr>
        <w:t>二）检具部分</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b/>
          <w:bCs w:val="0"/>
          <w:sz w:val="24"/>
          <w:szCs w:val="24"/>
          <w:lang w:val="en-US" w:eastAsia="zh-CN"/>
        </w:rPr>
      </w:pPr>
      <w:r>
        <w:rPr>
          <w:rFonts w:hint="eastAsia" w:ascii="宋体" w:hAnsi="宋体"/>
          <w:b/>
          <w:bCs w:val="0"/>
          <w:sz w:val="24"/>
          <w:szCs w:val="24"/>
          <w:lang w:val="en-US" w:eastAsia="zh-CN"/>
        </w:rPr>
        <w:t>1、检具的设计要求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Cs/>
          <w:sz w:val="24"/>
          <w:szCs w:val="24"/>
          <w:lang w:val="en-US" w:eastAsia="zh-CN"/>
        </w:rPr>
      </w:pPr>
      <w:r>
        <w:rPr>
          <w:rFonts w:hint="eastAsia" w:ascii="宋体" w:hAnsi="宋体"/>
          <w:bCs/>
          <w:sz w:val="24"/>
          <w:szCs w:val="24"/>
          <w:lang w:val="en-US" w:eastAsia="zh-CN"/>
        </w:rPr>
        <w:t>1.1检具设计首先绘制三维数模（3D 设计方案），图纸会签经招标方认可后绘制检具 2D 图纸。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bCs/>
          <w:sz w:val="24"/>
          <w:szCs w:val="24"/>
          <w:lang w:val="en-US" w:eastAsia="zh-CN"/>
        </w:rPr>
      </w:pPr>
      <w:r>
        <w:rPr>
          <w:rFonts w:hint="eastAsia" w:ascii="宋体" w:hAnsi="宋体"/>
          <w:bCs/>
          <w:sz w:val="24"/>
          <w:szCs w:val="24"/>
          <w:lang w:val="en-US" w:eastAsia="zh-CN"/>
        </w:rPr>
        <w:t>1.2设计2D图纸用 1：1比例绘制，</w:t>
      </w:r>
      <w:r>
        <w:rPr>
          <w:rFonts w:hint="eastAsia" w:hAnsi="宋体"/>
          <w:color w:val="000000"/>
          <w:sz w:val="24"/>
        </w:rPr>
        <w:t>图纸幅面和标题栏符合国家标准，</w:t>
      </w:r>
      <w:r>
        <w:rPr>
          <w:rFonts w:hint="eastAsia" w:ascii="宋体" w:hAnsi="宋体"/>
          <w:bCs/>
          <w:sz w:val="24"/>
          <w:szCs w:val="24"/>
          <w:lang w:val="en-US" w:eastAsia="zh-CN"/>
        </w:rPr>
        <w:t>所有检具零件图必须用三视图绘出，精确标注尺寸并标注驾驶室的加工测量基准线。</w:t>
      </w:r>
      <w:r>
        <w:rPr>
          <w:rFonts w:hint="eastAsia" w:hAnsi="宋体"/>
          <w:color w:val="000000"/>
          <w:sz w:val="24"/>
        </w:rPr>
        <w:t>应能完整、清晰地表示出检具整体结构及各部位的具体结构、性能、热处理方式、设计尺寸等，有详细的版本变更管理记录，且经过校对、审核、批准程序</w:t>
      </w:r>
      <w:r>
        <w:rPr>
          <w:rFonts w:hint="eastAsia" w:hAnsi="宋体"/>
          <w:color w:val="000000"/>
          <w:sz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Cs/>
          <w:sz w:val="24"/>
          <w:szCs w:val="24"/>
          <w:lang w:val="en-US" w:eastAsia="zh-CN"/>
        </w:rPr>
      </w:pPr>
      <w:r>
        <w:rPr>
          <w:rFonts w:hint="eastAsia" w:ascii="宋体" w:hAnsi="宋体"/>
          <w:bCs/>
          <w:sz w:val="24"/>
          <w:szCs w:val="24"/>
          <w:lang w:val="en-US" w:eastAsia="zh-CN"/>
        </w:rPr>
        <w:t>1.3设计图纸符合国家机械制图标准，图形、标识、文字只能有一个解释，使人容易了解，图面整洁、文字清晰、标注完整。为了保证从设计到验收中尺寸测量的一致性，设计图纸中应明确标注出加工、检验基准起始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Cs/>
          <w:sz w:val="24"/>
          <w:szCs w:val="24"/>
          <w:lang w:val="en-US" w:eastAsia="zh-CN"/>
        </w:rPr>
      </w:pPr>
      <w:r>
        <w:rPr>
          <w:rFonts w:hint="eastAsia" w:ascii="宋体" w:hAnsi="宋体"/>
          <w:bCs/>
          <w:sz w:val="24"/>
          <w:szCs w:val="24"/>
          <w:lang w:val="en-US" w:eastAsia="zh-CN"/>
        </w:rPr>
        <w:t>1.4检具设计图纸中第一张为检具说明表。该说明表包括：零件状态、检具状态、材料、明细表、版本号、更改记录等信息。在最终的设计稿中应该包括使用该种检具的操作指导或操作顺序书。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Cs/>
          <w:sz w:val="24"/>
          <w:szCs w:val="24"/>
          <w:lang w:val="en-US" w:eastAsia="zh-CN"/>
        </w:rPr>
      </w:pPr>
      <w:r>
        <w:rPr>
          <w:rFonts w:hint="eastAsia" w:ascii="宋体" w:hAnsi="宋体"/>
          <w:bCs/>
          <w:sz w:val="24"/>
          <w:szCs w:val="24"/>
          <w:lang w:val="en-US" w:eastAsia="zh-CN"/>
        </w:rPr>
        <w:t>1.5检具所有装配件都应单独绘制零件图，并且所有装配件（包括底座、车轮、起吊棒、搬运把手等辅助件）其装配关系都应在装配图上标识清楚，必要时可用剖面图表示。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Cs/>
          <w:sz w:val="24"/>
          <w:szCs w:val="24"/>
          <w:lang w:val="en-US" w:eastAsia="zh-CN"/>
        </w:rPr>
      </w:pPr>
      <w:r>
        <w:rPr>
          <w:rFonts w:hint="eastAsia" w:ascii="宋体" w:hAnsi="宋体"/>
          <w:bCs/>
          <w:sz w:val="24"/>
          <w:szCs w:val="24"/>
          <w:lang w:val="en-US" w:eastAsia="zh-CN"/>
        </w:rPr>
        <w:t>1.6被检测零件放置于检具上的位置，原则上和零件在驾驶室坐标系中的位置一致。要考虑便于操作等人体工程原理和节约费用等因素，特殊情况下允许将零件旋转±90°或±180°。但必须经过招标方评审批准后方可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Cs/>
          <w:sz w:val="24"/>
          <w:szCs w:val="24"/>
          <w:lang w:val="en-US" w:eastAsia="zh-CN"/>
        </w:rPr>
      </w:pPr>
      <w:r>
        <w:rPr>
          <w:rFonts w:hint="eastAsia" w:ascii="宋体" w:hAnsi="宋体"/>
          <w:bCs/>
          <w:sz w:val="24"/>
          <w:szCs w:val="24"/>
          <w:lang w:val="en-US" w:eastAsia="zh-CN"/>
        </w:rPr>
        <w:t>1.7零件借助可插入式定位销固定于检具上，检具定位面，支撑面及夹头通常根据产品图纸RPS点的坐标数值进行布置和安装，RPS定位（孔）面、支承面均采用装配式结构，夹头必须按RPS顺序进行数字编码。如果零件需要根据RPS面定位，RPS面的尺寸规格在产品图纸上要有明确规定，且必须经过招标方评审批准后方可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Cs/>
          <w:sz w:val="24"/>
          <w:szCs w:val="24"/>
          <w:lang w:val="en-US" w:eastAsia="zh-CN"/>
        </w:rPr>
      </w:pPr>
      <w:r>
        <w:rPr>
          <w:rFonts w:hint="eastAsia" w:ascii="宋体" w:hAnsi="宋体"/>
          <w:bCs/>
          <w:sz w:val="24"/>
          <w:szCs w:val="24"/>
          <w:lang w:val="en-US" w:eastAsia="zh-CN"/>
        </w:rPr>
        <w:t>1.8当产品更改时，检具图（包括3D、2D）必须及时、准确地按更改通知单进行变更，做到数模、图纸和实物一致。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Cs/>
          <w:sz w:val="24"/>
          <w:szCs w:val="24"/>
          <w:lang w:val="en-US" w:eastAsia="zh-CN"/>
        </w:rPr>
      </w:pPr>
      <w:r>
        <w:rPr>
          <w:rFonts w:hint="eastAsia" w:ascii="宋体" w:hAnsi="宋体"/>
          <w:bCs/>
          <w:sz w:val="24"/>
          <w:szCs w:val="24"/>
          <w:lang w:val="en-US" w:eastAsia="zh-CN"/>
        </w:rPr>
        <w:t>1.9制件检测过程取放方便，不得出现卡件现象。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Cs/>
          <w:sz w:val="24"/>
          <w:szCs w:val="24"/>
          <w:lang w:val="en-US" w:eastAsia="zh-CN"/>
        </w:rPr>
      </w:pPr>
      <w:r>
        <w:rPr>
          <w:rFonts w:hint="eastAsia" w:ascii="宋体" w:hAnsi="宋体"/>
          <w:bCs/>
          <w:sz w:val="24"/>
          <w:szCs w:val="24"/>
          <w:lang w:val="en-US" w:eastAsia="zh-CN"/>
        </w:rPr>
        <w:t>1.10检具底板刻注驾驶室坐标线X-向和Y-向，Z-向，驾驶室坐标线以X-，Y-，Z-基准面为出发面，每隔100mm 或200mm 为一档进行刻注，划线深度和宽度均为0.1mm，刻线误差±0.20mm/1000mm。底板需要做喷漆防护，颜色执行《Q-ZZ 30070 设备设施颜色标识》，要求清晰可见。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Cs/>
          <w:sz w:val="24"/>
          <w:szCs w:val="24"/>
          <w:lang w:val="en-US" w:eastAsia="zh-CN"/>
        </w:rPr>
      </w:pPr>
      <w:r>
        <w:rPr>
          <w:rFonts w:hint="eastAsia" w:ascii="宋体" w:hAnsi="宋体"/>
          <w:bCs/>
          <w:sz w:val="24"/>
          <w:szCs w:val="24"/>
          <w:lang w:val="en-US" w:eastAsia="zh-CN"/>
        </w:rPr>
        <w:t>1.11检具测量点位置准确，可操作性强，方便测量。检测点要避开夹紧器或其他有检具结构阻碍的地方，禁止出现普通钢板尺、间隙尺等常用计量工具无法检测或检测困难的部位。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Cs/>
          <w:sz w:val="24"/>
          <w:szCs w:val="24"/>
          <w:lang w:val="en-US" w:eastAsia="zh-CN"/>
        </w:rPr>
      </w:pPr>
      <w:r>
        <w:rPr>
          <w:rFonts w:hint="eastAsia" w:ascii="宋体" w:hAnsi="宋体"/>
          <w:bCs/>
          <w:sz w:val="24"/>
          <w:szCs w:val="24"/>
          <w:lang w:val="en-US" w:eastAsia="zh-CN"/>
        </w:rPr>
        <w:t>1.12设计时应考虑操作者的人机工程学、被测零件拆装容易度、三坐标检测的可行性。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Cs/>
          <w:sz w:val="24"/>
          <w:szCs w:val="24"/>
          <w:lang w:val="en-US" w:eastAsia="zh-CN"/>
        </w:rPr>
      </w:pPr>
      <w:r>
        <w:rPr>
          <w:rFonts w:hint="eastAsia" w:ascii="宋体" w:hAnsi="宋体"/>
          <w:bCs/>
          <w:sz w:val="24"/>
          <w:szCs w:val="24"/>
          <w:lang w:val="en-US" w:eastAsia="zh-CN"/>
        </w:rPr>
        <w:t>1.13在检具制造过程中，有任何影响最初设计的更改，必须经招标方审核批准后方可实施。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Cs/>
          <w:sz w:val="24"/>
          <w:szCs w:val="24"/>
          <w:lang w:val="en-US" w:eastAsia="zh-CN"/>
        </w:rPr>
      </w:pPr>
      <w:r>
        <w:rPr>
          <w:rFonts w:hint="eastAsia" w:ascii="宋体" w:hAnsi="宋体"/>
          <w:bCs/>
          <w:sz w:val="24"/>
          <w:szCs w:val="24"/>
          <w:lang w:val="en-US" w:eastAsia="zh-CN"/>
        </w:rPr>
        <w:t>1.14对于在产品图纸上相对于驾驶室坐标线有位置公差要求，并且标注公差在±0.5mm之内，同时自身精度要求较高（直径公差值&lt;±0.5mm）的那些孔（定位孔除外），通常考虑采用划线检查销检测。其他具有一般性功能要求的孔（公差要求±0.5mm- 1.0mm）通常采用目测划线检查。对线束孔，工艺通孔，排水孔等（其公差要求≥±1.0mm）通常采用目视检查。所有孔具体采用何种检查方式，在技术方案会签时由投标方提出经招标方同意后确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Cs/>
          <w:sz w:val="24"/>
          <w:szCs w:val="24"/>
          <w:lang w:val="en-US" w:eastAsia="zh-CN"/>
        </w:rPr>
      </w:pPr>
      <w:r>
        <w:rPr>
          <w:rFonts w:hint="eastAsia" w:ascii="宋体" w:hAnsi="宋体"/>
          <w:bCs/>
          <w:sz w:val="24"/>
          <w:szCs w:val="24"/>
          <w:lang w:val="en-US" w:eastAsia="zh-CN"/>
        </w:rPr>
        <w:t>1.15设计时要考虑检具的使用环境，室内温度：-10℃～50℃，相对湿度：≤90%，在该环境下确保检具原始的制造精度。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Cs/>
          <w:sz w:val="24"/>
          <w:szCs w:val="24"/>
          <w:lang w:val="en-US" w:eastAsia="zh-CN"/>
        </w:rPr>
      </w:pPr>
      <w:r>
        <w:rPr>
          <w:rFonts w:hint="eastAsia" w:ascii="宋体" w:hAnsi="宋体"/>
          <w:bCs/>
          <w:sz w:val="24"/>
          <w:szCs w:val="24"/>
          <w:lang w:val="en-US" w:eastAsia="zh-CN"/>
        </w:rPr>
        <w:t>1.16方案和检具图会签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Cs/>
          <w:sz w:val="24"/>
          <w:szCs w:val="24"/>
          <w:lang w:val="en-US" w:eastAsia="zh-CN"/>
        </w:rPr>
      </w:pPr>
      <w:r>
        <w:rPr>
          <w:rFonts w:hint="eastAsia" w:ascii="宋体" w:hAnsi="宋体"/>
          <w:bCs/>
          <w:sz w:val="24"/>
          <w:szCs w:val="24"/>
          <w:lang w:val="en-US" w:eastAsia="zh-CN"/>
        </w:rPr>
        <w:t>1.16.1检具设计会签包含3D数模和2D图纸会签；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Cs/>
          <w:sz w:val="24"/>
          <w:szCs w:val="24"/>
          <w:lang w:val="en-US" w:eastAsia="zh-CN"/>
        </w:rPr>
      </w:pPr>
      <w:r>
        <w:rPr>
          <w:rFonts w:hint="eastAsia" w:ascii="宋体" w:hAnsi="宋体"/>
          <w:bCs/>
          <w:sz w:val="24"/>
          <w:szCs w:val="24"/>
          <w:lang w:val="en-US" w:eastAsia="zh-CN"/>
        </w:rPr>
        <w:t>1.16.2检具方案及图纸确认按数模、GD&amp;T图、测量计划、技术协议及其它有关检具双方签字确认的内容要求进行。按《检具设计检查表》的内容进行逐项检查；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Cs/>
          <w:sz w:val="24"/>
          <w:szCs w:val="24"/>
          <w:lang w:val="en-US" w:eastAsia="zh-CN"/>
        </w:rPr>
      </w:pPr>
      <w:r>
        <w:rPr>
          <w:rFonts w:hint="eastAsia" w:ascii="宋体" w:hAnsi="宋体"/>
          <w:bCs/>
          <w:sz w:val="24"/>
          <w:szCs w:val="24"/>
          <w:lang w:val="en-US" w:eastAsia="zh-CN"/>
        </w:rPr>
        <w:t>1.16.3投标方应建立内部设计评审机制，规范内部评审表格，并在技术交流时提供内部评审流程（含内部评审表格），方可安排设计会签；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Cs/>
          <w:sz w:val="24"/>
          <w:szCs w:val="24"/>
          <w:lang w:val="en-US" w:eastAsia="zh-CN"/>
        </w:rPr>
      </w:pPr>
      <w:r>
        <w:rPr>
          <w:rFonts w:hint="eastAsia" w:ascii="宋体" w:hAnsi="宋体"/>
          <w:bCs/>
          <w:sz w:val="24"/>
          <w:szCs w:val="24"/>
          <w:lang w:val="en-US" w:eastAsia="zh-CN"/>
        </w:rPr>
        <w:t>1.16.4在检具设计会签前7天，投标方须提供3D数模和2D图纸，并配合完成方案的审查及会签；3个工作日内确认会签方式和时间；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Cs/>
          <w:sz w:val="24"/>
          <w:szCs w:val="24"/>
          <w:lang w:val="en-US" w:eastAsia="zh-CN"/>
        </w:rPr>
      </w:pPr>
      <w:r>
        <w:rPr>
          <w:rFonts w:hint="eastAsia" w:ascii="宋体" w:hAnsi="宋体"/>
          <w:bCs/>
          <w:sz w:val="24"/>
          <w:szCs w:val="24"/>
          <w:lang w:val="en-US" w:eastAsia="zh-CN"/>
        </w:rPr>
        <w:t>1.16.5检具设计会签地点：双方协商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Cs/>
          <w:sz w:val="24"/>
          <w:szCs w:val="24"/>
          <w:lang w:val="en-US" w:eastAsia="zh-CN"/>
        </w:rPr>
      </w:pPr>
      <w:r>
        <w:rPr>
          <w:rFonts w:hint="eastAsia" w:ascii="宋体" w:hAnsi="宋体"/>
          <w:bCs/>
          <w:sz w:val="24"/>
          <w:szCs w:val="24"/>
          <w:lang w:val="en-US" w:eastAsia="zh-CN"/>
        </w:rPr>
        <w:t>1.16.6所有会签的图纸只表示招标方对结构原理的认可，并不解除作为投标方应负的责任；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Cs/>
          <w:sz w:val="24"/>
          <w:szCs w:val="24"/>
          <w:lang w:val="en-US" w:eastAsia="zh-CN"/>
        </w:rPr>
      </w:pPr>
      <w:r>
        <w:rPr>
          <w:rFonts w:hint="eastAsia" w:ascii="宋体" w:hAnsi="宋体"/>
          <w:bCs/>
          <w:sz w:val="24"/>
          <w:szCs w:val="24"/>
          <w:lang w:val="en-US" w:eastAsia="zh-CN"/>
        </w:rPr>
        <w:t>1.16.7《检具设计会签报告》签字完成视为设计会签工作结束；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Cs/>
          <w:sz w:val="24"/>
          <w:szCs w:val="24"/>
          <w:lang w:val="en-US" w:eastAsia="zh-CN"/>
        </w:rPr>
      </w:pPr>
      <w:r>
        <w:rPr>
          <w:rFonts w:hint="eastAsia" w:ascii="宋体" w:hAnsi="宋体"/>
          <w:bCs/>
          <w:sz w:val="24"/>
          <w:szCs w:val="24"/>
          <w:lang w:val="en-US" w:eastAsia="zh-CN"/>
        </w:rPr>
        <w:t>1.16.8投标方提供的检具设计必须经正式会签确认后方可投入检具的制造；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Cs/>
          <w:sz w:val="24"/>
          <w:szCs w:val="24"/>
          <w:lang w:val="en-US" w:eastAsia="zh-CN"/>
        </w:rPr>
      </w:pPr>
      <w:r>
        <w:rPr>
          <w:rFonts w:hint="eastAsia" w:ascii="宋体" w:hAnsi="宋体"/>
          <w:bCs/>
          <w:sz w:val="24"/>
          <w:szCs w:val="24"/>
          <w:lang w:val="en-US" w:eastAsia="zh-CN"/>
        </w:rPr>
        <w:t>1.16.9图纸会签后，投标方对检具进行的变更必须事前征得招标方同意并进行详细记录。</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b/>
          <w:bCs w:val="0"/>
          <w:sz w:val="24"/>
          <w:szCs w:val="24"/>
          <w:lang w:val="en-US" w:eastAsia="zh-CN"/>
        </w:rPr>
      </w:pPr>
      <w:r>
        <w:rPr>
          <w:rFonts w:hint="eastAsia" w:ascii="宋体" w:hAnsi="宋体"/>
          <w:b/>
          <w:bCs w:val="0"/>
          <w:sz w:val="24"/>
          <w:szCs w:val="24"/>
          <w:lang w:val="en-US" w:eastAsia="zh-CN"/>
        </w:rPr>
        <w:t>2、检具结构要求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Cs/>
          <w:sz w:val="24"/>
          <w:szCs w:val="24"/>
          <w:lang w:val="en-US" w:eastAsia="zh-CN"/>
        </w:rPr>
      </w:pPr>
      <w:r>
        <w:rPr>
          <w:rFonts w:hint="eastAsia" w:ascii="宋体" w:hAnsi="宋体"/>
          <w:bCs/>
          <w:sz w:val="24"/>
          <w:szCs w:val="24"/>
          <w:lang w:val="en-US" w:eastAsia="zh-CN"/>
        </w:rPr>
        <w:t>2.1检具底座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Cs/>
          <w:sz w:val="24"/>
          <w:szCs w:val="24"/>
          <w:lang w:val="en-US" w:eastAsia="zh-CN"/>
        </w:rPr>
      </w:pPr>
      <w:r>
        <w:rPr>
          <w:rFonts w:hint="eastAsia" w:ascii="宋体" w:hAnsi="宋体"/>
          <w:bCs/>
          <w:sz w:val="24"/>
          <w:szCs w:val="24"/>
          <w:lang w:val="en-US" w:eastAsia="zh-CN"/>
        </w:rPr>
        <w:t>A、底座要求采用骨架结构和板式结构，焊接后整体退火处理，消除焊接内应力。检具底盘长期存放时不能出现变形。底板上要求刻坐标线，并引伸到检具型体上。检具底盘尺寸及对应的钢板厚度、方管尺寸如下表所示。</w:t>
      </w:r>
    </w:p>
    <w:tbl>
      <w:tblPr>
        <w:tblStyle w:val="77"/>
        <w:tblW w:w="95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4"/>
        <w:gridCol w:w="1474"/>
        <w:gridCol w:w="1474"/>
        <w:gridCol w:w="1474"/>
        <w:gridCol w:w="1474"/>
        <w:gridCol w:w="1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4" w:type="dxa"/>
            <w:noWrap w:val="0"/>
            <w:vAlign w:val="center"/>
          </w:tcPr>
          <w:p>
            <w:pPr>
              <w:spacing w:after="200" w:line="240" w:lineRule="auto"/>
              <w:jc w:val="center"/>
              <w:rPr>
                <w:rFonts w:hint="eastAsia" w:ascii="宋体" w:hAnsi="宋体"/>
                <w:bCs/>
                <w:sz w:val="24"/>
                <w:szCs w:val="24"/>
                <w:lang w:val="en-US" w:eastAsia="zh-CN"/>
              </w:rPr>
            </w:pPr>
            <w:r>
              <w:rPr>
                <w:rFonts w:hint="eastAsia" w:ascii="宋体" w:hAnsi="宋体"/>
                <w:bCs/>
                <w:sz w:val="24"/>
                <w:szCs w:val="24"/>
                <w:lang w:val="en-US" w:eastAsia="zh-CN"/>
              </w:rPr>
              <w:t>底座长宽</w:t>
            </w:r>
          </w:p>
        </w:tc>
        <w:tc>
          <w:tcPr>
            <w:tcW w:w="1474" w:type="dxa"/>
            <w:noWrap w:val="0"/>
            <w:vAlign w:val="center"/>
          </w:tcPr>
          <w:p>
            <w:pPr>
              <w:spacing w:after="200" w:line="240" w:lineRule="auto"/>
              <w:jc w:val="center"/>
              <w:rPr>
                <w:rFonts w:hint="eastAsia" w:ascii="宋体" w:hAnsi="宋体"/>
                <w:bCs/>
                <w:sz w:val="24"/>
                <w:szCs w:val="24"/>
                <w:lang w:val="en-US" w:eastAsia="zh-CN"/>
              </w:rPr>
            </w:pPr>
            <w:r>
              <w:rPr>
                <w:rFonts w:hint="eastAsia" w:ascii="宋体" w:hAnsi="宋体"/>
                <w:bCs/>
                <w:sz w:val="24"/>
                <w:szCs w:val="24"/>
                <w:lang w:val="en-US" w:eastAsia="zh-CN"/>
              </w:rPr>
              <w:t>≤1.2m</w:t>
            </w:r>
          </w:p>
        </w:tc>
        <w:tc>
          <w:tcPr>
            <w:tcW w:w="1474" w:type="dxa"/>
            <w:noWrap w:val="0"/>
            <w:vAlign w:val="center"/>
          </w:tcPr>
          <w:p>
            <w:pPr>
              <w:spacing w:after="200" w:line="240" w:lineRule="auto"/>
              <w:jc w:val="center"/>
              <w:rPr>
                <w:rFonts w:hint="eastAsia" w:ascii="宋体" w:hAnsi="宋体"/>
                <w:bCs/>
                <w:sz w:val="24"/>
                <w:szCs w:val="24"/>
                <w:lang w:val="en-US" w:eastAsia="zh-CN"/>
              </w:rPr>
            </w:pPr>
            <w:r>
              <w:rPr>
                <w:rFonts w:hint="eastAsia" w:ascii="宋体" w:hAnsi="宋体"/>
                <w:bCs/>
                <w:sz w:val="24"/>
                <w:szCs w:val="24"/>
                <w:lang w:val="en-US" w:eastAsia="zh-CN"/>
              </w:rPr>
              <w:t>1.2-2m</w:t>
            </w:r>
          </w:p>
        </w:tc>
        <w:tc>
          <w:tcPr>
            <w:tcW w:w="1474" w:type="dxa"/>
            <w:noWrap w:val="0"/>
            <w:vAlign w:val="center"/>
          </w:tcPr>
          <w:p>
            <w:pPr>
              <w:spacing w:after="200" w:line="240" w:lineRule="auto"/>
              <w:jc w:val="center"/>
              <w:rPr>
                <w:rFonts w:hint="eastAsia" w:ascii="宋体" w:hAnsi="宋体"/>
                <w:bCs/>
                <w:sz w:val="24"/>
                <w:szCs w:val="24"/>
                <w:lang w:val="en-US" w:eastAsia="zh-CN"/>
              </w:rPr>
            </w:pPr>
            <w:r>
              <w:rPr>
                <w:rFonts w:hint="eastAsia" w:ascii="宋体" w:hAnsi="宋体"/>
                <w:bCs/>
                <w:sz w:val="24"/>
                <w:szCs w:val="24"/>
                <w:lang w:val="en-US" w:eastAsia="zh-CN"/>
              </w:rPr>
              <w:t>2-2.5m</w:t>
            </w:r>
          </w:p>
        </w:tc>
        <w:tc>
          <w:tcPr>
            <w:tcW w:w="1474" w:type="dxa"/>
            <w:noWrap w:val="0"/>
            <w:vAlign w:val="center"/>
          </w:tcPr>
          <w:p>
            <w:pPr>
              <w:spacing w:after="200" w:line="240" w:lineRule="auto"/>
              <w:jc w:val="center"/>
              <w:rPr>
                <w:rFonts w:hint="eastAsia" w:ascii="宋体" w:hAnsi="宋体"/>
                <w:bCs/>
                <w:sz w:val="24"/>
                <w:szCs w:val="24"/>
                <w:lang w:val="en-US" w:eastAsia="zh-CN"/>
              </w:rPr>
            </w:pPr>
            <w:r>
              <w:rPr>
                <w:rFonts w:hint="eastAsia" w:ascii="宋体" w:hAnsi="宋体"/>
                <w:bCs/>
                <w:sz w:val="24"/>
                <w:szCs w:val="24"/>
                <w:lang w:val="en-US" w:eastAsia="zh-CN"/>
              </w:rPr>
              <w:t>2.5-3m</w:t>
            </w:r>
          </w:p>
        </w:tc>
        <w:tc>
          <w:tcPr>
            <w:tcW w:w="1474" w:type="dxa"/>
            <w:noWrap w:val="0"/>
            <w:vAlign w:val="center"/>
          </w:tcPr>
          <w:p>
            <w:pPr>
              <w:spacing w:after="200" w:line="240" w:lineRule="auto"/>
              <w:jc w:val="center"/>
              <w:rPr>
                <w:rFonts w:hint="eastAsia" w:ascii="宋体" w:hAnsi="宋体"/>
                <w:bCs/>
                <w:sz w:val="24"/>
                <w:szCs w:val="24"/>
                <w:lang w:val="en-US" w:eastAsia="zh-CN"/>
              </w:rPr>
            </w:pPr>
            <w:r>
              <w:rPr>
                <w:rFonts w:hint="eastAsia" w:ascii="宋体" w:hAnsi="宋体"/>
                <w:bCs/>
                <w:sz w:val="24"/>
                <w:szCs w:val="24"/>
                <w:lang w:val="en-US" w:eastAsia="zh-CN"/>
              </w:rPr>
              <w:t>≥3m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4" w:type="dxa"/>
            <w:noWrap w:val="0"/>
            <w:vAlign w:val="center"/>
          </w:tcPr>
          <w:p>
            <w:pPr>
              <w:spacing w:after="200" w:line="240" w:lineRule="auto"/>
              <w:jc w:val="center"/>
              <w:rPr>
                <w:rFonts w:hint="eastAsia" w:ascii="宋体" w:hAnsi="宋体"/>
                <w:bCs/>
                <w:sz w:val="24"/>
                <w:szCs w:val="24"/>
                <w:lang w:val="en-US" w:eastAsia="zh-CN"/>
              </w:rPr>
            </w:pPr>
            <w:r>
              <w:rPr>
                <w:rFonts w:hint="eastAsia" w:ascii="宋体" w:hAnsi="宋体"/>
                <w:bCs/>
                <w:sz w:val="24"/>
                <w:szCs w:val="24"/>
                <w:lang w:val="en-US" w:eastAsia="zh-CN"/>
              </w:rPr>
              <w:t>钢板厚度</w:t>
            </w:r>
          </w:p>
          <w:p>
            <w:pPr>
              <w:spacing w:after="200" w:line="240" w:lineRule="auto"/>
              <w:jc w:val="center"/>
              <w:rPr>
                <w:rFonts w:hint="eastAsia" w:ascii="宋体" w:hAnsi="宋体"/>
                <w:bCs/>
                <w:sz w:val="24"/>
                <w:szCs w:val="24"/>
                <w:lang w:val="en-US" w:eastAsia="zh-CN"/>
              </w:rPr>
            </w:pPr>
            <w:r>
              <w:rPr>
                <w:rFonts w:hint="eastAsia" w:ascii="宋体" w:hAnsi="宋体"/>
                <w:bCs/>
                <w:sz w:val="24"/>
                <w:szCs w:val="24"/>
                <w:lang w:val="en-US" w:eastAsia="zh-CN"/>
              </w:rPr>
              <w:t>（加工完成后）</w:t>
            </w:r>
          </w:p>
        </w:tc>
        <w:tc>
          <w:tcPr>
            <w:tcW w:w="1474" w:type="dxa"/>
            <w:noWrap w:val="0"/>
            <w:vAlign w:val="center"/>
          </w:tcPr>
          <w:p>
            <w:pPr>
              <w:spacing w:after="200" w:line="240" w:lineRule="auto"/>
              <w:jc w:val="center"/>
              <w:rPr>
                <w:rFonts w:hint="eastAsia" w:ascii="宋体" w:hAnsi="宋体"/>
                <w:bCs/>
                <w:sz w:val="24"/>
                <w:szCs w:val="24"/>
                <w:lang w:val="en-US" w:eastAsia="zh-CN"/>
              </w:rPr>
            </w:pPr>
            <w:r>
              <w:rPr>
                <w:rFonts w:hint="eastAsia" w:ascii="宋体" w:hAnsi="宋体"/>
                <w:bCs/>
                <w:sz w:val="24"/>
                <w:szCs w:val="24"/>
                <w:lang w:val="en-US" w:eastAsia="zh-CN"/>
              </w:rPr>
              <w:t>≥15mm</w:t>
            </w:r>
          </w:p>
        </w:tc>
        <w:tc>
          <w:tcPr>
            <w:tcW w:w="1474" w:type="dxa"/>
            <w:noWrap w:val="0"/>
            <w:vAlign w:val="center"/>
          </w:tcPr>
          <w:p>
            <w:pPr>
              <w:spacing w:after="200" w:line="240" w:lineRule="auto"/>
              <w:jc w:val="center"/>
              <w:rPr>
                <w:rFonts w:hint="eastAsia" w:ascii="宋体" w:hAnsi="宋体"/>
                <w:bCs/>
                <w:sz w:val="24"/>
                <w:szCs w:val="24"/>
                <w:lang w:val="en-US" w:eastAsia="zh-CN"/>
              </w:rPr>
            </w:pPr>
            <w:r>
              <w:rPr>
                <w:rFonts w:hint="eastAsia" w:ascii="宋体" w:hAnsi="宋体"/>
                <w:bCs/>
                <w:sz w:val="24"/>
                <w:szCs w:val="24"/>
                <w:lang w:val="en-US" w:eastAsia="zh-CN"/>
              </w:rPr>
              <w:t>≥20mm</w:t>
            </w:r>
          </w:p>
        </w:tc>
        <w:tc>
          <w:tcPr>
            <w:tcW w:w="1474" w:type="dxa"/>
            <w:noWrap w:val="0"/>
            <w:vAlign w:val="center"/>
          </w:tcPr>
          <w:p>
            <w:pPr>
              <w:spacing w:after="200" w:line="240" w:lineRule="auto"/>
              <w:jc w:val="center"/>
              <w:rPr>
                <w:rFonts w:hint="eastAsia" w:ascii="宋体" w:hAnsi="宋体"/>
                <w:bCs/>
                <w:sz w:val="24"/>
                <w:szCs w:val="24"/>
                <w:lang w:val="en-US" w:eastAsia="zh-CN"/>
              </w:rPr>
            </w:pPr>
            <w:r>
              <w:rPr>
                <w:rFonts w:hint="eastAsia" w:ascii="宋体" w:hAnsi="宋体"/>
                <w:bCs/>
                <w:sz w:val="24"/>
                <w:szCs w:val="24"/>
                <w:lang w:val="en-US" w:eastAsia="zh-CN"/>
              </w:rPr>
              <w:t>≥25mm</w:t>
            </w:r>
          </w:p>
        </w:tc>
        <w:tc>
          <w:tcPr>
            <w:tcW w:w="1474" w:type="dxa"/>
            <w:noWrap w:val="0"/>
            <w:vAlign w:val="center"/>
          </w:tcPr>
          <w:p>
            <w:pPr>
              <w:spacing w:after="200" w:line="240" w:lineRule="auto"/>
              <w:jc w:val="center"/>
              <w:rPr>
                <w:rFonts w:hint="eastAsia" w:ascii="宋体" w:hAnsi="宋体"/>
                <w:bCs/>
                <w:sz w:val="24"/>
                <w:szCs w:val="24"/>
                <w:lang w:val="en-US" w:eastAsia="zh-CN"/>
              </w:rPr>
            </w:pPr>
            <w:r>
              <w:rPr>
                <w:rFonts w:hint="eastAsia" w:ascii="宋体" w:hAnsi="宋体"/>
                <w:bCs/>
                <w:sz w:val="24"/>
                <w:szCs w:val="24"/>
                <w:lang w:val="en-US" w:eastAsia="zh-CN"/>
              </w:rPr>
              <w:t>≥28mm</w:t>
            </w:r>
          </w:p>
        </w:tc>
        <w:tc>
          <w:tcPr>
            <w:tcW w:w="1474" w:type="dxa"/>
            <w:noWrap w:val="0"/>
            <w:vAlign w:val="center"/>
          </w:tcPr>
          <w:p>
            <w:pPr>
              <w:spacing w:after="200" w:line="240" w:lineRule="auto"/>
              <w:jc w:val="center"/>
              <w:rPr>
                <w:rFonts w:hint="eastAsia" w:ascii="宋体" w:hAnsi="宋体"/>
                <w:bCs/>
                <w:sz w:val="24"/>
                <w:szCs w:val="24"/>
                <w:lang w:val="en-US" w:eastAsia="zh-CN"/>
              </w:rPr>
            </w:pPr>
            <w:r>
              <w:rPr>
                <w:rFonts w:hint="eastAsia" w:ascii="宋体" w:hAnsi="宋体"/>
                <w:bCs/>
                <w:sz w:val="24"/>
                <w:szCs w:val="24"/>
                <w:lang w:val="en-US" w:eastAsia="zh-CN"/>
              </w:rPr>
              <w:t>≥30mm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4" w:type="dxa"/>
            <w:noWrap w:val="0"/>
            <w:vAlign w:val="center"/>
          </w:tcPr>
          <w:p>
            <w:pPr>
              <w:spacing w:after="200" w:line="240" w:lineRule="auto"/>
              <w:jc w:val="center"/>
              <w:rPr>
                <w:rFonts w:hint="eastAsia" w:ascii="宋体" w:hAnsi="宋体"/>
                <w:bCs/>
                <w:sz w:val="24"/>
                <w:szCs w:val="24"/>
                <w:lang w:val="en-US" w:eastAsia="zh-CN"/>
              </w:rPr>
            </w:pPr>
            <w:r>
              <w:rPr>
                <w:rFonts w:hint="eastAsia" w:ascii="宋体" w:hAnsi="宋体"/>
                <w:bCs/>
                <w:sz w:val="24"/>
                <w:szCs w:val="24"/>
                <w:lang w:val="en-US" w:eastAsia="zh-CN"/>
              </w:rPr>
              <w:t>方管尺寸</w:t>
            </w:r>
          </w:p>
        </w:tc>
        <w:tc>
          <w:tcPr>
            <w:tcW w:w="1474" w:type="dxa"/>
            <w:noWrap w:val="0"/>
            <w:vAlign w:val="center"/>
          </w:tcPr>
          <w:p>
            <w:pPr>
              <w:spacing w:after="200" w:line="240" w:lineRule="auto"/>
              <w:jc w:val="center"/>
              <w:rPr>
                <w:rFonts w:hint="eastAsia" w:ascii="宋体" w:hAnsi="宋体"/>
                <w:bCs/>
                <w:sz w:val="24"/>
                <w:szCs w:val="24"/>
                <w:lang w:val="en-US" w:eastAsia="zh-CN"/>
              </w:rPr>
            </w:pPr>
            <w:r>
              <w:rPr>
                <w:rFonts w:hint="eastAsia" w:ascii="宋体" w:hAnsi="宋体"/>
                <w:bCs/>
                <w:sz w:val="24"/>
                <w:szCs w:val="24"/>
                <w:lang w:val="en-US" w:eastAsia="zh-CN"/>
              </w:rPr>
              <w:t>50×50mm</w:t>
            </w:r>
          </w:p>
        </w:tc>
        <w:tc>
          <w:tcPr>
            <w:tcW w:w="1474" w:type="dxa"/>
            <w:noWrap w:val="0"/>
            <w:vAlign w:val="center"/>
          </w:tcPr>
          <w:p>
            <w:pPr>
              <w:spacing w:after="200" w:line="240" w:lineRule="auto"/>
              <w:jc w:val="center"/>
              <w:rPr>
                <w:rFonts w:hint="eastAsia" w:ascii="宋体" w:hAnsi="宋体"/>
                <w:bCs/>
                <w:sz w:val="24"/>
                <w:szCs w:val="24"/>
                <w:lang w:val="en-US" w:eastAsia="zh-CN"/>
              </w:rPr>
            </w:pPr>
            <w:r>
              <w:rPr>
                <w:rFonts w:hint="eastAsia" w:ascii="宋体" w:hAnsi="宋体"/>
                <w:bCs/>
                <w:sz w:val="24"/>
                <w:szCs w:val="24"/>
                <w:lang w:val="en-US" w:eastAsia="zh-CN"/>
              </w:rPr>
              <w:t>50×50mm</w:t>
            </w:r>
          </w:p>
        </w:tc>
        <w:tc>
          <w:tcPr>
            <w:tcW w:w="1474" w:type="dxa"/>
            <w:noWrap w:val="0"/>
            <w:vAlign w:val="center"/>
          </w:tcPr>
          <w:p>
            <w:pPr>
              <w:spacing w:after="200" w:line="240" w:lineRule="auto"/>
              <w:jc w:val="center"/>
              <w:rPr>
                <w:rFonts w:hint="eastAsia" w:ascii="宋体" w:hAnsi="宋体"/>
                <w:bCs/>
                <w:sz w:val="24"/>
                <w:szCs w:val="24"/>
                <w:lang w:val="en-US" w:eastAsia="zh-CN"/>
              </w:rPr>
            </w:pPr>
            <w:r>
              <w:rPr>
                <w:rFonts w:hint="eastAsia" w:ascii="宋体" w:hAnsi="宋体"/>
                <w:bCs/>
                <w:sz w:val="24"/>
                <w:szCs w:val="24"/>
                <w:lang w:val="en-US" w:eastAsia="zh-CN"/>
              </w:rPr>
              <w:t>60×60mm</w:t>
            </w:r>
          </w:p>
        </w:tc>
        <w:tc>
          <w:tcPr>
            <w:tcW w:w="1474" w:type="dxa"/>
            <w:noWrap w:val="0"/>
            <w:vAlign w:val="center"/>
          </w:tcPr>
          <w:p>
            <w:pPr>
              <w:spacing w:after="200" w:line="240" w:lineRule="auto"/>
              <w:jc w:val="center"/>
              <w:rPr>
                <w:rFonts w:hint="eastAsia" w:ascii="宋体" w:hAnsi="宋体"/>
                <w:bCs/>
                <w:sz w:val="24"/>
                <w:szCs w:val="24"/>
                <w:lang w:val="en-US" w:eastAsia="zh-CN"/>
              </w:rPr>
            </w:pPr>
            <w:r>
              <w:rPr>
                <w:rFonts w:hint="eastAsia" w:ascii="宋体" w:hAnsi="宋体"/>
                <w:bCs/>
                <w:sz w:val="24"/>
                <w:szCs w:val="24"/>
                <w:lang w:val="en-US" w:eastAsia="zh-CN"/>
              </w:rPr>
              <w:t>80×80mm</w:t>
            </w:r>
          </w:p>
        </w:tc>
        <w:tc>
          <w:tcPr>
            <w:tcW w:w="1474" w:type="dxa"/>
            <w:noWrap w:val="0"/>
            <w:vAlign w:val="center"/>
          </w:tcPr>
          <w:p>
            <w:pPr>
              <w:spacing w:after="200" w:line="240" w:lineRule="auto"/>
              <w:jc w:val="center"/>
              <w:rPr>
                <w:rFonts w:hint="eastAsia" w:ascii="宋体" w:hAnsi="宋体"/>
                <w:bCs/>
                <w:sz w:val="24"/>
                <w:szCs w:val="24"/>
                <w:lang w:val="en-US" w:eastAsia="zh-CN"/>
              </w:rPr>
            </w:pPr>
            <w:r>
              <w:rPr>
                <w:rFonts w:hint="eastAsia" w:ascii="宋体" w:hAnsi="宋体"/>
                <w:bCs/>
                <w:sz w:val="24"/>
                <w:szCs w:val="24"/>
                <w:lang w:val="en-US" w:eastAsia="zh-CN"/>
              </w:rPr>
              <w:t>80×80mm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4" w:type="dxa"/>
            <w:noWrap w:val="0"/>
            <w:vAlign w:val="center"/>
          </w:tcPr>
          <w:p>
            <w:pPr>
              <w:spacing w:after="200" w:line="240" w:lineRule="auto"/>
              <w:jc w:val="center"/>
              <w:rPr>
                <w:rFonts w:hint="eastAsia" w:ascii="宋体" w:hAnsi="宋体"/>
                <w:bCs/>
                <w:sz w:val="24"/>
                <w:szCs w:val="24"/>
                <w:lang w:val="en-US" w:eastAsia="zh-CN"/>
              </w:rPr>
            </w:pPr>
            <w:r>
              <w:rPr>
                <w:rFonts w:hint="eastAsia" w:ascii="宋体" w:hAnsi="宋体"/>
                <w:bCs/>
                <w:sz w:val="24"/>
                <w:szCs w:val="24"/>
                <w:lang w:val="en-US" w:eastAsia="zh-CN"/>
              </w:rPr>
              <w:t>方管厚度</w:t>
            </w:r>
          </w:p>
        </w:tc>
        <w:tc>
          <w:tcPr>
            <w:tcW w:w="1474" w:type="dxa"/>
            <w:noWrap w:val="0"/>
            <w:vAlign w:val="center"/>
          </w:tcPr>
          <w:p>
            <w:pPr>
              <w:spacing w:after="200" w:line="240" w:lineRule="auto"/>
              <w:jc w:val="center"/>
              <w:rPr>
                <w:rFonts w:hint="eastAsia" w:ascii="宋体" w:hAnsi="宋体"/>
                <w:bCs/>
                <w:sz w:val="24"/>
                <w:szCs w:val="24"/>
                <w:lang w:val="en-US" w:eastAsia="zh-CN"/>
              </w:rPr>
            </w:pPr>
            <w:r>
              <w:rPr>
                <w:rFonts w:hint="eastAsia" w:ascii="宋体" w:hAnsi="宋体"/>
                <w:bCs/>
                <w:sz w:val="24"/>
                <w:szCs w:val="24"/>
                <w:lang w:val="en-US" w:eastAsia="zh-CN"/>
              </w:rPr>
              <w:t>≥3mm</w:t>
            </w:r>
          </w:p>
        </w:tc>
        <w:tc>
          <w:tcPr>
            <w:tcW w:w="1474" w:type="dxa"/>
            <w:noWrap w:val="0"/>
            <w:vAlign w:val="center"/>
          </w:tcPr>
          <w:p>
            <w:pPr>
              <w:spacing w:after="200" w:line="240" w:lineRule="auto"/>
              <w:jc w:val="center"/>
              <w:rPr>
                <w:rFonts w:hint="eastAsia" w:ascii="宋体" w:hAnsi="宋体"/>
                <w:bCs/>
                <w:sz w:val="24"/>
                <w:szCs w:val="24"/>
                <w:lang w:val="en-US" w:eastAsia="zh-CN"/>
              </w:rPr>
            </w:pPr>
            <w:r>
              <w:rPr>
                <w:rFonts w:hint="eastAsia" w:ascii="宋体" w:hAnsi="宋体"/>
                <w:bCs/>
                <w:sz w:val="24"/>
                <w:szCs w:val="24"/>
                <w:lang w:val="en-US" w:eastAsia="zh-CN"/>
              </w:rPr>
              <w:t>≥3mm</w:t>
            </w:r>
          </w:p>
        </w:tc>
        <w:tc>
          <w:tcPr>
            <w:tcW w:w="1474" w:type="dxa"/>
            <w:noWrap w:val="0"/>
            <w:vAlign w:val="center"/>
          </w:tcPr>
          <w:p>
            <w:pPr>
              <w:spacing w:after="200" w:line="240" w:lineRule="auto"/>
              <w:jc w:val="center"/>
              <w:rPr>
                <w:rFonts w:hint="eastAsia" w:ascii="宋体" w:hAnsi="宋体"/>
                <w:bCs/>
                <w:sz w:val="24"/>
                <w:szCs w:val="24"/>
                <w:lang w:val="en-US" w:eastAsia="zh-CN"/>
              </w:rPr>
            </w:pPr>
            <w:r>
              <w:rPr>
                <w:rFonts w:hint="eastAsia" w:ascii="宋体" w:hAnsi="宋体"/>
                <w:bCs/>
                <w:sz w:val="24"/>
                <w:szCs w:val="24"/>
                <w:lang w:val="en-US" w:eastAsia="zh-CN"/>
              </w:rPr>
              <w:t>≥3mm</w:t>
            </w:r>
          </w:p>
        </w:tc>
        <w:tc>
          <w:tcPr>
            <w:tcW w:w="1474" w:type="dxa"/>
            <w:noWrap w:val="0"/>
            <w:vAlign w:val="center"/>
          </w:tcPr>
          <w:p>
            <w:pPr>
              <w:spacing w:after="200" w:line="240" w:lineRule="auto"/>
              <w:jc w:val="center"/>
              <w:rPr>
                <w:rFonts w:hint="eastAsia" w:ascii="宋体" w:hAnsi="宋体"/>
                <w:bCs/>
                <w:sz w:val="24"/>
                <w:szCs w:val="24"/>
                <w:lang w:val="en-US" w:eastAsia="zh-CN"/>
              </w:rPr>
            </w:pPr>
            <w:r>
              <w:rPr>
                <w:rFonts w:hint="eastAsia" w:ascii="宋体" w:hAnsi="宋体"/>
                <w:bCs/>
                <w:sz w:val="24"/>
                <w:szCs w:val="24"/>
                <w:lang w:val="en-US" w:eastAsia="zh-CN"/>
              </w:rPr>
              <w:t>≥3mm</w:t>
            </w:r>
          </w:p>
        </w:tc>
        <w:tc>
          <w:tcPr>
            <w:tcW w:w="1474" w:type="dxa"/>
            <w:noWrap w:val="0"/>
            <w:vAlign w:val="center"/>
          </w:tcPr>
          <w:p>
            <w:pPr>
              <w:spacing w:after="200" w:line="240" w:lineRule="auto"/>
              <w:jc w:val="center"/>
              <w:rPr>
                <w:rFonts w:hint="eastAsia" w:ascii="宋体" w:hAnsi="宋体"/>
                <w:bCs/>
                <w:sz w:val="24"/>
                <w:szCs w:val="24"/>
                <w:lang w:val="en-US" w:eastAsia="zh-CN"/>
              </w:rPr>
            </w:pPr>
            <w:r>
              <w:rPr>
                <w:rFonts w:hint="eastAsia" w:ascii="宋体" w:hAnsi="宋体"/>
                <w:bCs/>
                <w:sz w:val="24"/>
                <w:szCs w:val="24"/>
                <w:lang w:val="en-US" w:eastAsia="zh-CN"/>
              </w:rPr>
              <w:t>≥3mm</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Cs/>
          <w:sz w:val="24"/>
          <w:szCs w:val="24"/>
          <w:lang w:val="en-US" w:eastAsia="zh-CN"/>
        </w:rPr>
      </w:pPr>
      <w:r>
        <w:rPr>
          <w:rFonts w:hint="eastAsia" w:ascii="宋体" w:hAnsi="宋体"/>
          <w:bCs/>
          <w:sz w:val="24"/>
          <w:szCs w:val="24"/>
          <w:lang w:val="en-US" w:eastAsia="zh-CN"/>
        </w:rPr>
        <w:t>B、有特殊要求的检具，其底座可采用双面分立式结构，立式结构检具要保证被测件与检具之间上下面间隙相等，不能因为制件重力作用出现偏差。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Cs/>
          <w:sz w:val="24"/>
          <w:szCs w:val="24"/>
          <w:lang w:val="en-US" w:eastAsia="zh-CN"/>
        </w:rPr>
      </w:pPr>
      <w:r>
        <w:rPr>
          <w:rFonts w:hint="eastAsia" w:ascii="宋体" w:hAnsi="宋体"/>
          <w:bCs/>
          <w:sz w:val="24"/>
          <w:szCs w:val="24"/>
          <w:lang w:val="en-US" w:eastAsia="zh-CN"/>
        </w:rPr>
        <w:t>C、左右件可以共用一个底板结构，单件比较小零件允许共用一个底板台车支架。冲压件是一模两件的检具允许共用底板，但需经过招标方评审及批准。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Cs/>
          <w:sz w:val="24"/>
          <w:szCs w:val="24"/>
          <w:lang w:val="en-US" w:eastAsia="zh-CN"/>
        </w:rPr>
      </w:pPr>
      <w:r>
        <w:rPr>
          <w:rFonts w:hint="eastAsia" w:ascii="宋体" w:hAnsi="宋体"/>
          <w:bCs/>
          <w:sz w:val="24"/>
          <w:szCs w:val="24"/>
          <w:lang w:val="en-US" w:eastAsia="zh-CN"/>
        </w:rPr>
        <w:t>2.2  基准孔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Cs/>
          <w:sz w:val="24"/>
          <w:szCs w:val="24"/>
          <w:lang w:val="en-US" w:eastAsia="zh-CN"/>
        </w:rPr>
      </w:pPr>
      <w:r>
        <w:rPr>
          <w:rFonts w:hint="eastAsia" w:ascii="宋体" w:hAnsi="宋体"/>
          <w:bCs/>
          <w:sz w:val="24"/>
          <w:szCs w:val="24"/>
          <w:lang w:val="en-US" w:eastAsia="zh-CN"/>
        </w:rPr>
        <w:t>为了在加工检具或进行三坐标测量时便于检具准确固定于机床台面，同时设置基准孔。基准孔应落在汽车坐标系的百位线上。在基准面和基准孔旁安装坐标线铭牌。基准面和基准孔设置防尘罩。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Cs/>
          <w:sz w:val="24"/>
          <w:szCs w:val="24"/>
          <w:highlight w:val="none"/>
          <w:lang w:val="en-US" w:eastAsia="zh-CN"/>
        </w:rPr>
      </w:pPr>
      <w:r>
        <w:rPr>
          <w:rFonts w:hint="eastAsia" w:ascii="宋体" w:hAnsi="宋体"/>
          <w:bCs/>
          <w:sz w:val="24"/>
          <w:szCs w:val="24"/>
          <w:highlight w:val="none"/>
          <w:lang w:val="en-US" w:eastAsia="zh-CN"/>
        </w:rPr>
        <w:t>2.3  检具型体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Cs/>
          <w:sz w:val="24"/>
          <w:szCs w:val="24"/>
          <w:highlight w:val="none"/>
          <w:lang w:val="en-US" w:eastAsia="zh-CN"/>
        </w:rPr>
      </w:pPr>
      <w:r>
        <w:rPr>
          <w:rFonts w:hint="eastAsia" w:ascii="宋体" w:hAnsi="宋体"/>
          <w:bCs/>
          <w:sz w:val="24"/>
          <w:szCs w:val="24"/>
          <w:highlight w:val="none"/>
          <w:lang w:val="en-US" w:eastAsia="zh-CN"/>
        </w:rPr>
        <w:t>A、检具的型体采用6061的航空铝，要求满足检具使用的稳定性和可靠性要求。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Cs/>
          <w:sz w:val="24"/>
          <w:szCs w:val="24"/>
          <w:highlight w:val="none"/>
          <w:lang w:val="en-US" w:eastAsia="zh-CN"/>
        </w:rPr>
      </w:pPr>
      <w:r>
        <w:rPr>
          <w:rFonts w:hint="eastAsia" w:ascii="宋体" w:hAnsi="宋体"/>
          <w:bCs/>
          <w:sz w:val="24"/>
          <w:szCs w:val="24"/>
          <w:highlight w:val="none"/>
          <w:lang w:val="en-US" w:eastAsia="zh-CN"/>
        </w:rPr>
        <w:t>B、对于带有下翻边的制件，检具型面上测量点的最低处到底座平台上表面高度应大于200mm，确保钢板尺和间隙尺可以垂直测量。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Cs/>
          <w:sz w:val="24"/>
          <w:szCs w:val="24"/>
          <w:highlight w:val="none"/>
          <w:lang w:val="en-US" w:eastAsia="zh-CN"/>
        </w:rPr>
      </w:pPr>
      <w:r>
        <w:rPr>
          <w:rFonts w:hint="eastAsia" w:ascii="宋体" w:hAnsi="宋体"/>
          <w:bCs/>
          <w:sz w:val="24"/>
          <w:szCs w:val="24"/>
          <w:highlight w:val="none"/>
          <w:lang w:val="en-US" w:eastAsia="zh-CN"/>
        </w:rPr>
        <w:t>C、伸缩缝：检具型体长度方向每隔200-250mm，应切割伸缩缝，伸缩缝宽度不大于2mm。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Cs/>
          <w:sz w:val="24"/>
          <w:szCs w:val="24"/>
          <w:highlight w:val="none"/>
          <w:lang w:val="en-US" w:eastAsia="zh-CN"/>
        </w:rPr>
      </w:pPr>
      <w:r>
        <w:rPr>
          <w:rFonts w:hint="eastAsia" w:ascii="宋体" w:hAnsi="宋体"/>
          <w:bCs/>
          <w:sz w:val="24"/>
          <w:szCs w:val="24"/>
          <w:highlight w:val="none"/>
          <w:lang w:val="en-US" w:eastAsia="zh-CN"/>
        </w:rPr>
        <w:t>D、修边线做切齐，测面差或者间隙，不允许使用划线检测，如由于产品的原因需要使用划线检测的，需在招标方对方案评审批准后执行。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Cs/>
          <w:sz w:val="24"/>
          <w:szCs w:val="24"/>
          <w:highlight w:val="none"/>
          <w:lang w:val="en-US" w:eastAsia="zh-CN"/>
        </w:rPr>
      </w:pPr>
      <w:r>
        <w:rPr>
          <w:rFonts w:hint="eastAsia" w:ascii="宋体" w:hAnsi="宋体"/>
          <w:bCs/>
          <w:sz w:val="24"/>
          <w:szCs w:val="24"/>
          <w:highlight w:val="none"/>
          <w:lang w:val="en-US" w:eastAsia="zh-CN"/>
        </w:rPr>
        <w:t>E、型坯制作完成后，应提前一周通知相关方进行确认，相关方确认签字后方能进行后续加工制作。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Cs/>
          <w:sz w:val="24"/>
          <w:szCs w:val="24"/>
          <w:highlight w:val="none"/>
          <w:lang w:val="en-US" w:eastAsia="zh-CN"/>
        </w:rPr>
      </w:pPr>
      <w:r>
        <w:rPr>
          <w:rFonts w:hint="eastAsia" w:ascii="宋体" w:hAnsi="宋体"/>
          <w:bCs/>
          <w:sz w:val="24"/>
          <w:szCs w:val="24"/>
          <w:highlight w:val="none"/>
          <w:lang w:val="en-US" w:eastAsia="zh-CN"/>
        </w:rPr>
        <w:t>F、总成及单件活动检测块使用6061铝合金制作。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Cs/>
          <w:sz w:val="24"/>
          <w:szCs w:val="24"/>
          <w:lang w:val="en-US" w:eastAsia="zh-CN"/>
        </w:rPr>
      </w:pPr>
      <w:r>
        <w:rPr>
          <w:rFonts w:hint="eastAsia" w:ascii="宋体" w:hAnsi="宋体"/>
          <w:bCs/>
          <w:sz w:val="24"/>
          <w:szCs w:val="24"/>
          <w:lang w:val="en-US" w:eastAsia="zh-CN"/>
        </w:rPr>
        <w:t>G、翻转机构、卡板机构及销套，全部要求表面镀铬处理。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Cs/>
          <w:sz w:val="24"/>
          <w:szCs w:val="24"/>
          <w:lang w:val="en-US" w:eastAsia="zh-CN"/>
        </w:rPr>
      </w:pPr>
      <w:r>
        <w:rPr>
          <w:rFonts w:hint="eastAsia" w:ascii="宋体" w:hAnsi="宋体"/>
          <w:bCs/>
          <w:sz w:val="24"/>
          <w:szCs w:val="24"/>
          <w:lang w:val="en-US" w:eastAsia="zh-CN"/>
        </w:rPr>
        <w:t>2.4  功能件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Cs/>
          <w:sz w:val="24"/>
          <w:szCs w:val="24"/>
          <w:lang w:val="en-US" w:eastAsia="zh-CN"/>
        </w:rPr>
      </w:pPr>
      <w:r>
        <w:rPr>
          <w:rFonts w:hint="eastAsia" w:ascii="宋体" w:hAnsi="宋体"/>
          <w:bCs/>
          <w:sz w:val="24"/>
          <w:szCs w:val="24"/>
          <w:lang w:val="en-US" w:eastAsia="zh-CN"/>
        </w:rPr>
        <w:t>A、定位销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Cs/>
          <w:sz w:val="24"/>
          <w:szCs w:val="24"/>
          <w:lang w:val="en-US" w:eastAsia="zh-CN"/>
        </w:rPr>
      </w:pPr>
      <w:r>
        <w:rPr>
          <w:rFonts w:hint="eastAsia" w:ascii="宋体" w:hAnsi="宋体"/>
          <w:bCs/>
          <w:sz w:val="24"/>
          <w:szCs w:val="24"/>
          <w:lang w:val="en-US" w:eastAsia="zh-CN"/>
        </w:rPr>
        <w:t>1、定位销导向部分能够在定位孔内进出自如，将零件精确地定位于检具体上。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Cs/>
          <w:sz w:val="24"/>
          <w:szCs w:val="24"/>
          <w:lang w:val="en-US" w:eastAsia="zh-CN"/>
        </w:rPr>
      </w:pPr>
      <w:r>
        <w:rPr>
          <w:rFonts w:hint="eastAsia" w:ascii="宋体" w:hAnsi="宋体"/>
          <w:bCs/>
          <w:sz w:val="24"/>
          <w:szCs w:val="24"/>
          <w:lang w:val="en-US" w:eastAsia="zh-CN"/>
        </w:rPr>
        <w:t>2、定位孔的位置根据零件图纸RPS系统确定。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Cs/>
          <w:sz w:val="24"/>
          <w:szCs w:val="24"/>
          <w:lang w:val="en-US" w:eastAsia="zh-CN"/>
        </w:rPr>
      </w:pPr>
      <w:r>
        <w:rPr>
          <w:rFonts w:hint="eastAsia" w:ascii="宋体" w:hAnsi="宋体"/>
          <w:bCs/>
          <w:sz w:val="24"/>
          <w:szCs w:val="24"/>
          <w:lang w:val="en-US" w:eastAsia="zh-CN"/>
        </w:rPr>
        <w:t>3、定位销的标注：在手柄凹槽内标注销子牌号以及对应的RPS点名称。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Cs/>
          <w:sz w:val="24"/>
          <w:szCs w:val="24"/>
          <w:lang w:val="en-US" w:eastAsia="zh-CN"/>
        </w:rPr>
      </w:pPr>
      <w:r>
        <w:rPr>
          <w:rFonts w:hint="eastAsia" w:ascii="宋体" w:hAnsi="宋体"/>
          <w:bCs/>
          <w:sz w:val="24"/>
          <w:szCs w:val="24"/>
          <w:lang w:val="en-US" w:eastAsia="zh-CN"/>
        </w:rPr>
        <w:t>4、根据零件RPS特性，至少采用主辅2个定位销进行定位，主定位销采用圆柱或圆锥台阶型，有H标识。辅助定位销采用半圆形或菱形设计，有h标识，保证被测制件定位后不能晃动。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Cs/>
          <w:sz w:val="24"/>
          <w:szCs w:val="24"/>
          <w:lang w:val="en-US" w:eastAsia="zh-CN"/>
        </w:rPr>
      </w:pPr>
      <w:r>
        <w:rPr>
          <w:rFonts w:hint="eastAsia" w:ascii="宋体" w:hAnsi="宋体"/>
          <w:bCs/>
          <w:sz w:val="24"/>
          <w:szCs w:val="24"/>
          <w:lang w:val="en-US" w:eastAsia="zh-CN"/>
        </w:rPr>
        <w:t>5、在定位孔内，为保证定位销定位准确，需安装导向轴套，导向轴套和检具型体固定，导向轴套的中心相对于驾驶室坐标线的定位精度控制在±0.01mm 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Cs/>
          <w:sz w:val="24"/>
          <w:szCs w:val="24"/>
          <w:lang w:val="en-US" w:eastAsia="zh-CN"/>
        </w:rPr>
      </w:pPr>
      <w:r>
        <w:rPr>
          <w:rFonts w:hint="eastAsia" w:ascii="宋体" w:hAnsi="宋体"/>
          <w:bCs/>
          <w:sz w:val="24"/>
          <w:szCs w:val="24"/>
          <w:lang w:val="en-US" w:eastAsia="zh-CN"/>
        </w:rPr>
        <w:t>6、定位销和相应导向轴套的结构根据孔形状的不同，分防转结构和不防转结构。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Cs/>
          <w:sz w:val="24"/>
          <w:szCs w:val="24"/>
          <w:lang w:val="en-US" w:eastAsia="zh-CN"/>
        </w:rPr>
      </w:pPr>
      <w:r>
        <w:rPr>
          <w:rFonts w:hint="eastAsia" w:ascii="宋体" w:hAnsi="宋体"/>
          <w:bCs/>
          <w:sz w:val="24"/>
          <w:szCs w:val="24"/>
          <w:lang w:val="en-US" w:eastAsia="zh-CN"/>
        </w:rPr>
        <w:t>7、每个定位销配置可伸缩式钢丝绳，钢丝外表面用塑料包合，并将其固定于检具型体的适当位置（应靠近定位孔）。钢丝绳抗拉强度可靠，不易破坏。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Cs/>
          <w:sz w:val="24"/>
          <w:szCs w:val="24"/>
          <w:lang w:val="en-US" w:eastAsia="zh-CN"/>
        </w:rPr>
      </w:pPr>
      <w:r>
        <w:rPr>
          <w:rFonts w:hint="eastAsia" w:ascii="宋体" w:hAnsi="宋体"/>
          <w:bCs/>
          <w:sz w:val="24"/>
          <w:szCs w:val="24"/>
          <w:lang w:val="en-US" w:eastAsia="zh-CN"/>
        </w:rPr>
        <w:t>8、在检具设计图纸中，对定位销和定位孔有清晰的表述。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Cs/>
          <w:sz w:val="24"/>
          <w:szCs w:val="24"/>
          <w:lang w:val="en-US" w:eastAsia="zh-CN"/>
        </w:rPr>
      </w:pPr>
      <w:r>
        <w:rPr>
          <w:rFonts w:hint="eastAsia" w:ascii="宋体" w:hAnsi="宋体"/>
          <w:bCs/>
          <w:sz w:val="24"/>
          <w:szCs w:val="24"/>
          <w:lang w:val="en-US" w:eastAsia="zh-CN"/>
        </w:rPr>
        <w:t>B、检测销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Cs/>
          <w:sz w:val="24"/>
          <w:szCs w:val="24"/>
          <w:lang w:val="en-US" w:eastAsia="zh-CN"/>
        </w:rPr>
      </w:pPr>
      <w:r>
        <w:rPr>
          <w:rFonts w:hint="eastAsia" w:ascii="宋体" w:hAnsi="宋体"/>
          <w:bCs/>
          <w:sz w:val="24"/>
          <w:szCs w:val="24"/>
          <w:lang w:val="en-US" w:eastAsia="zh-CN"/>
        </w:rPr>
        <w:t>1、检测销用于待测孔位置度的检测。</w:t>
      </w:r>
    </w:p>
    <w:p>
      <w:pPr>
        <w:spacing w:line="360" w:lineRule="auto"/>
        <w:ind w:firstLine="480" w:firstLineChars="200"/>
        <w:jc w:val="left"/>
        <w:rPr>
          <w:rFonts w:hint="eastAsia" w:ascii="宋体" w:hAnsi="宋体"/>
          <w:bCs/>
          <w:sz w:val="24"/>
          <w:szCs w:val="24"/>
          <w:lang w:val="en-US" w:eastAsia="zh-CN"/>
        </w:rPr>
      </w:pPr>
      <w:r>
        <w:rPr>
          <w:rFonts w:hint="eastAsia" w:ascii="宋体" w:hAnsi="宋体"/>
          <w:bCs/>
          <w:sz w:val="24"/>
          <w:szCs w:val="24"/>
          <w:lang w:val="en-US" w:eastAsia="zh-CN"/>
        </w:rPr>
        <w:drawing>
          <wp:inline distT="0" distB="0" distL="114300" distR="114300">
            <wp:extent cx="5514975" cy="11811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514975" cy="1181100"/>
                    </a:xfrm>
                    <a:prstGeom prst="rect">
                      <a:avLst/>
                    </a:prstGeom>
                    <a:noFill/>
                    <a:ln>
                      <a:noFill/>
                    </a:ln>
                  </pic:spPr>
                </pic:pic>
              </a:graphicData>
            </a:graphic>
          </wp:inline>
        </w:drawing>
      </w:r>
    </w:p>
    <w:p>
      <w:pPr>
        <w:spacing w:line="360" w:lineRule="auto"/>
        <w:ind w:firstLine="480" w:firstLineChars="200"/>
        <w:jc w:val="left"/>
        <w:rPr>
          <w:rFonts w:hint="eastAsia" w:ascii="宋体" w:hAnsi="宋体"/>
          <w:bCs/>
          <w:sz w:val="24"/>
          <w:szCs w:val="24"/>
          <w:lang w:val="en-US" w:eastAsia="zh-CN"/>
        </w:rPr>
      </w:pPr>
      <w:r>
        <w:rPr>
          <w:rFonts w:hint="eastAsia" w:ascii="宋体" w:hAnsi="宋体"/>
          <w:bCs/>
          <w:sz w:val="24"/>
          <w:szCs w:val="24"/>
          <w:lang w:val="en-US" w:eastAsia="zh-CN"/>
        </w:rPr>
        <w:t xml:space="preserve">2、在检测孔内，为保证检测销能够顺利检测，需安装导向轴套，导向轴套和检具型体固定连接。 </w:t>
      </w:r>
    </w:p>
    <w:p>
      <w:pPr>
        <w:spacing w:line="360" w:lineRule="auto"/>
        <w:ind w:firstLine="480" w:firstLineChars="200"/>
        <w:jc w:val="left"/>
        <w:rPr>
          <w:rFonts w:hint="eastAsia" w:ascii="宋体" w:hAnsi="宋体"/>
          <w:bCs/>
          <w:sz w:val="24"/>
          <w:szCs w:val="24"/>
          <w:lang w:val="en-US" w:eastAsia="zh-CN"/>
        </w:rPr>
      </w:pPr>
      <w:r>
        <w:rPr>
          <w:rFonts w:hint="eastAsia" w:ascii="宋体" w:hAnsi="宋体"/>
          <w:bCs/>
          <w:sz w:val="24"/>
          <w:szCs w:val="24"/>
          <w:lang w:val="en-US" w:eastAsia="zh-CN"/>
        </w:rPr>
        <w:t>3、导向轴套的中心相对于驾驶室坐标线的定位精度控制在±0.01mm内。</w:t>
      </w:r>
    </w:p>
    <w:p>
      <w:pPr>
        <w:spacing w:line="360" w:lineRule="auto"/>
        <w:ind w:firstLine="480" w:firstLineChars="200"/>
        <w:jc w:val="left"/>
        <w:rPr>
          <w:rFonts w:hint="eastAsia" w:ascii="宋体" w:hAnsi="宋体"/>
          <w:bCs/>
          <w:sz w:val="24"/>
          <w:szCs w:val="24"/>
          <w:lang w:val="en-US" w:eastAsia="zh-CN"/>
        </w:rPr>
      </w:pPr>
      <w:r>
        <w:rPr>
          <w:rFonts w:hint="eastAsia" w:ascii="宋体" w:hAnsi="宋体"/>
          <w:bCs/>
          <w:sz w:val="24"/>
          <w:szCs w:val="24"/>
          <w:lang w:val="en-US" w:eastAsia="zh-CN"/>
        </w:rPr>
        <w:t>4、检测销和相应导向轴套的结构根据待测孔形状的不同，分防转结构和不防转结构，在孔位下设置自由面，保证检测孔在三坐标测量机测量时，测头能够顺畅进入。</w:t>
      </w:r>
    </w:p>
    <w:p>
      <w:pPr>
        <w:spacing w:line="360" w:lineRule="auto"/>
        <w:ind w:firstLine="480" w:firstLineChars="200"/>
        <w:jc w:val="left"/>
        <w:rPr>
          <w:rFonts w:hint="eastAsia" w:ascii="宋体" w:hAnsi="宋体"/>
          <w:bCs/>
          <w:sz w:val="24"/>
          <w:szCs w:val="24"/>
          <w:lang w:val="en-US" w:eastAsia="zh-CN"/>
        </w:rPr>
      </w:pPr>
      <w:r>
        <w:rPr>
          <w:rFonts w:hint="eastAsia" w:ascii="宋体" w:hAnsi="宋体"/>
          <w:bCs/>
          <w:sz w:val="24"/>
          <w:szCs w:val="24"/>
          <w:lang w:val="en-US" w:eastAsia="zh-CN"/>
        </w:rPr>
        <w:t>自由面直径：冲压件孔径+7mm；</w:t>
      </w:r>
    </w:p>
    <w:p>
      <w:pPr>
        <w:spacing w:line="360" w:lineRule="auto"/>
        <w:ind w:firstLine="480" w:firstLineChars="200"/>
        <w:jc w:val="left"/>
        <w:rPr>
          <w:rFonts w:hint="eastAsia" w:ascii="宋体" w:hAnsi="宋体"/>
          <w:bCs/>
          <w:sz w:val="24"/>
          <w:szCs w:val="24"/>
          <w:lang w:val="en-US" w:eastAsia="zh-CN"/>
        </w:rPr>
      </w:pPr>
      <w:r>
        <w:rPr>
          <w:rFonts w:hint="eastAsia" w:ascii="宋体" w:hAnsi="宋体"/>
          <w:bCs/>
          <w:sz w:val="24"/>
          <w:szCs w:val="24"/>
          <w:lang w:val="en-US" w:eastAsia="zh-CN"/>
        </w:rPr>
        <w:t>深度：从冲压件下表面起8mm。</w:t>
      </w:r>
    </w:p>
    <w:p>
      <w:pPr>
        <w:spacing w:line="360" w:lineRule="auto"/>
        <w:ind w:firstLine="480" w:firstLineChars="200"/>
        <w:jc w:val="left"/>
        <w:rPr>
          <w:rFonts w:hint="eastAsia" w:ascii="宋体" w:hAnsi="宋体"/>
          <w:bCs/>
          <w:sz w:val="24"/>
          <w:szCs w:val="24"/>
          <w:lang w:val="en-US" w:eastAsia="zh-CN"/>
        </w:rPr>
      </w:pPr>
      <w:r>
        <w:rPr>
          <w:rFonts w:hint="eastAsia" w:ascii="宋体" w:hAnsi="宋体"/>
          <w:bCs/>
          <w:sz w:val="24"/>
          <w:szCs w:val="24"/>
          <w:lang w:val="en-US" w:eastAsia="zh-CN"/>
        </w:rPr>
        <w:t>5、每个检测销配置可伸缩式钢丝绳，钢丝外表面用塑料包合，并将其固定于检具型体的适当部位（应靠近检测孔），检测销与被测孔做对应的颜色标识，便于使用。</w:t>
      </w:r>
    </w:p>
    <w:p>
      <w:pPr>
        <w:spacing w:line="360" w:lineRule="auto"/>
        <w:ind w:firstLine="480" w:firstLineChars="200"/>
        <w:jc w:val="left"/>
        <w:rPr>
          <w:rFonts w:hint="eastAsia" w:ascii="宋体" w:hAnsi="宋体"/>
          <w:bCs/>
          <w:sz w:val="24"/>
          <w:szCs w:val="24"/>
          <w:lang w:val="en-US" w:eastAsia="zh-CN"/>
        </w:rPr>
      </w:pPr>
      <w:r>
        <w:rPr>
          <w:rFonts w:hint="eastAsia" w:ascii="宋体" w:hAnsi="宋体"/>
          <w:bCs/>
          <w:sz w:val="24"/>
          <w:szCs w:val="24"/>
          <w:lang w:val="en-US" w:eastAsia="zh-CN"/>
        </w:rPr>
        <w:t>6、划线销采用40Cr材料，硬度要求HRC55以上。</w:t>
      </w:r>
    </w:p>
    <w:p>
      <w:pPr>
        <w:spacing w:line="360" w:lineRule="auto"/>
        <w:ind w:firstLine="480" w:firstLineChars="200"/>
        <w:jc w:val="left"/>
        <w:rPr>
          <w:rFonts w:hint="eastAsia" w:ascii="宋体" w:hAnsi="宋体"/>
          <w:bCs/>
          <w:sz w:val="24"/>
          <w:szCs w:val="24"/>
          <w:lang w:val="en-US" w:eastAsia="zh-CN"/>
        </w:rPr>
      </w:pPr>
      <w:r>
        <w:rPr>
          <w:rFonts w:hint="eastAsia" w:ascii="宋体" w:hAnsi="宋体"/>
          <w:bCs/>
          <w:sz w:val="24"/>
          <w:szCs w:val="24"/>
          <w:lang w:val="en-US" w:eastAsia="zh-CN"/>
        </w:rPr>
        <w:t>7、销子存放架的安置：定位销和检测销用后应安放于销子存放架的销套内，存放架安放于检具型体侧面、底板上部的适当位置。</w:t>
      </w:r>
    </w:p>
    <w:p>
      <w:pPr>
        <w:spacing w:line="360" w:lineRule="auto"/>
        <w:ind w:firstLine="480" w:firstLineChars="200"/>
        <w:jc w:val="left"/>
        <w:rPr>
          <w:rFonts w:hint="eastAsia" w:ascii="宋体" w:hAnsi="宋体"/>
          <w:bCs/>
          <w:sz w:val="24"/>
          <w:szCs w:val="24"/>
          <w:lang w:val="en-US" w:eastAsia="zh-CN"/>
        </w:rPr>
      </w:pPr>
      <w:r>
        <w:rPr>
          <w:rFonts w:hint="eastAsia" w:ascii="宋体" w:hAnsi="宋体"/>
          <w:bCs/>
          <w:sz w:val="24"/>
          <w:szCs w:val="24"/>
          <w:lang w:val="en-US" w:eastAsia="zh-CN"/>
        </w:rPr>
        <w:t>8、如果检具多于1个检测销，则在检具和销的适当位置用数字或文字对应标注，以示区别，便于使用。</w:t>
      </w:r>
    </w:p>
    <w:p>
      <w:pPr>
        <w:spacing w:line="360" w:lineRule="auto"/>
        <w:ind w:firstLine="480" w:firstLineChars="200"/>
        <w:jc w:val="left"/>
        <w:rPr>
          <w:rFonts w:hint="eastAsia" w:ascii="宋体" w:hAnsi="宋体"/>
          <w:bCs/>
          <w:sz w:val="24"/>
          <w:szCs w:val="24"/>
          <w:lang w:val="en-US" w:eastAsia="zh-CN"/>
        </w:rPr>
      </w:pPr>
      <w:r>
        <w:rPr>
          <w:rFonts w:hint="eastAsia" w:ascii="宋体" w:hAnsi="宋体"/>
          <w:bCs/>
          <w:sz w:val="24"/>
          <w:szCs w:val="24"/>
          <w:lang w:val="en-US" w:eastAsia="zh-CN"/>
        </w:rPr>
        <w:t>9、被检测零件上，对于有安装要求的孔来说，采用划线检测销检测，检测销直径比被检测孔孔径大4mm，检测销与销套插入长度≥孔径的2.5倍，且须≥20mm。对于一般功能的孔（包括异形孔）来说，采用刻线检测，刻线公差为±0.2mm；≤φ16孔制出一圈与孔径相同的刻线，＞Φ16的孔制出双刻线，外线与孔径相同、内线与外线留3mm单边间隙。采用刻线检测的所有圆形孔都要制出中心线。</w:t>
      </w:r>
    </w:p>
    <w:p>
      <w:pPr>
        <w:spacing w:line="360" w:lineRule="auto"/>
        <w:ind w:firstLine="480" w:firstLineChars="200"/>
        <w:jc w:val="left"/>
        <w:rPr>
          <w:rFonts w:hint="eastAsia" w:ascii="宋体" w:hAnsi="宋体"/>
          <w:bCs/>
          <w:sz w:val="24"/>
          <w:szCs w:val="24"/>
          <w:lang w:val="en-US" w:eastAsia="zh-CN"/>
        </w:rPr>
      </w:pPr>
      <w:r>
        <w:rPr>
          <w:rFonts w:hint="eastAsia" w:ascii="宋体" w:hAnsi="宋体"/>
          <w:bCs/>
          <w:sz w:val="24"/>
          <w:szCs w:val="24"/>
          <w:lang w:val="en-US" w:eastAsia="zh-CN"/>
        </w:rPr>
        <w:t>10、划线销长度适中，不得出现销尖无法接触到制件，导致无法划线情况。</w:t>
      </w:r>
    </w:p>
    <w:p>
      <w:pPr>
        <w:spacing w:line="360" w:lineRule="auto"/>
        <w:ind w:firstLine="480" w:firstLineChars="200"/>
        <w:jc w:val="left"/>
        <w:rPr>
          <w:rFonts w:hint="eastAsia" w:ascii="宋体" w:hAnsi="宋体"/>
          <w:bCs/>
          <w:sz w:val="24"/>
          <w:szCs w:val="24"/>
          <w:lang w:val="en-US" w:eastAsia="zh-CN"/>
        </w:rPr>
      </w:pPr>
      <w:r>
        <w:rPr>
          <w:rFonts w:hint="eastAsia" w:ascii="宋体" w:hAnsi="宋体"/>
          <w:bCs/>
          <w:sz w:val="24"/>
          <w:szCs w:val="24"/>
          <w:lang w:val="en-US" w:eastAsia="zh-CN"/>
        </w:rPr>
        <w:t>11、为了保证各种销（划线销、检测销、定位销等）在高温潮湿环境下的正常使用，各销体表面进行防锈处理，处理方式为表面镀铬或经招标方评审批准后确定。</w:t>
      </w:r>
    </w:p>
    <w:p>
      <w:pPr>
        <w:spacing w:line="360" w:lineRule="auto"/>
        <w:ind w:firstLine="480" w:firstLineChars="200"/>
        <w:jc w:val="left"/>
        <w:rPr>
          <w:rFonts w:hint="eastAsia" w:ascii="宋体" w:hAnsi="宋体"/>
          <w:bCs/>
          <w:sz w:val="24"/>
          <w:szCs w:val="24"/>
          <w:lang w:val="en-US" w:eastAsia="zh-CN"/>
        </w:rPr>
      </w:pPr>
      <w:r>
        <w:rPr>
          <w:rFonts w:hint="eastAsia" w:ascii="宋体" w:hAnsi="宋体"/>
          <w:bCs/>
          <w:sz w:val="24"/>
          <w:szCs w:val="24"/>
          <w:lang w:val="en-US" w:eastAsia="zh-CN"/>
        </w:rPr>
        <w:t>C、夹头装置</w:t>
      </w:r>
    </w:p>
    <w:p>
      <w:pPr>
        <w:spacing w:line="360" w:lineRule="auto"/>
        <w:ind w:firstLine="480" w:firstLineChars="200"/>
        <w:jc w:val="left"/>
        <w:rPr>
          <w:rFonts w:hint="eastAsia" w:ascii="宋体" w:hAnsi="宋体"/>
          <w:bCs/>
          <w:sz w:val="24"/>
          <w:szCs w:val="24"/>
          <w:lang w:val="en-US" w:eastAsia="zh-CN"/>
        </w:rPr>
      </w:pPr>
      <w:r>
        <w:rPr>
          <w:rFonts w:hint="eastAsia" w:ascii="宋体" w:hAnsi="宋体"/>
          <w:bCs/>
          <w:sz w:val="24"/>
          <w:szCs w:val="24"/>
          <w:lang w:val="en-US" w:eastAsia="zh-CN"/>
        </w:rPr>
        <w:t>1、为了固定零件，在定位面和支撑面区域配置快速夹头。</w:t>
      </w:r>
    </w:p>
    <w:p>
      <w:pPr>
        <w:spacing w:line="360" w:lineRule="auto"/>
        <w:ind w:firstLine="480" w:firstLineChars="200"/>
        <w:jc w:val="left"/>
        <w:rPr>
          <w:rFonts w:hint="eastAsia" w:ascii="宋体" w:hAnsi="宋体"/>
          <w:bCs/>
          <w:sz w:val="24"/>
          <w:szCs w:val="24"/>
          <w:lang w:val="en-US" w:eastAsia="zh-CN"/>
        </w:rPr>
      </w:pPr>
      <w:r>
        <w:rPr>
          <w:rFonts w:hint="eastAsia" w:ascii="宋体" w:hAnsi="宋体"/>
          <w:bCs/>
          <w:sz w:val="24"/>
          <w:szCs w:val="24"/>
          <w:lang w:val="en-US" w:eastAsia="zh-CN"/>
        </w:rPr>
        <w:t>2、手动夹紧装置应设置在检具的合理位置，操作灵活，锁紧稳定可靠，不与其它构件发生干涉，夹紧方向应与零件面垂直。</w:t>
      </w:r>
    </w:p>
    <w:p>
      <w:pPr>
        <w:spacing w:line="360" w:lineRule="auto"/>
        <w:ind w:firstLine="480" w:firstLineChars="200"/>
        <w:jc w:val="left"/>
        <w:rPr>
          <w:rFonts w:hint="eastAsia" w:ascii="宋体" w:hAnsi="宋体"/>
          <w:bCs/>
          <w:sz w:val="24"/>
          <w:szCs w:val="24"/>
          <w:lang w:val="en-US" w:eastAsia="zh-CN"/>
        </w:rPr>
      </w:pPr>
      <w:r>
        <w:rPr>
          <w:rFonts w:hint="eastAsia" w:ascii="宋体" w:hAnsi="宋体"/>
          <w:bCs/>
          <w:sz w:val="24"/>
          <w:szCs w:val="24"/>
          <w:lang w:val="en-US" w:eastAsia="zh-CN"/>
        </w:rPr>
        <w:t>3、夹头装置通常直接用螺栓固定于检具底座上表面的适当位置或通过焊接梁、铸梁过渡连接。夹紧装置的位置反映了零件的RPS位置和数量。</w:t>
      </w:r>
    </w:p>
    <w:p>
      <w:pPr>
        <w:spacing w:line="360" w:lineRule="auto"/>
        <w:ind w:firstLine="480" w:firstLineChars="200"/>
        <w:jc w:val="left"/>
        <w:rPr>
          <w:rFonts w:hint="eastAsia" w:ascii="宋体" w:hAnsi="宋体"/>
          <w:bCs/>
          <w:sz w:val="24"/>
          <w:szCs w:val="24"/>
          <w:lang w:val="en-US" w:eastAsia="zh-CN"/>
        </w:rPr>
      </w:pPr>
      <w:r>
        <w:rPr>
          <w:rFonts w:hint="eastAsia" w:ascii="宋体" w:hAnsi="宋体"/>
          <w:bCs/>
          <w:sz w:val="24"/>
          <w:szCs w:val="24"/>
          <w:lang w:val="en-US" w:eastAsia="zh-CN"/>
        </w:rPr>
        <w:t>4、在夹头装置的排列和布置中，应注意：</w:t>
      </w:r>
    </w:p>
    <w:p>
      <w:pPr>
        <w:spacing w:line="360" w:lineRule="auto"/>
        <w:ind w:firstLine="480" w:firstLineChars="200"/>
        <w:jc w:val="left"/>
        <w:rPr>
          <w:rFonts w:hint="eastAsia" w:ascii="宋体" w:hAnsi="宋体"/>
          <w:bCs/>
          <w:sz w:val="24"/>
          <w:szCs w:val="24"/>
          <w:lang w:val="en-US" w:eastAsia="zh-CN"/>
        </w:rPr>
      </w:pPr>
      <w:r>
        <w:rPr>
          <w:rFonts w:hint="eastAsia" w:ascii="宋体" w:hAnsi="宋体"/>
          <w:bCs/>
          <w:sz w:val="24"/>
          <w:szCs w:val="24"/>
          <w:lang w:val="en-US" w:eastAsia="zh-CN"/>
        </w:rPr>
        <w:t>夹头松开并恢复到起始位置状态下，有足够的空间保证零件无干扰地安放和取走，夹紧及松开中要充分考虑手、手臂的安全，避免在操作过程中造成对人体的伤害。有足够的空间提供夹头在检具上实现空间无干扰曲线运动。</w:t>
      </w:r>
    </w:p>
    <w:p>
      <w:pPr>
        <w:spacing w:line="360" w:lineRule="auto"/>
        <w:ind w:firstLine="480" w:firstLineChars="200"/>
        <w:jc w:val="left"/>
        <w:rPr>
          <w:rFonts w:hint="eastAsia" w:ascii="宋体" w:hAnsi="宋体"/>
          <w:bCs/>
          <w:sz w:val="24"/>
          <w:szCs w:val="24"/>
          <w:lang w:val="en-US" w:eastAsia="zh-CN"/>
        </w:rPr>
      </w:pPr>
      <w:r>
        <w:rPr>
          <w:rFonts w:hint="eastAsia" w:ascii="宋体" w:hAnsi="宋体"/>
          <w:bCs/>
          <w:sz w:val="24"/>
          <w:szCs w:val="24"/>
          <w:lang w:val="en-US" w:eastAsia="zh-CN"/>
        </w:rPr>
        <w:t>5、夹头的有效运动轨迹在工装图纸中予以详细表明。</w:t>
      </w:r>
    </w:p>
    <w:p>
      <w:pPr>
        <w:spacing w:line="360" w:lineRule="auto"/>
        <w:ind w:firstLine="480" w:firstLineChars="200"/>
        <w:jc w:val="left"/>
        <w:rPr>
          <w:rFonts w:hint="eastAsia" w:ascii="宋体" w:hAnsi="宋体"/>
          <w:bCs/>
          <w:sz w:val="24"/>
          <w:szCs w:val="24"/>
          <w:lang w:val="en-US" w:eastAsia="zh-CN"/>
        </w:rPr>
      </w:pPr>
      <w:r>
        <w:rPr>
          <w:rFonts w:hint="eastAsia" w:ascii="宋体" w:hAnsi="宋体"/>
          <w:bCs/>
          <w:sz w:val="24"/>
          <w:szCs w:val="24"/>
          <w:lang w:val="en-US" w:eastAsia="zh-CN"/>
        </w:rPr>
        <w:t>6、夹头和工件表面的接触应保证：夹头对工件只起到固定作用，禁止出现夹紧变形作用（原则上夹紧力不大于5N）。</w:t>
      </w:r>
    </w:p>
    <w:p>
      <w:pPr>
        <w:spacing w:line="360" w:lineRule="auto"/>
        <w:ind w:firstLine="480" w:firstLineChars="200"/>
        <w:jc w:val="left"/>
        <w:rPr>
          <w:rFonts w:hint="eastAsia" w:ascii="宋体" w:hAnsi="宋体"/>
          <w:bCs/>
          <w:sz w:val="24"/>
          <w:szCs w:val="24"/>
          <w:lang w:val="en-US" w:eastAsia="zh-CN"/>
        </w:rPr>
      </w:pPr>
      <w:r>
        <w:rPr>
          <w:rFonts w:hint="eastAsia" w:ascii="宋体" w:hAnsi="宋体"/>
          <w:bCs/>
          <w:sz w:val="24"/>
          <w:szCs w:val="24"/>
          <w:lang w:val="en-US" w:eastAsia="zh-CN"/>
        </w:rPr>
        <w:t>7、夹紧器下面必须设有定位S面，夹持点不允许悬空。</w:t>
      </w:r>
    </w:p>
    <w:p>
      <w:pPr>
        <w:spacing w:line="360" w:lineRule="auto"/>
        <w:ind w:firstLine="480" w:firstLineChars="200"/>
        <w:jc w:val="left"/>
        <w:rPr>
          <w:rFonts w:hint="eastAsia" w:ascii="宋体" w:hAnsi="宋体"/>
          <w:bCs/>
          <w:sz w:val="24"/>
          <w:szCs w:val="24"/>
          <w:lang w:val="en-US" w:eastAsia="zh-CN"/>
        </w:rPr>
      </w:pPr>
      <w:r>
        <w:rPr>
          <w:rFonts w:hint="eastAsia" w:ascii="宋体" w:hAnsi="宋体"/>
          <w:bCs/>
          <w:sz w:val="24"/>
          <w:szCs w:val="24"/>
          <w:lang w:val="en-US" w:eastAsia="zh-CN"/>
        </w:rPr>
        <w:t>D、滚轮和底脚</w:t>
      </w:r>
    </w:p>
    <w:p>
      <w:pPr>
        <w:spacing w:line="360" w:lineRule="auto"/>
        <w:ind w:firstLine="480" w:firstLineChars="200"/>
        <w:jc w:val="left"/>
        <w:rPr>
          <w:rFonts w:hint="eastAsia" w:ascii="宋体" w:hAnsi="宋体"/>
          <w:bCs/>
          <w:sz w:val="24"/>
          <w:szCs w:val="24"/>
          <w:lang w:val="en-US" w:eastAsia="zh-CN"/>
        </w:rPr>
      </w:pPr>
      <w:r>
        <w:rPr>
          <w:rFonts w:hint="eastAsia" w:ascii="宋体" w:hAnsi="宋体"/>
          <w:bCs/>
          <w:sz w:val="24"/>
          <w:szCs w:val="24"/>
          <w:lang w:val="en-US" w:eastAsia="zh-CN"/>
        </w:rPr>
        <w:t>1、底座上滚轮一般为前后各2个，前轮为万向轮，后轮为定向轮。所有的滚轮均具有自锁功能，用于检具的搬运，尺寸较大的检具需增加滚轮个数，以保证搬运过程中不会出现变形。</w:t>
      </w:r>
    </w:p>
    <w:p>
      <w:pPr>
        <w:spacing w:line="360" w:lineRule="auto"/>
        <w:ind w:firstLine="480" w:firstLineChars="200"/>
        <w:jc w:val="left"/>
        <w:rPr>
          <w:rFonts w:hint="eastAsia" w:ascii="宋体" w:hAnsi="宋体"/>
          <w:bCs/>
          <w:sz w:val="24"/>
          <w:szCs w:val="24"/>
          <w:lang w:val="en-US" w:eastAsia="zh-CN"/>
        </w:rPr>
      </w:pPr>
      <w:r>
        <w:rPr>
          <w:rFonts w:hint="eastAsia" w:ascii="宋体" w:hAnsi="宋体"/>
          <w:bCs/>
          <w:sz w:val="24"/>
          <w:szCs w:val="24"/>
          <w:lang w:val="en-US" w:eastAsia="zh-CN"/>
        </w:rPr>
        <w:t>2、大型检具采用橡胶滚轮，便于搬运。</w:t>
      </w:r>
    </w:p>
    <w:p>
      <w:pPr>
        <w:spacing w:line="360" w:lineRule="auto"/>
        <w:ind w:firstLine="480" w:firstLineChars="200"/>
        <w:jc w:val="left"/>
        <w:rPr>
          <w:rFonts w:hint="eastAsia" w:ascii="宋体" w:hAnsi="宋体"/>
          <w:bCs/>
          <w:sz w:val="24"/>
          <w:szCs w:val="24"/>
          <w:lang w:val="en-US" w:eastAsia="zh-CN"/>
        </w:rPr>
      </w:pPr>
      <w:r>
        <w:rPr>
          <w:rFonts w:hint="eastAsia" w:ascii="宋体" w:hAnsi="宋体"/>
          <w:bCs/>
          <w:sz w:val="24"/>
          <w:szCs w:val="24"/>
          <w:lang w:val="en-US" w:eastAsia="zh-CN"/>
        </w:rPr>
        <w:t>3、为便于检具用后安全存储及保护，底板各向基准面必须设置可调节式地脚支撑，支撑点数量根据检具体尺寸大小设定，保证长期存放不会产生变形。</w:t>
      </w:r>
    </w:p>
    <w:p>
      <w:pPr>
        <w:spacing w:line="360" w:lineRule="auto"/>
        <w:ind w:firstLine="480" w:firstLineChars="200"/>
        <w:jc w:val="left"/>
        <w:rPr>
          <w:rFonts w:hint="eastAsia" w:ascii="宋体" w:hAnsi="宋体"/>
          <w:bCs/>
          <w:sz w:val="24"/>
          <w:szCs w:val="24"/>
          <w:lang w:val="en-US" w:eastAsia="zh-CN"/>
        </w:rPr>
      </w:pPr>
      <w:r>
        <w:rPr>
          <w:rFonts w:hint="eastAsia" w:ascii="宋体" w:hAnsi="宋体"/>
          <w:bCs/>
          <w:sz w:val="24"/>
          <w:szCs w:val="24"/>
          <w:lang w:val="en-US" w:eastAsia="zh-CN"/>
        </w:rPr>
        <w:t>E、叉车孔</w:t>
      </w:r>
    </w:p>
    <w:p>
      <w:pPr>
        <w:spacing w:line="360" w:lineRule="auto"/>
        <w:ind w:firstLine="480" w:firstLineChars="200"/>
        <w:jc w:val="left"/>
        <w:rPr>
          <w:rFonts w:hint="eastAsia" w:ascii="宋体" w:hAnsi="宋体"/>
          <w:bCs/>
          <w:sz w:val="24"/>
          <w:szCs w:val="24"/>
          <w:lang w:val="en-US" w:eastAsia="zh-CN"/>
        </w:rPr>
      </w:pPr>
      <w:r>
        <w:rPr>
          <w:rFonts w:hint="eastAsia" w:ascii="宋体" w:hAnsi="宋体"/>
          <w:bCs/>
          <w:sz w:val="24"/>
          <w:szCs w:val="24"/>
          <w:lang w:val="en-US" w:eastAsia="zh-CN"/>
        </w:rPr>
        <w:t>叉车叉子能够方便伸入，叉车孔为侧面成双结构，设计时要考虑最大承载力和叉车的尺寸规格。</w:t>
      </w:r>
    </w:p>
    <w:p>
      <w:pPr>
        <w:spacing w:line="360" w:lineRule="auto"/>
        <w:ind w:firstLine="480" w:firstLineChars="200"/>
        <w:jc w:val="left"/>
        <w:rPr>
          <w:rFonts w:hint="eastAsia" w:ascii="宋体" w:hAnsi="宋体"/>
          <w:bCs/>
          <w:sz w:val="24"/>
          <w:szCs w:val="24"/>
          <w:lang w:val="en-US" w:eastAsia="zh-CN"/>
        </w:rPr>
      </w:pPr>
      <w:r>
        <w:rPr>
          <w:rFonts w:hint="eastAsia" w:ascii="宋体" w:hAnsi="宋体"/>
          <w:bCs/>
          <w:sz w:val="24"/>
          <w:szCs w:val="24"/>
          <w:lang w:val="en-US" w:eastAsia="zh-CN"/>
        </w:rPr>
        <w:t>F、吊耳</w:t>
      </w:r>
    </w:p>
    <w:p>
      <w:pPr>
        <w:spacing w:line="360" w:lineRule="auto"/>
        <w:ind w:firstLine="480" w:firstLineChars="200"/>
        <w:jc w:val="left"/>
        <w:rPr>
          <w:rFonts w:hint="eastAsia" w:ascii="宋体" w:hAnsi="宋体"/>
          <w:bCs/>
          <w:sz w:val="24"/>
          <w:szCs w:val="24"/>
          <w:lang w:val="en-US" w:eastAsia="zh-CN"/>
        </w:rPr>
      </w:pPr>
      <w:r>
        <w:rPr>
          <w:rFonts w:hint="eastAsia" w:ascii="宋体" w:hAnsi="宋体"/>
          <w:bCs/>
          <w:sz w:val="24"/>
          <w:szCs w:val="24"/>
          <w:lang w:val="en-US" w:eastAsia="zh-CN"/>
        </w:rPr>
        <w:t>保证在检具运输时，吊绳不会影响检具型体及功能部件，也不能影响任何测量元素。所有检具都需设置起重装置，方式为固定式。</w:t>
      </w:r>
    </w:p>
    <w:p>
      <w:pPr>
        <w:spacing w:line="360" w:lineRule="auto"/>
        <w:ind w:firstLine="480" w:firstLineChars="200"/>
        <w:jc w:val="left"/>
        <w:rPr>
          <w:rFonts w:hint="eastAsia" w:ascii="宋体" w:hAnsi="宋体"/>
          <w:bCs/>
          <w:sz w:val="24"/>
          <w:szCs w:val="24"/>
          <w:lang w:val="en-US" w:eastAsia="zh-CN"/>
        </w:rPr>
      </w:pPr>
      <w:r>
        <w:rPr>
          <w:rFonts w:hint="eastAsia" w:ascii="宋体" w:hAnsi="宋体"/>
          <w:bCs/>
          <w:sz w:val="24"/>
          <w:szCs w:val="24"/>
          <w:lang w:val="en-US" w:eastAsia="zh-CN"/>
        </w:rPr>
        <w:t>G、检具定位装置</w:t>
      </w:r>
    </w:p>
    <w:p>
      <w:pPr>
        <w:spacing w:line="360" w:lineRule="auto"/>
        <w:ind w:firstLine="480" w:firstLineChars="200"/>
        <w:jc w:val="left"/>
        <w:rPr>
          <w:rFonts w:hint="eastAsia" w:ascii="宋体" w:hAnsi="宋体"/>
          <w:bCs/>
          <w:sz w:val="24"/>
          <w:szCs w:val="24"/>
          <w:lang w:val="en-US" w:eastAsia="zh-CN"/>
        </w:rPr>
      </w:pPr>
      <w:r>
        <w:rPr>
          <w:rFonts w:hint="eastAsia" w:ascii="宋体" w:hAnsi="宋体"/>
          <w:bCs/>
          <w:sz w:val="24"/>
          <w:szCs w:val="24"/>
          <w:lang w:val="en-US" w:eastAsia="zh-CN"/>
        </w:rPr>
        <w:t xml:space="preserve">检具定位应稳定、可靠，最好采用多孔定位，受制件限制采用一孔一面定位时，主定位孔用锁紧销定位。  </w:t>
      </w:r>
    </w:p>
    <w:p>
      <w:pPr>
        <w:spacing w:line="360" w:lineRule="auto"/>
        <w:ind w:firstLine="480" w:firstLineChars="200"/>
        <w:jc w:val="left"/>
        <w:rPr>
          <w:rFonts w:hint="eastAsia" w:ascii="宋体" w:hAnsi="宋体"/>
          <w:bCs/>
          <w:sz w:val="24"/>
          <w:szCs w:val="24"/>
          <w:lang w:val="en-US" w:eastAsia="zh-CN"/>
        </w:rPr>
      </w:pPr>
      <w:r>
        <w:rPr>
          <w:rFonts w:hint="eastAsia" w:ascii="宋体" w:hAnsi="宋体"/>
          <w:bCs/>
          <w:sz w:val="24"/>
          <w:szCs w:val="24"/>
          <w:lang w:val="en-US" w:eastAsia="zh-CN"/>
        </w:rPr>
        <w:t>H、定位面和支撑面</w:t>
      </w:r>
    </w:p>
    <w:p>
      <w:pPr>
        <w:spacing w:line="360" w:lineRule="auto"/>
        <w:ind w:firstLine="480" w:firstLineChars="200"/>
        <w:jc w:val="left"/>
        <w:rPr>
          <w:rFonts w:hint="eastAsia" w:ascii="宋体" w:hAnsi="宋体"/>
          <w:bCs/>
          <w:sz w:val="24"/>
          <w:szCs w:val="24"/>
          <w:lang w:val="en-US" w:eastAsia="zh-CN"/>
        </w:rPr>
      </w:pPr>
      <w:r>
        <w:rPr>
          <w:rFonts w:hint="eastAsia" w:ascii="宋体" w:hAnsi="宋体"/>
          <w:bCs/>
          <w:sz w:val="24"/>
          <w:szCs w:val="24"/>
          <w:lang w:val="en-US" w:eastAsia="zh-CN"/>
        </w:rPr>
        <w:t>1、定位面和支撑面在检具上根据RPS点布置，并精确地反映相应的RPS点位置。必要时考虑过定位，以增加零件的稳定性。</w:t>
      </w:r>
    </w:p>
    <w:p>
      <w:pPr>
        <w:spacing w:line="360" w:lineRule="auto"/>
        <w:ind w:firstLine="480" w:firstLineChars="200"/>
        <w:jc w:val="left"/>
        <w:rPr>
          <w:rFonts w:hint="eastAsia" w:ascii="宋体" w:hAnsi="宋体"/>
          <w:bCs/>
          <w:sz w:val="24"/>
          <w:szCs w:val="24"/>
          <w:lang w:val="en-US" w:eastAsia="zh-CN"/>
        </w:rPr>
      </w:pPr>
      <w:r>
        <w:rPr>
          <w:rFonts w:hint="eastAsia" w:ascii="宋体" w:hAnsi="宋体"/>
          <w:bCs/>
          <w:sz w:val="24"/>
          <w:szCs w:val="24"/>
          <w:lang w:val="en-US" w:eastAsia="zh-CN"/>
        </w:rPr>
        <w:t>2、定位面和支撑面，通常为可拆卸式Φ10×δ3mm或Φ8×δ3mm圆形垫块结构，垫块用光滑钢件或硬铝制作，并与基体用螺纹形式牢固连接，如有特殊情况需详细说明。</w:t>
      </w:r>
    </w:p>
    <w:p>
      <w:pPr>
        <w:spacing w:line="360" w:lineRule="auto"/>
        <w:ind w:firstLine="480" w:firstLineChars="200"/>
        <w:jc w:val="left"/>
        <w:rPr>
          <w:rFonts w:hint="eastAsia" w:ascii="宋体" w:hAnsi="宋体"/>
          <w:bCs/>
          <w:sz w:val="24"/>
          <w:szCs w:val="24"/>
          <w:lang w:val="en-US" w:eastAsia="zh-CN"/>
        </w:rPr>
      </w:pPr>
      <w:r>
        <w:rPr>
          <w:rFonts w:hint="eastAsia" w:ascii="宋体" w:hAnsi="宋体"/>
          <w:bCs/>
          <w:sz w:val="24"/>
          <w:szCs w:val="24"/>
          <w:lang w:val="en-US" w:eastAsia="zh-CN"/>
        </w:rPr>
        <w:t>I、检测面</w:t>
      </w:r>
    </w:p>
    <w:p>
      <w:pPr>
        <w:spacing w:line="360" w:lineRule="auto"/>
        <w:ind w:firstLine="480" w:firstLineChars="200"/>
        <w:jc w:val="left"/>
        <w:rPr>
          <w:rFonts w:hint="eastAsia" w:ascii="宋体" w:hAnsi="宋体"/>
          <w:bCs/>
          <w:sz w:val="24"/>
          <w:szCs w:val="24"/>
          <w:lang w:val="en-US" w:eastAsia="zh-CN"/>
        </w:rPr>
      </w:pPr>
      <w:r>
        <w:rPr>
          <w:rFonts w:hint="eastAsia" w:ascii="宋体" w:hAnsi="宋体"/>
          <w:bCs/>
          <w:sz w:val="24"/>
          <w:szCs w:val="24"/>
          <w:lang w:val="en-US" w:eastAsia="zh-CN"/>
        </w:rPr>
        <w:t>各种类型零件的周边，翻边和零件断面的检测可以通过设置检具检测面来实现，检测内容包括：零件等距离3mm间隙检测和周边平整度检测。因此在型体上必须按产品数据加工出3mm的间隙检测面和周边平整度检测面，同时在相应检测面下部贴上提示铭牌或标识，当零件切边延伸做模拟块齐平与底板面出现负角时候允许采用周边0&amp;3刻线测量零件切边。</w:t>
      </w:r>
    </w:p>
    <w:p>
      <w:pPr>
        <w:spacing w:line="360" w:lineRule="auto"/>
        <w:ind w:firstLine="480" w:firstLineChars="200"/>
        <w:jc w:val="left"/>
        <w:rPr>
          <w:rFonts w:hint="eastAsia" w:ascii="宋体" w:hAnsi="宋体"/>
          <w:bCs/>
          <w:sz w:val="24"/>
          <w:szCs w:val="24"/>
          <w:lang w:val="en-US" w:eastAsia="zh-CN"/>
        </w:rPr>
      </w:pPr>
      <w:r>
        <w:rPr>
          <w:rFonts w:hint="eastAsia" w:ascii="宋体" w:hAnsi="宋体"/>
          <w:bCs/>
          <w:sz w:val="24"/>
          <w:szCs w:val="24"/>
          <w:lang w:val="en-US" w:eastAsia="zh-CN"/>
        </w:rPr>
        <w:t>J、可移动的形状规（卡板）</w:t>
      </w:r>
    </w:p>
    <w:p>
      <w:pPr>
        <w:spacing w:line="360" w:lineRule="auto"/>
        <w:ind w:firstLine="480" w:firstLineChars="200"/>
        <w:jc w:val="left"/>
        <w:rPr>
          <w:rFonts w:hint="eastAsia" w:ascii="宋体" w:hAnsi="宋体"/>
          <w:bCs/>
          <w:sz w:val="24"/>
          <w:szCs w:val="24"/>
          <w:lang w:val="en-US" w:eastAsia="zh-CN"/>
        </w:rPr>
      </w:pPr>
      <w:r>
        <w:rPr>
          <w:rFonts w:hint="eastAsia" w:ascii="宋体" w:hAnsi="宋体"/>
          <w:bCs/>
          <w:sz w:val="24"/>
          <w:szCs w:val="24"/>
          <w:lang w:val="en-US" w:eastAsia="zh-CN"/>
        </w:rPr>
        <w:t>尽量采用摆动的形状规，检查零件重要配合面的轮廓，检测刃口2mm。如果形状规尺寸过大或与其他部件发生干涉时可采用插入式，材料为铝板或不朽钢板。卡板材料可以采用6mm铝合金板。</w:t>
      </w:r>
    </w:p>
    <w:p>
      <w:pPr>
        <w:spacing w:line="360" w:lineRule="auto"/>
        <w:ind w:firstLine="480" w:firstLineChars="200"/>
        <w:jc w:val="left"/>
        <w:rPr>
          <w:rFonts w:hint="eastAsia" w:ascii="宋体" w:hAnsi="宋体"/>
          <w:bCs/>
          <w:sz w:val="24"/>
          <w:szCs w:val="24"/>
          <w:lang w:val="en-US" w:eastAsia="zh-CN"/>
        </w:rPr>
      </w:pPr>
      <w:r>
        <w:rPr>
          <w:rFonts w:hint="eastAsia" w:ascii="宋体" w:hAnsi="宋体"/>
          <w:bCs/>
          <w:sz w:val="24"/>
          <w:szCs w:val="24"/>
          <w:lang w:val="en-US" w:eastAsia="zh-CN"/>
        </w:rPr>
        <w:t>K、活动拼块</w:t>
      </w:r>
    </w:p>
    <w:p>
      <w:pPr>
        <w:spacing w:line="360" w:lineRule="auto"/>
        <w:ind w:firstLine="480" w:firstLineChars="200"/>
        <w:jc w:val="left"/>
        <w:rPr>
          <w:rFonts w:hint="eastAsia" w:ascii="宋体" w:hAnsi="宋体"/>
          <w:bCs/>
          <w:sz w:val="24"/>
          <w:szCs w:val="24"/>
          <w:lang w:val="en-US" w:eastAsia="zh-CN"/>
        </w:rPr>
      </w:pPr>
      <w:r>
        <w:rPr>
          <w:rFonts w:hint="eastAsia" w:ascii="宋体" w:hAnsi="宋体"/>
          <w:bCs/>
          <w:sz w:val="24"/>
          <w:szCs w:val="24"/>
          <w:lang w:val="en-US" w:eastAsia="zh-CN"/>
        </w:rPr>
        <w:t>对于零件上重要的表面，在结构限制的情况下可以采用活动拼块来检验其平整度。每一个活动拼块至少要有两个导管或导柱，导管或导柱的间距不大于200mm。</w:t>
      </w:r>
    </w:p>
    <w:p>
      <w:pPr>
        <w:spacing w:line="360" w:lineRule="auto"/>
        <w:ind w:firstLine="480" w:firstLineChars="200"/>
        <w:jc w:val="left"/>
        <w:rPr>
          <w:rFonts w:hint="eastAsia" w:ascii="宋体" w:hAnsi="宋体"/>
          <w:bCs/>
          <w:sz w:val="24"/>
          <w:szCs w:val="24"/>
          <w:lang w:val="en-US" w:eastAsia="zh-CN"/>
        </w:rPr>
      </w:pPr>
      <w:r>
        <w:rPr>
          <w:rFonts w:hint="eastAsia" w:ascii="宋体" w:hAnsi="宋体"/>
          <w:bCs/>
          <w:sz w:val="24"/>
          <w:szCs w:val="24"/>
          <w:lang w:val="en-US" w:eastAsia="zh-CN"/>
        </w:rPr>
        <w:t>L、检具的色标</w:t>
      </w:r>
    </w:p>
    <w:p>
      <w:pPr>
        <w:spacing w:line="360" w:lineRule="auto"/>
        <w:ind w:firstLine="480" w:firstLineChars="200"/>
        <w:jc w:val="left"/>
        <w:rPr>
          <w:rFonts w:hint="eastAsia" w:ascii="宋体" w:hAnsi="宋体"/>
          <w:bCs/>
          <w:sz w:val="24"/>
          <w:szCs w:val="24"/>
          <w:lang w:val="en-US" w:eastAsia="zh-CN"/>
        </w:rPr>
      </w:pPr>
      <w:r>
        <w:rPr>
          <w:rFonts w:hint="eastAsia" w:ascii="宋体" w:hAnsi="宋体"/>
          <w:bCs/>
          <w:sz w:val="24"/>
          <w:szCs w:val="24"/>
          <w:lang w:val="en-US" w:eastAsia="zh-CN"/>
        </w:rPr>
        <w:t>检具需按着色要求进行涂色（可按照下表提出着色要求），涂覆所有易生锈的非检验用钢制零件，不能选用在正常使用和搬运中轻易擦除的涂料，要保证各零部件得到长期保护，且不能影响检具精度。</w:t>
      </w:r>
    </w:p>
    <w:tbl>
      <w:tblPr>
        <w:tblStyle w:val="76"/>
        <w:tblW w:w="88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885"/>
        <w:gridCol w:w="900"/>
        <w:gridCol w:w="2162"/>
        <w:gridCol w:w="1013"/>
        <w:gridCol w:w="913"/>
        <w:gridCol w:w="962"/>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8" w:type="dxa"/>
            <w:vMerge w:val="restart"/>
            <w:noWrap w:val="0"/>
            <w:vAlign w:val="center"/>
          </w:tcPr>
          <w:p>
            <w:pPr>
              <w:spacing w:line="240" w:lineRule="auto"/>
              <w:jc w:val="center"/>
              <w:rPr>
                <w:rFonts w:hint="eastAsia" w:ascii="宋体" w:hAnsi="宋体"/>
                <w:bCs/>
                <w:sz w:val="24"/>
                <w:szCs w:val="24"/>
                <w:lang w:val="en-US" w:eastAsia="zh-CN"/>
              </w:rPr>
            </w:pPr>
            <w:r>
              <w:rPr>
                <w:rFonts w:hint="eastAsia" w:ascii="宋体" w:hAnsi="宋体"/>
                <w:bCs/>
                <w:sz w:val="24"/>
                <w:szCs w:val="24"/>
                <w:lang w:val="en-US" w:eastAsia="zh-CN"/>
              </w:rPr>
              <w:t>涂色部位</w:t>
            </w:r>
          </w:p>
        </w:tc>
        <w:tc>
          <w:tcPr>
            <w:tcW w:w="3947" w:type="dxa"/>
            <w:gridSpan w:val="3"/>
            <w:noWrap w:val="0"/>
            <w:vAlign w:val="center"/>
          </w:tcPr>
          <w:p>
            <w:pPr>
              <w:spacing w:line="240" w:lineRule="auto"/>
              <w:jc w:val="center"/>
              <w:rPr>
                <w:rFonts w:hint="eastAsia" w:ascii="宋体" w:hAnsi="宋体"/>
                <w:bCs/>
                <w:sz w:val="24"/>
                <w:szCs w:val="24"/>
                <w:lang w:val="en-US" w:eastAsia="zh-CN"/>
              </w:rPr>
            </w:pPr>
            <w:r>
              <w:rPr>
                <w:rFonts w:hint="eastAsia" w:ascii="宋体" w:hAnsi="宋体"/>
                <w:bCs/>
                <w:sz w:val="24"/>
                <w:szCs w:val="24"/>
                <w:lang w:val="en-US" w:eastAsia="zh-CN"/>
              </w:rPr>
              <w:t>间隙表面</w:t>
            </w:r>
          </w:p>
        </w:tc>
        <w:tc>
          <w:tcPr>
            <w:tcW w:w="1013" w:type="dxa"/>
            <w:vMerge w:val="restart"/>
            <w:noWrap w:val="0"/>
            <w:vAlign w:val="center"/>
          </w:tcPr>
          <w:p>
            <w:pPr>
              <w:spacing w:line="240" w:lineRule="auto"/>
              <w:jc w:val="center"/>
              <w:rPr>
                <w:rFonts w:hint="eastAsia" w:ascii="宋体" w:hAnsi="宋体"/>
                <w:bCs/>
                <w:sz w:val="24"/>
                <w:szCs w:val="24"/>
                <w:lang w:val="en-US" w:eastAsia="zh-CN"/>
              </w:rPr>
            </w:pPr>
            <w:r>
              <w:rPr>
                <w:rFonts w:hint="eastAsia" w:ascii="宋体" w:hAnsi="宋体"/>
                <w:bCs/>
                <w:sz w:val="24"/>
                <w:szCs w:val="24"/>
                <w:lang w:val="en-US" w:eastAsia="zh-CN"/>
              </w:rPr>
              <w:t>外露面及骨架</w:t>
            </w:r>
          </w:p>
        </w:tc>
        <w:tc>
          <w:tcPr>
            <w:tcW w:w="913" w:type="dxa"/>
            <w:vMerge w:val="restart"/>
            <w:noWrap w:val="0"/>
            <w:vAlign w:val="center"/>
          </w:tcPr>
          <w:p>
            <w:pPr>
              <w:spacing w:line="240" w:lineRule="auto"/>
              <w:jc w:val="center"/>
              <w:rPr>
                <w:rFonts w:hint="eastAsia" w:ascii="宋体" w:hAnsi="宋体"/>
                <w:bCs/>
                <w:sz w:val="24"/>
                <w:szCs w:val="24"/>
                <w:lang w:val="en-US" w:eastAsia="zh-CN"/>
              </w:rPr>
            </w:pPr>
            <w:r>
              <w:rPr>
                <w:rFonts w:hint="eastAsia" w:ascii="宋体" w:hAnsi="宋体"/>
                <w:bCs/>
                <w:sz w:val="24"/>
                <w:szCs w:val="24"/>
                <w:lang w:val="en-US" w:eastAsia="zh-CN"/>
              </w:rPr>
              <w:t>起重部分</w:t>
            </w:r>
          </w:p>
        </w:tc>
        <w:tc>
          <w:tcPr>
            <w:tcW w:w="962" w:type="dxa"/>
            <w:vMerge w:val="restart"/>
            <w:noWrap w:val="0"/>
            <w:vAlign w:val="center"/>
          </w:tcPr>
          <w:p>
            <w:pPr>
              <w:spacing w:line="240" w:lineRule="auto"/>
              <w:jc w:val="center"/>
              <w:rPr>
                <w:rFonts w:hint="eastAsia" w:ascii="宋体" w:hAnsi="宋体"/>
                <w:bCs/>
                <w:sz w:val="24"/>
                <w:szCs w:val="24"/>
                <w:lang w:val="en-US" w:eastAsia="zh-CN"/>
              </w:rPr>
            </w:pPr>
            <w:r>
              <w:rPr>
                <w:rFonts w:hint="eastAsia" w:ascii="宋体" w:hAnsi="宋体"/>
                <w:bCs/>
                <w:sz w:val="24"/>
                <w:szCs w:val="24"/>
                <w:lang w:val="en-US" w:eastAsia="zh-CN"/>
              </w:rPr>
              <w:t>避让面</w:t>
            </w:r>
          </w:p>
        </w:tc>
        <w:tc>
          <w:tcPr>
            <w:tcW w:w="1209" w:type="dxa"/>
            <w:vMerge w:val="restart"/>
            <w:noWrap w:val="0"/>
            <w:vAlign w:val="center"/>
          </w:tcPr>
          <w:p>
            <w:pPr>
              <w:spacing w:line="240" w:lineRule="auto"/>
              <w:jc w:val="center"/>
              <w:rPr>
                <w:rFonts w:hint="eastAsia" w:ascii="宋体" w:hAnsi="宋体"/>
                <w:bCs/>
                <w:sz w:val="24"/>
                <w:szCs w:val="24"/>
                <w:lang w:val="en-US" w:eastAsia="zh-CN"/>
              </w:rPr>
            </w:pPr>
            <w:r>
              <w:rPr>
                <w:rFonts w:hint="eastAsia" w:ascii="宋体" w:hAnsi="宋体"/>
                <w:bCs/>
                <w:sz w:val="24"/>
                <w:szCs w:val="24"/>
                <w:lang w:val="en-US" w:eastAsia="zh-CN"/>
              </w:rPr>
              <w:t>夹紧器座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trPr>
        <w:tc>
          <w:tcPr>
            <w:tcW w:w="828" w:type="dxa"/>
            <w:vMerge w:val="continue"/>
            <w:noWrap w:val="0"/>
            <w:vAlign w:val="center"/>
          </w:tcPr>
          <w:p>
            <w:pPr>
              <w:spacing w:line="240" w:lineRule="auto"/>
              <w:ind w:firstLine="480" w:firstLineChars="200"/>
              <w:jc w:val="center"/>
              <w:rPr>
                <w:rFonts w:hint="eastAsia" w:ascii="宋体" w:hAnsi="宋体"/>
                <w:bCs/>
                <w:sz w:val="24"/>
                <w:szCs w:val="24"/>
                <w:lang w:val="en-US" w:eastAsia="zh-CN"/>
              </w:rPr>
            </w:pPr>
          </w:p>
        </w:tc>
        <w:tc>
          <w:tcPr>
            <w:tcW w:w="885" w:type="dxa"/>
            <w:noWrap w:val="0"/>
            <w:vAlign w:val="center"/>
          </w:tcPr>
          <w:p>
            <w:pPr>
              <w:spacing w:line="240" w:lineRule="auto"/>
              <w:jc w:val="center"/>
              <w:rPr>
                <w:rFonts w:hint="eastAsia" w:ascii="宋体" w:hAnsi="宋体"/>
                <w:bCs/>
                <w:sz w:val="24"/>
                <w:szCs w:val="24"/>
                <w:lang w:val="en-US" w:eastAsia="zh-CN"/>
              </w:rPr>
            </w:pPr>
            <w:r>
              <w:rPr>
                <w:rFonts w:hint="eastAsia" w:ascii="宋体" w:hAnsi="宋体"/>
                <w:bCs/>
                <w:sz w:val="24"/>
                <w:szCs w:val="24"/>
                <w:lang w:val="en-US" w:eastAsia="zh-CN"/>
              </w:rPr>
              <w:t>0mm面</w:t>
            </w:r>
          </w:p>
        </w:tc>
        <w:tc>
          <w:tcPr>
            <w:tcW w:w="900" w:type="dxa"/>
            <w:noWrap w:val="0"/>
            <w:vAlign w:val="center"/>
          </w:tcPr>
          <w:p>
            <w:pPr>
              <w:spacing w:line="240" w:lineRule="auto"/>
              <w:jc w:val="center"/>
              <w:rPr>
                <w:rFonts w:hint="eastAsia" w:ascii="宋体" w:hAnsi="宋体"/>
                <w:bCs/>
                <w:sz w:val="24"/>
                <w:szCs w:val="24"/>
                <w:lang w:val="en-US" w:eastAsia="zh-CN"/>
              </w:rPr>
            </w:pPr>
            <w:r>
              <w:rPr>
                <w:rFonts w:hint="eastAsia" w:ascii="宋体" w:hAnsi="宋体"/>
                <w:bCs/>
                <w:sz w:val="24"/>
                <w:szCs w:val="24"/>
                <w:lang w:val="en-US" w:eastAsia="zh-CN"/>
              </w:rPr>
              <w:t>1mm面</w:t>
            </w:r>
          </w:p>
        </w:tc>
        <w:tc>
          <w:tcPr>
            <w:tcW w:w="2162" w:type="dxa"/>
            <w:noWrap w:val="0"/>
            <w:vAlign w:val="center"/>
          </w:tcPr>
          <w:p>
            <w:pPr>
              <w:spacing w:line="240" w:lineRule="auto"/>
              <w:jc w:val="center"/>
              <w:rPr>
                <w:rFonts w:hint="eastAsia" w:ascii="宋体" w:hAnsi="宋体"/>
                <w:bCs/>
                <w:sz w:val="24"/>
                <w:szCs w:val="24"/>
                <w:lang w:val="en-US" w:eastAsia="zh-CN"/>
              </w:rPr>
            </w:pPr>
            <w:r>
              <w:rPr>
                <w:rFonts w:hint="eastAsia" w:ascii="宋体" w:hAnsi="宋体"/>
                <w:bCs/>
                <w:sz w:val="24"/>
                <w:szCs w:val="24"/>
                <w:lang w:val="en-US" w:eastAsia="zh-CN"/>
              </w:rPr>
              <w:t>让开部位及3mm面</w:t>
            </w:r>
          </w:p>
        </w:tc>
        <w:tc>
          <w:tcPr>
            <w:tcW w:w="1013" w:type="dxa"/>
            <w:vMerge w:val="continue"/>
            <w:noWrap w:val="0"/>
            <w:vAlign w:val="center"/>
          </w:tcPr>
          <w:p>
            <w:pPr>
              <w:spacing w:line="240" w:lineRule="auto"/>
              <w:ind w:firstLine="480" w:firstLineChars="200"/>
              <w:jc w:val="center"/>
              <w:rPr>
                <w:rFonts w:hint="eastAsia" w:ascii="宋体" w:hAnsi="宋体"/>
                <w:bCs/>
                <w:sz w:val="24"/>
                <w:szCs w:val="24"/>
                <w:lang w:val="en-US" w:eastAsia="zh-CN"/>
              </w:rPr>
            </w:pPr>
          </w:p>
        </w:tc>
        <w:tc>
          <w:tcPr>
            <w:tcW w:w="913" w:type="dxa"/>
            <w:vMerge w:val="continue"/>
            <w:noWrap w:val="0"/>
            <w:vAlign w:val="center"/>
          </w:tcPr>
          <w:p>
            <w:pPr>
              <w:spacing w:line="240" w:lineRule="auto"/>
              <w:ind w:firstLine="480" w:firstLineChars="200"/>
              <w:jc w:val="center"/>
              <w:rPr>
                <w:rFonts w:hint="eastAsia" w:ascii="宋体" w:hAnsi="宋体"/>
                <w:bCs/>
                <w:sz w:val="24"/>
                <w:szCs w:val="24"/>
                <w:lang w:val="en-US" w:eastAsia="zh-CN"/>
              </w:rPr>
            </w:pPr>
          </w:p>
        </w:tc>
        <w:tc>
          <w:tcPr>
            <w:tcW w:w="962" w:type="dxa"/>
            <w:vMerge w:val="continue"/>
            <w:noWrap w:val="0"/>
            <w:vAlign w:val="center"/>
          </w:tcPr>
          <w:p>
            <w:pPr>
              <w:spacing w:line="240" w:lineRule="auto"/>
              <w:ind w:firstLine="480" w:firstLineChars="200"/>
              <w:jc w:val="center"/>
              <w:rPr>
                <w:rFonts w:hint="eastAsia" w:ascii="宋体" w:hAnsi="宋体"/>
                <w:bCs/>
                <w:sz w:val="24"/>
                <w:szCs w:val="24"/>
                <w:lang w:val="en-US" w:eastAsia="zh-CN"/>
              </w:rPr>
            </w:pPr>
          </w:p>
        </w:tc>
        <w:tc>
          <w:tcPr>
            <w:tcW w:w="1209" w:type="dxa"/>
            <w:vMerge w:val="continue"/>
            <w:noWrap w:val="0"/>
            <w:vAlign w:val="center"/>
          </w:tcPr>
          <w:p>
            <w:pPr>
              <w:spacing w:line="240" w:lineRule="auto"/>
              <w:ind w:firstLine="480" w:firstLineChars="200"/>
              <w:jc w:val="center"/>
              <w:rPr>
                <w:rFonts w:hint="eastAsia" w:ascii="宋体" w:hAnsi="宋体"/>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pPr>
              <w:spacing w:line="240" w:lineRule="auto"/>
              <w:jc w:val="center"/>
              <w:rPr>
                <w:rFonts w:hint="eastAsia" w:ascii="宋体" w:hAnsi="宋体"/>
                <w:bCs/>
                <w:sz w:val="24"/>
                <w:szCs w:val="24"/>
                <w:lang w:val="en-US" w:eastAsia="zh-CN"/>
              </w:rPr>
            </w:pPr>
            <w:r>
              <w:rPr>
                <w:rFonts w:hint="eastAsia" w:ascii="宋体" w:hAnsi="宋体"/>
                <w:bCs/>
                <w:sz w:val="24"/>
                <w:szCs w:val="24"/>
                <w:lang w:val="en-US" w:eastAsia="zh-CN"/>
              </w:rPr>
              <w:t>色彩</w:t>
            </w:r>
          </w:p>
        </w:tc>
        <w:tc>
          <w:tcPr>
            <w:tcW w:w="885" w:type="dxa"/>
            <w:noWrap w:val="0"/>
            <w:vAlign w:val="center"/>
          </w:tcPr>
          <w:p>
            <w:pPr>
              <w:spacing w:line="240" w:lineRule="auto"/>
              <w:ind w:firstLine="480" w:firstLineChars="200"/>
              <w:jc w:val="center"/>
              <w:rPr>
                <w:rFonts w:hint="eastAsia" w:ascii="宋体" w:hAnsi="宋体"/>
                <w:bCs/>
                <w:sz w:val="24"/>
                <w:szCs w:val="24"/>
                <w:lang w:val="en-US" w:eastAsia="zh-CN"/>
              </w:rPr>
            </w:pPr>
          </w:p>
        </w:tc>
        <w:tc>
          <w:tcPr>
            <w:tcW w:w="900" w:type="dxa"/>
            <w:noWrap w:val="0"/>
            <w:vAlign w:val="center"/>
          </w:tcPr>
          <w:p>
            <w:pPr>
              <w:spacing w:line="240" w:lineRule="auto"/>
              <w:ind w:firstLine="480" w:firstLineChars="200"/>
              <w:jc w:val="center"/>
              <w:rPr>
                <w:rFonts w:hint="eastAsia" w:ascii="宋体" w:hAnsi="宋体"/>
                <w:bCs/>
                <w:sz w:val="24"/>
                <w:szCs w:val="24"/>
                <w:lang w:val="en-US" w:eastAsia="zh-CN"/>
              </w:rPr>
            </w:pPr>
          </w:p>
        </w:tc>
        <w:tc>
          <w:tcPr>
            <w:tcW w:w="2162" w:type="dxa"/>
            <w:noWrap w:val="0"/>
            <w:vAlign w:val="center"/>
          </w:tcPr>
          <w:p>
            <w:pPr>
              <w:spacing w:line="240" w:lineRule="auto"/>
              <w:ind w:firstLine="480" w:firstLineChars="200"/>
              <w:jc w:val="center"/>
              <w:rPr>
                <w:rFonts w:hint="eastAsia" w:ascii="宋体" w:hAnsi="宋体"/>
                <w:bCs/>
                <w:sz w:val="24"/>
                <w:szCs w:val="24"/>
                <w:lang w:val="en-US" w:eastAsia="zh-CN"/>
              </w:rPr>
            </w:pPr>
          </w:p>
        </w:tc>
        <w:tc>
          <w:tcPr>
            <w:tcW w:w="1013" w:type="dxa"/>
            <w:noWrap w:val="0"/>
            <w:vAlign w:val="center"/>
          </w:tcPr>
          <w:p>
            <w:pPr>
              <w:spacing w:line="240" w:lineRule="auto"/>
              <w:ind w:firstLine="480" w:firstLineChars="200"/>
              <w:jc w:val="center"/>
              <w:rPr>
                <w:rFonts w:hint="eastAsia" w:ascii="宋体" w:hAnsi="宋体"/>
                <w:bCs/>
                <w:sz w:val="24"/>
                <w:szCs w:val="24"/>
                <w:lang w:val="en-US" w:eastAsia="zh-CN"/>
              </w:rPr>
            </w:pPr>
          </w:p>
        </w:tc>
        <w:tc>
          <w:tcPr>
            <w:tcW w:w="913" w:type="dxa"/>
            <w:noWrap w:val="0"/>
            <w:vAlign w:val="center"/>
          </w:tcPr>
          <w:p>
            <w:pPr>
              <w:spacing w:line="240" w:lineRule="auto"/>
              <w:ind w:firstLine="480" w:firstLineChars="200"/>
              <w:jc w:val="center"/>
              <w:rPr>
                <w:rFonts w:hint="eastAsia" w:ascii="宋体" w:hAnsi="宋体"/>
                <w:bCs/>
                <w:sz w:val="24"/>
                <w:szCs w:val="24"/>
                <w:lang w:val="en-US" w:eastAsia="zh-CN"/>
              </w:rPr>
            </w:pPr>
          </w:p>
        </w:tc>
        <w:tc>
          <w:tcPr>
            <w:tcW w:w="962" w:type="dxa"/>
            <w:noWrap w:val="0"/>
            <w:vAlign w:val="center"/>
          </w:tcPr>
          <w:p>
            <w:pPr>
              <w:spacing w:line="240" w:lineRule="auto"/>
              <w:ind w:firstLine="480" w:firstLineChars="200"/>
              <w:jc w:val="center"/>
              <w:rPr>
                <w:rFonts w:hint="eastAsia" w:ascii="宋体" w:hAnsi="宋体"/>
                <w:bCs/>
                <w:sz w:val="24"/>
                <w:szCs w:val="24"/>
                <w:lang w:val="en-US" w:eastAsia="zh-CN"/>
              </w:rPr>
            </w:pPr>
          </w:p>
        </w:tc>
        <w:tc>
          <w:tcPr>
            <w:tcW w:w="1209" w:type="dxa"/>
            <w:noWrap w:val="0"/>
            <w:vAlign w:val="center"/>
          </w:tcPr>
          <w:p>
            <w:pPr>
              <w:spacing w:line="240" w:lineRule="auto"/>
              <w:ind w:firstLine="480" w:firstLineChars="200"/>
              <w:jc w:val="center"/>
              <w:rPr>
                <w:rFonts w:hint="eastAsia" w:ascii="宋体" w:hAnsi="宋体"/>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pPr>
              <w:spacing w:line="240" w:lineRule="auto"/>
              <w:jc w:val="center"/>
              <w:rPr>
                <w:rFonts w:hint="eastAsia" w:ascii="宋体" w:hAnsi="宋体"/>
                <w:bCs/>
                <w:sz w:val="24"/>
                <w:szCs w:val="24"/>
                <w:lang w:val="en-US" w:eastAsia="zh-CN"/>
              </w:rPr>
            </w:pPr>
            <w:r>
              <w:rPr>
                <w:rFonts w:hint="eastAsia" w:ascii="宋体" w:hAnsi="宋体"/>
                <w:bCs/>
                <w:sz w:val="24"/>
                <w:szCs w:val="24"/>
                <w:lang w:val="en-US" w:eastAsia="zh-CN"/>
              </w:rPr>
              <w:t>色号</w:t>
            </w:r>
          </w:p>
        </w:tc>
        <w:tc>
          <w:tcPr>
            <w:tcW w:w="885" w:type="dxa"/>
            <w:noWrap w:val="0"/>
            <w:vAlign w:val="center"/>
          </w:tcPr>
          <w:p>
            <w:pPr>
              <w:spacing w:line="240" w:lineRule="auto"/>
              <w:ind w:firstLine="480" w:firstLineChars="200"/>
              <w:jc w:val="center"/>
              <w:rPr>
                <w:rFonts w:hint="eastAsia" w:ascii="宋体" w:hAnsi="宋体"/>
                <w:bCs/>
                <w:sz w:val="24"/>
                <w:szCs w:val="24"/>
                <w:lang w:val="en-US" w:eastAsia="zh-CN"/>
              </w:rPr>
            </w:pPr>
          </w:p>
        </w:tc>
        <w:tc>
          <w:tcPr>
            <w:tcW w:w="900" w:type="dxa"/>
            <w:noWrap w:val="0"/>
            <w:vAlign w:val="center"/>
          </w:tcPr>
          <w:p>
            <w:pPr>
              <w:spacing w:line="240" w:lineRule="auto"/>
              <w:ind w:firstLine="480" w:firstLineChars="200"/>
              <w:jc w:val="center"/>
              <w:rPr>
                <w:rFonts w:hint="eastAsia" w:ascii="宋体" w:hAnsi="宋体"/>
                <w:bCs/>
                <w:sz w:val="24"/>
                <w:szCs w:val="24"/>
                <w:lang w:val="en-US" w:eastAsia="zh-CN"/>
              </w:rPr>
            </w:pPr>
          </w:p>
        </w:tc>
        <w:tc>
          <w:tcPr>
            <w:tcW w:w="2162" w:type="dxa"/>
            <w:noWrap w:val="0"/>
            <w:vAlign w:val="center"/>
          </w:tcPr>
          <w:p>
            <w:pPr>
              <w:spacing w:line="240" w:lineRule="auto"/>
              <w:ind w:firstLine="480" w:firstLineChars="200"/>
              <w:jc w:val="center"/>
              <w:rPr>
                <w:rFonts w:hint="eastAsia" w:ascii="宋体" w:hAnsi="宋体"/>
                <w:bCs/>
                <w:sz w:val="24"/>
                <w:szCs w:val="24"/>
                <w:lang w:val="en-US" w:eastAsia="zh-CN"/>
              </w:rPr>
            </w:pPr>
          </w:p>
        </w:tc>
        <w:tc>
          <w:tcPr>
            <w:tcW w:w="1013" w:type="dxa"/>
            <w:noWrap w:val="0"/>
            <w:vAlign w:val="center"/>
          </w:tcPr>
          <w:p>
            <w:pPr>
              <w:spacing w:line="240" w:lineRule="auto"/>
              <w:ind w:firstLine="480" w:firstLineChars="200"/>
              <w:jc w:val="center"/>
              <w:rPr>
                <w:rFonts w:hint="eastAsia" w:ascii="宋体" w:hAnsi="宋体"/>
                <w:bCs/>
                <w:sz w:val="24"/>
                <w:szCs w:val="24"/>
                <w:lang w:val="en-US" w:eastAsia="zh-CN"/>
              </w:rPr>
            </w:pPr>
          </w:p>
        </w:tc>
        <w:tc>
          <w:tcPr>
            <w:tcW w:w="913" w:type="dxa"/>
            <w:noWrap w:val="0"/>
            <w:vAlign w:val="center"/>
          </w:tcPr>
          <w:p>
            <w:pPr>
              <w:spacing w:line="240" w:lineRule="auto"/>
              <w:ind w:firstLine="480" w:firstLineChars="200"/>
              <w:jc w:val="center"/>
              <w:rPr>
                <w:rFonts w:hint="eastAsia" w:ascii="宋体" w:hAnsi="宋体"/>
                <w:bCs/>
                <w:sz w:val="24"/>
                <w:szCs w:val="24"/>
                <w:lang w:val="en-US" w:eastAsia="zh-CN"/>
              </w:rPr>
            </w:pPr>
          </w:p>
        </w:tc>
        <w:tc>
          <w:tcPr>
            <w:tcW w:w="962" w:type="dxa"/>
            <w:noWrap w:val="0"/>
            <w:vAlign w:val="center"/>
          </w:tcPr>
          <w:p>
            <w:pPr>
              <w:spacing w:line="240" w:lineRule="auto"/>
              <w:ind w:firstLine="480" w:firstLineChars="200"/>
              <w:jc w:val="center"/>
              <w:rPr>
                <w:rFonts w:hint="eastAsia" w:ascii="宋体" w:hAnsi="宋体"/>
                <w:bCs/>
                <w:sz w:val="24"/>
                <w:szCs w:val="24"/>
                <w:lang w:val="en-US" w:eastAsia="zh-CN"/>
              </w:rPr>
            </w:pPr>
          </w:p>
        </w:tc>
        <w:tc>
          <w:tcPr>
            <w:tcW w:w="1209" w:type="dxa"/>
            <w:noWrap w:val="0"/>
            <w:vAlign w:val="center"/>
          </w:tcPr>
          <w:p>
            <w:pPr>
              <w:spacing w:line="240" w:lineRule="auto"/>
              <w:ind w:firstLine="480" w:firstLineChars="200"/>
              <w:jc w:val="center"/>
              <w:rPr>
                <w:rFonts w:hint="eastAsia" w:ascii="宋体" w:hAnsi="宋体"/>
                <w:bCs/>
                <w:sz w:val="24"/>
                <w:szCs w:val="24"/>
                <w:lang w:val="en-US" w:eastAsia="zh-CN"/>
              </w:rPr>
            </w:pPr>
          </w:p>
        </w:tc>
      </w:tr>
    </w:tbl>
    <w:p>
      <w:pPr>
        <w:spacing w:line="360" w:lineRule="auto"/>
        <w:ind w:firstLine="480" w:firstLineChars="200"/>
        <w:jc w:val="left"/>
        <w:rPr>
          <w:rFonts w:hint="eastAsia" w:ascii="宋体" w:hAnsi="宋体"/>
          <w:bCs/>
          <w:sz w:val="24"/>
          <w:szCs w:val="24"/>
          <w:lang w:val="en-US" w:eastAsia="zh-CN"/>
        </w:rPr>
      </w:pPr>
      <w:r>
        <w:rPr>
          <w:rFonts w:hint="eastAsia" w:ascii="宋体" w:hAnsi="宋体"/>
          <w:bCs/>
          <w:sz w:val="24"/>
          <w:szCs w:val="24"/>
          <w:lang w:val="en-US" w:eastAsia="zh-CN"/>
        </w:rPr>
        <w:t>M、检具和测量支架的标牌和标记</w:t>
      </w:r>
    </w:p>
    <w:p>
      <w:pPr>
        <w:spacing w:line="360" w:lineRule="auto"/>
        <w:ind w:firstLine="480" w:firstLineChars="200"/>
        <w:jc w:val="left"/>
        <w:rPr>
          <w:rFonts w:hint="eastAsia" w:ascii="宋体" w:hAnsi="宋体"/>
          <w:bCs/>
          <w:sz w:val="24"/>
          <w:szCs w:val="24"/>
          <w:lang w:val="en-US" w:eastAsia="zh-CN"/>
        </w:rPr>
      </w:pPr>
      <w:r>
        <w:rPr>
          <w:rFonts w:hint="eastAsia" w:ascii="宋体" w:hAnsi="宋体"/>
          <w:bCs/>
          <w:sz w:val="24"/>
          <w:szCs w:val="24"/>
          <w:lang w:val="en-US" w:eastAsia="zh-CN"/>
        </w:rPr>
        <w:t>1、标牌内容：标牌含以下内容：车型、零件名称、零件号、检具号、检具总重量、检具外形尺寸、基准面符号、制造日期、制造商。该标牌为铝制，黑色字体，具体尺寸及规格经招标方评审批准后执行。</w:t>
      </w:r>
    </w:p>
    <w:p>
      <w:pPr>
        <w:spacing w:line="360" w:lineRule="auto"/>
        <w:ind w:firstLine="480" w:firstLineChars="200"/>
        <w:jc w:val="left"/>
        <w:rPr>
          <w:rFonts w:hint="eastAsia" w:ascii="宋体" w:hAnsi="宋体"/>
          <w:bCs/>
          <w:sz w:val="24"/>
          <w:szCs w:val="24"/>
          <w:lang w:val="en-US" w:eastAsia="zh-CN"/>
        </w:rPr>
      </w:pPr>
      <w:r>
        <w:rPr>
          <w:rFonts w:hint="eastAsia" w:ascii="宋体" w:hAnsi="宋体"/>
          <w:bCs/>
          <w:sz w:val="24"/>
          <w:szCs w:val="24"/>
          <w:lang w:val="en-US" w:eastAsia="zh-CN"/>
        </w:rPr>
        <w:t>2、检具数据面指示牌、检具制造数据标牌。</w:t>
      </w:r>
    </w:p>
    <w:p>
      <w:pPr>
        <w:spacing w:line="360" w:lineRule="auto"/>
        <w:ind w:firstLine="480" w:firstLineChars="200"/>
        <w:jc w:val="left"/>
        <w:rPr>
          <w:rFonts w:hint="eastAsia" w:ascii="宋体" w:hAnsi="宋体"/>
          <w:bCs/>
          <w:sz w:val="24"/>
          <w:szCs w:val="24"/>
          <w:lang w:val="en-US" w:eastAsia="zh-CN"/>
        </w:rPr>
      </w:pPr>
      <w:r>
        <w:rPr>
          <w:rFonts w:hint="eastAsia" w:ascii="宋体" w:hAnsi="宋体"/>
          <w:bCs/>
          <w:sz w:val="24"/>
          <w:szCs w:val="24"/>
          <w:lang w:val="en-US" w:eastAsia="zh-CN"/>
        </w:rPr>
        <w:t>3、基准孔序号标识、坐标标识。</w:t>
      </w:r>
    </w:p>
    <w:p>
      <w:pPr>
        <w:spacing w:line="360" w:lineRule="auto"/>
        <w:ind w:firstLine="480" w:firstLineChars="200"/>
        <w:jc w:val="left"/>
        <w:rPr>
          <w:rFonts w:hint="eastAsia" w:ascii="宋体" w:hAnsi="宋体"/>
          <w:bCs/>
          <w:sz w:val="24"/>
          <w:szCs w:val="24"/>
          <w:lang w:val="en-US" w:eastAsia="zh-CN"/>
        </w:rPr>
      </w:pPr>
      <w:r>
        <w:rPr>
          <w:rFonts w:hint="eastAsia" w:ascii="宋体" w:hAnsi="宋体"/>
          <w:bCs/>
          <w:sz w:val="24"/>
          <w:szCs w:val="24"/>
          <w:lang w:val="en-US" w:eastAsia="zh-CN"/>
        </w:rPr>
        <w:t>4、基准面坐标标识。</w:t>
      </w:r>
    </w:p>
    <w:p>
      <w:pPr>
        <w:spacing w:line="360" w:lineRule="auto"/>
        <w:ind w:firstLine="480" w:firstLineChars="200"/>
        <w:jc w:val="left"/>
        <w:rPr>
          <w:rFonts w:hint="eastAsia" w:ascii="宋体" w:hAnsi="宋体"/>
          <w:bCs/>
          <w:sz w:val="24"/>
          <w:szCs w:val="24"/>
          <w:lang w:val="en-US" w:eastAsia="zh-CN"/>
        </w:rPr>
      </w:pPr>
      <w:r>
        <w:rPr>
          <w:rFonts w:hint="eastAsia" w:ascii="宋体" w:hAnsi="宋体"/>
          <w:bCs/>
          <w:sz w:val="24"/>
          <w:szCs w:val="24"/>
          <w:lang w:val="en-US" w:eastAsia="zh-CN"/>
        </w:rPr>
        <w:t>5、测量间隙0mm，1mm，3mm和5mm色标标识。</w:t>
      </w:r>
    </w:p>
    <w:p>
      <w:pPr>
        <w:spacing w:line="360" w:lineRule="auto"/>
        <w:ind w:firstLine="480" w:firstLineChars="200"/>
        <w:jc w:val="left"/>
        <w:rPr>
          <w:rFonts w:hint="eastAsia" w:ascii="宋体" w:hAnsi="宋体"/>
          <w:bCs/>
          <w:sz w:val="24"/>
          <w:szCs w:val="24"/>
          <w:lang w:val="en-US" w:eastAsia="zh-CN"/>
        </w:rPr>
      </w:pPr>
      <w:r>
        <w:rPr>
          <w:rFonts w:hint="eastAsia" w:ascii="宋体" w:hAnsi="宋体"/>
          <w:bCs/>
          <w:sz w:val="24"/>
          <w:szCs w:val="24"/>
          <w:lang w:val="en-US" w:eastAsia="zh-CN"/>
        </w:rPr>
        <w:t>6、RPS点标识。</w:t>
      </w:r>
    </w:p>
    <w:p>
      <w:pPr>
        <w:spacing w:line="360" w:lineRule="auto"/>
        <w:ind w:firstLine="480" w:firstLineChars="200"/>
        <w:jc w:val="left"/>
        <w:rPr>
          <w:rFonts w:hint="eastAsia" w:ascii="宋体" w:hAnsi="宋体"/>
          <w:bCs/>
          <w:sz w:val="24"/>
          <w:szCs w:val="24"/>
          <w:lang w:val="en-US" w:eastAsia="zh-CN"/>
        </w:rPr>
      </w:pPr>
      <w:r>
        <w:rPr>
          <w:rFonts w:hint="eastAsia" w:ascii="宋体" w:hAnsi="宋体"/>
          <w:bCs/>
          <w:sz w:val="24"/>
          <w:szCs w:val="24"/>
          <w:lang w:val="en-US" w:eastAsia="zh-CN"/>
        </w:rPr>
        <w:t>7、检具上的标记应包括：基准线标志、测量表面和栅格线的标志、栅格线的数值、测量表面或间隙表面、零件外形轮廓、形状规、塞规、卡规等均应打上其相应的标志。</w:t>
      </w:r>
    </w:p>
    <w:p>
      <w:pPr>
        <w:spacing w:line="360" w:lineRule="auto"/>
        <w:ind w:firstLine="480" w:firstLineChars="200"/>
        <w:jc w:val="left"/>
        <w:rPr>
          <w:rFonts w:hint="eastAsia" w:ascii="宋体" w:hAnsi="宋体"/>
          <w:bCs/>
          <w:sz w:val="24"/>
          <w:szCs w:val="24"/>
          <w:lang w:val="en-US" w:eastAsia="zh-CN"/>
        </w:rPr>
      </w:pPr>
      <w:r>
        <w:rPr>
          <w:rFonts w:hint="eastAsia" w:ascii="宋体" w:hAnsi="宋体"/>
          <w:bCs/>
          <w:sz w:val="24"/>
          <w:szCs w:val="24"/>
          <w:lang w:val="en-US" w:eastAsia="zh-CN"/>
        </w:rPr>
        <w:t>N、检具的使用说明书</w:t>
      </w:r>
    </w:p>
    <w:p>
      <w:pPr>
        <w:spacing w:line="360" w:lineRule="auto"/>
        <w:ind w:firstLine="480" w:firstLineChars="200"/>
        <w:jc w:val="left"/>
        <w:rPr>
          <w:rFonts w:hint="eastAsia" w:ascii="宋体" w:hAnsi="宋体"/>
          <w:bCs/>
          <w:sz w:val="24"/>
          <w:szCs w:val="24"/>
          <w:lang w:val="en-US" w:eastAsia="zh-CN"/>
        </w:rPr>
      </w:pPr>
      <w:r>
        <w:rPr>
          <w:rFonts w:hint="eastAsia" w:ascii="宋体" w:hAnsi="宋体"/>
          <w:bCs/>
          <w:sz w:val="24"/>
          <w:szCs w:val="24"/>
          <w:lang w:val="en-US" w:eastAsia="zh-CN"/>
        </w:rPr>
        <w:t>零件放置于检具上的使用说明书应统一制订，使用说明书固定在检具的醒目位置。</w:t>
      </w:r>
    </w:p>
    <w:p>
      <w:pPr>
        <w:spacing w:line="360" w:lineRule="auto"/>
        <w:ind w:firstLine="480" w:firstLineChars="200"/>
        <w:jc w:val="left"/>
        <w:rPr>
          <w:rFonts w:hint="eastAsia" w:ascii="宋体" w:hAnsi="宋体"/>
          <w:bCs/>
          <w:sz w:val="24"/>
          <w:szCs w:val="24"/>
          <w:lang w:val="en-US" w:eastAsia="zh-CN"/>
        </w:rPr>
      </w:pPr>
      <w:r>
        <w:rPr>
          <w:rFonts w:hint="eastAsia" w:ascii="宋体" w:hAnsi="宋体"/>
          <w:bCs/>
          <w:sz w:val="24"/>
          <w:szCs w:val="24"/>
          <w:lang w:val="en-US" w:eastAsia="zh-CN"/>
        </w:rPr>
        <w:t>O、精度要求</w:t>
      </w:r>
    </w:p>
    <w:p>
      <w:pPr>
        <w:spacing w:line="360" w:lineRule="auto"/>
        <w:ind w:firstLine="480" w:firstLineChars="200"/>
        <w:jc w:val="left"/>
        <w:rPr>
          <w:rFonts w:hint="eastAsia" w:ascii="宋体" w:hAnsi="宋体"/>
          <w:bCs/>
          <w:sz w:val="24"/>
          <w:szCs w:val="24"/>
          <w:lang w:val="en-US" w:eastAsia="zh-CN"/>
        </w:rPr>
      </w:pPr>
      <w:r>
        <w:rPr>
          <w:rFonts w:hint="eastAsia" w:ascii="宋体" w:hAnsi="宋体"/>
          <w:bCs/>
          <w:sz w:val="24"/>
          <w:szCs w:val="24"/>
          <w:lang w:val="en-US" w:eastAsia="zh-CN"/>
        </w:rPr>
        <w:t>底板平行度/垂直度：±0.05/1000 mm</w:t>
      </w:r>
    </w:p>
    <w:p>
      <w:pPr>
        <w:spacing w:line="360" w:lineRule="auto"/>
        <w:ind w:firstLine="480" w:firstLineChars="200"/>
        <w:jc w:val="left"/>
        <w:rPr>
          <w:rFonts w:hint="eastAsia" w:ascii="宋体" w:hAnsi="宋体"/>
          <w:bCs/>
          <w:sz w:val="24"/>
          <w:szCs w:val="24"/>
          <w:lang w:val="en-US" w:eastAsia="zh-CN"/>
        </w:rPr>
      </w:pPr>
      <w:r>
        <w:rPr>
          <w:rFonts w:hint="eastAsia" w:ascii="宋体" w:hAnsi="宋体"/>
          <w:bCs/>
          <w:sz w:val="24"/>
          <w:szCs w:val="24"/>
          <w:lang w:val="en-US" w:eastAsia="zh-CN"/>
        </w:rPr>
        <w:t>底板工作表面粗糙度：Ra1.6 µm</w:t>
      </w:r>
    </w:p>
    <w:p>
      <w:pPr>
        <w:spacing w:line="360" w:lineRule="auto"/>
        <w:ind w:firstLine="480" w:firstLineChars="200"/>
        <w:jc w:val="left"/>
        <w:rPr>
          <w:rFonts w:hint="eastAsia" w:ascii="宋体" w:hAnsi="宋体"/>
          <w:bCs/>
          <w:sz w:val="24"/>
          <w:szCs w:val="24"/>
          <w:lang w:val="en-US" w:eastAsia="zh-CN"/>
        </w:rPr>
      </w:pPr>
      <w:r>
        <w:rPr>
          <w:rFonts w:hint="eastAsia" w:ascii="宋体" w:hAnsi="宋体"/>
          <w:bCs/>
          <w:sz w:val="24"/>
          <w:szCs w:val="24"/>
          <w:lang w:val="en-US" w:eastAsia="zh-CN"/>
        </w:rPr>
        <w:t>基准面平行度/垂直度：±0.05/1000 mm</w:t>
      </w:r>
    </w:p>
    <w:p>
      <w:pPr>
        <w:spacing w:line="360" w:lineRule="auto"/>
        <w:ind w:firstLine="480" w:firstLineChars="200"/>
        <w:jc w:val="left"/>
        <w:rPr>
          <w:rFonts w:hint="eastAsia" w:ascii="宋体" w:hAnsi="宋体"/>
          <w:bCs/>
          <w:sz w:val="24"/>
          <w:szCs w:val="24"/>
          <w:lang w:val="en-US" w:eastAsia="zh-CN"/>
        </w:rPr>
      </w:pPr>
      <w:r>
        <w:rPr>
          <w:rFonts w:hint="eastAsia" w:ascii="宋体" w:hAnsi="宋体"/>
          <w:bCs/>
          <w:sz w:val="24"/>
          <w:szCs w:val="24"/>
          <w:lang w:val="en-US" w:eastAsia="zh-CN"/>
        </w:rPr>
        <w:t>基准孔位置度：±0.05 mm</w:t>
      </w:r>
    </w:p>
    <w:p>
      <w:pPr>
        <w:spacing w:line="360" w:lineRule="auto"/>
        <w:ind w:firstLine="480" w:firstLineChars="200"/>
        <w:jc w:val="left"/>
        <w:rPr>
          <w:rFonts w:hint="eastAsia" w:ascii="宋体" w:hAnsi="宋体"/>
          <w:bCs/>
          <w:sz w:val="24"/>
          <w:szCs w:val="24"/>
          <w:lang w:val="en-US" w:eastAsia="zh-CN"/>
        </w:rPr>
      </w:pPr>
      <w:r>
        <w:rPr>
          <w:rFonts w:hint="eastAsia" w:ascii="宋体" w:hAnsi="宋体"/>
          <w:bCs/>
          <w:sz w:val="24"/>
          <w:szCs w:val="24"/>
          <w:lang w:val="en-US" w:eastAsia="zh-CN"/>
        </w:rPr>
        <w:t>基准孔孔径尺寸：±0.01 mm</w:t>
      </w:r>
    </w:p>
    <w:p>
      <w:pPr>
        <w:spacing w:line="360" w:lineRule="auto"/>
        <w:ind w:firstLine="480" w:firstLineChars="200"/>
        <w:jc w:val="left"/>
        <w:rPr>
          <w:rFonts w:hint="eastAsia" w:ascii="宋体" w:hAnsi="宋体"/>
          <w:bCs/>
          <w:sz w:val="24"/>
          <w:szCs w:val="24"/>
          <w:lang w:val="en-US" w:eastAsia="zh-CN"/>
        </w:rPr>
      </w:pPr>
      <w:r>
        <w:rPr>
          <w:rFonts w:hint="eastAsia" w:ascii="宋体" w:hAnsi="宋体"/>
          <w:bCs/>
          <w:sz w:val="24"/>
          <w:szCs w:val="24"/>
          <w:lang w:val="en-US" w:eastAsia="zh-CN"/>
        </w:rPr>
        <w:t>定位孔位置度：±0.05 mm</w:t>
      </w:r>
    </w:p>
    <w:p>
      <w:pPr>
        <w:spacing w:line="360" w:lineRule="auto"/>
        <w:ind w:firstLine="480" w:firstLineChars="200"/>
        <w:jc w:val="left"/>
        <w:rPr>
          <w:rFonts w:hint="eastAsia" w:ascii="宋体" w:hAnsi="宋体"/>
          <w:bCs/>
          <w:sz w:val="24"/>
          <w:szCs w:val="24"/>
          <w:lang w:val="en-US" w:eastAsia="zh-CN"/>
        </w:rPr>
      </w:pPr>
      <w:r>
        <w:rPr>
          <w:rFonts w:hint="eastAsia" w:ascii="宋体" w:hAnsi="宋体"/>
          <w:bCs/>
          <w:sz w:val="24"/>
          <w:szCs w:val="24"/>
          <w:lang w:val="en-US" w:eastAsia="zh-CN"/>
        </w:rPr>
        <w:t>定位孔孔径尺寸：+0.02 mm</w:t>
      </w:r>
    </w:p>
    <w:p>
      <w:pPr>
        <w:spacing w:line="360" w:lineRule="auto"/>
        <w:ind w:firstLine="480" w:firstLineChars="200"/>
        <w:jc w:val="left"/>
        <w:rPr>
          <w:rFonts w:hint="eastAsia" w:ascii="宋体" w:hAnsi="宋体"/>
          <w:bCs/>
          <w:sz w:val="24"/>
          <w:szCs w:val="24"/>
          <w:lang w:val="en-US" w:eastAsia="zh-CN"/>
        </w:rPr>
      </w:pPr>
      <w:r>
        <w:rPr>
          <w:rFonts w:hint="eastAsia" w:ascii="宋体" w:hAnsi="宋体"/>
          <w:bCs/>
          <w:sz w:val="24"/>
          <w:szCs w:val="24"/>
          <w:lang w:val="en-US" w:eastAsia="zh-CN"/>
        </w:rPr>
        <w:t>定位面、支撑面位置度：±0.10 mm</w:t>
      </w:r>
    </w:p>
    <w:p>
      <w:pPr>
        <w:spacing w:line="360" w:lineRule="auto"/>
        <w:ind w:firstLine="480" w:firstLineChars="200"/>
        <w:jc w:val="left"/>
        <w:rPr>
          <w:rFonts w:hint="eastAsia" w:ascii="宋体" w:hAnsi="宋体"/>
          <w:bCs/>
          <w:sz w:val="24"/>
          <w:szCs w:val="24"/>
          <w:lang w:val="en-US" w:eastAsia="zh-CN"/>
        </w:rPr>
      </w:pPr>
      <w:r>
        <w:rPr>
          <w:rFonts w:hint="eastAsia" w:ascii="宋体" w:hAnsi="宋体"/>
          <w:bCs/>
          <w:sz w:val="24"/>
          <w:szCs w:val="24"/>
          <w:lang w:val="en-US" w:eastAsia="zh-CN"/>
        </w:rPr>
        <w:t>定位销尺寸：-0.02 mm</w:t>
      </w:r>
    </w:p>
    <w:p>
      <w:pPr>
        <w:spacing w:line="360" w:lineRule="auto"/>
        <w:ind w:firstLine="480" w:firstLineChars="200"/>
        <w:jc w:val="left"/>
        <w:rPr>
          <w:rFonts w:hint="eastAsia" w:ascii="宋体" w:hAnsi="宋体"/>
          <w:bCs/>
          <w:sz w:val="24"/>
          <w:szCs w:val="24"/>
          <w:lang w:val="en-US" w:eastAsia="zh-CN"/>
        </w:rPr>
      </w:pPr>
      <w:r>
        <w:rPr>
          <w:rFonts w:hint="eastAsia" w:ascii="宋体" w:hAnsi="宋体"/>
          <w:bCs/>
          <w:sz w:val="24"/>
          <w:szCs w:val="24"/>
          <w:lang w:val="en-US" w:eastAsia="zh-CN"/>
        </w:rPr>
        <w:t>零件外轮廓测量面或型线位置度：±0.15 mm</w:t>
      </w:r>
    </w:p>
    <w:p>
      <w:pPr>
        <w:spacing w:line="360" w:lineRule="auto"/>
        <w:ind w:firstLine="480" w:firstLineChars="200"/>
        <w:jc w:val="left"/>
        <w:rPr>
          <w:rFonts w:hint="eastAsia" w:ascii="宋体" w:hAnsi="宋体"/>
          <w:bCs/>
          <w:sz w:val="24"/>
          <w:szCs w:val="24"/>
          <w:lang w:val="en-US" w:eastAsia="zh-CN"/>
        </w:rPr>
      </w:pPr>
      <w:r>
        <w:rPr>
          <w:rFonts w:hint="eastAsia" w:ascii="宋体" w:hAnsi="宋体"/>
          <w:bCs/>
          <w:sz w:val="24"/>
          <w:szCs w:val="24"/>
          <w:lang w:val="en-US" w:eastAsia="zh-CN"/>
        </w:rPr>
        <w:t>零件外形测量面（3mm间隙面）位置度：±0.15 mm</w:t>
      </w:r>
    </w:p>
    <w:p>
      <w:pPr>
        <w:spacing w:line="360" w:lineRule="auto"/>
        <w:ind w:firstLine="480" w:firstLineChars="200"/>
        <w:jc w:val="left"/>
        <w:rPr>
          <w:rFonts w:hint="eastAsia" w:ascii="宋体" w:hAnsi="宋体"/>
          <w:bCs/>
          <w:sz w:val="24"/>
          <w:szCs w:val="24"/>
          <w:lang w:val="en-US" w:eastAsia="zh-CN"/>
        </w:rPr>
      </w:pPr>
      <w:r>
        <w:rPr>
          <w:rFonts w:hint="eastAsia" w:ascii="宋体" w:hAnsi="宋体"/>
          <w:bCs/>
          <w:sz w:val="24"/>
          <w:szCs w:val="24"/>
          <w:lang w:val="en-US" w:eastAsia="zh-CN"/>
        </w:rPr>
        <w:t>所有造型面（非测量面）位置度：±0.30 mm</w:t>
      </w:r>
    </w:p>
    <w:p>
      <w:pPr>
        <w:spacing w:line="360" w:lineRule="auto"/>
        <w:ind w:firstLine="480" w:firstLineChars="200"/>
        <w:jc w:val="left"/>
        <w:rPr>
          <w:rFonts w:hint="eastAsia" w:ascii="宋体" w:hAnsi="宋体"/>
          <w:bCs/>
          <w:sz w:val="24"/>
          <w:szCs w:val="24"/>
          <w:lang w:val="en-US" w:eastAsia="zh-CN"/>
        </w:rPr>
      </w:pPr>
      <w:r>
        <w:rPr>
          <w:rFonts w:hint="eastAsia" w:ascii="宋体" w:hAnsi="宋体"/>
          <w:bCs/>
          <w:sz w:val="24"/>
          <w:szCs w:val="24"/>
          <w:lang w:val="en-US" w:eastAsia="zh-CN"/>
        </w:rPr>
        <w:t>销孔位置度：±0.05 mm</w:t>
      </w:r>
    </w:p>
    <w:p>
      <w:pPr>
        <w:spacing w:line="360" w:lineRule="auto"/>
        <w:ind w:firstLine="480" w:firstLineChars="200"/>
        <w:jc w:val="left"/>
        <w:rPr>
          <w:rFonts w:hint="eastAsia" w:ascii="宋体" w:hAnsi="宋体"/>
          <w:bCs/>
          <w:sz w:val="24"/>
          <w:szCs w:val="24"/>
          <w:lang w:val="en-US" w:eastAsia="zh-CN"/>
        </w:rPr>
      </w:pPr>
      <w:r>
        <w:rPr>
          <w:rFonts w:hint="eastAsia" w:ascii="宋体" w:hAnsi="宋体"/>
          <w:bCs/>
          <w:sz w:val="24"/>
          <w:szCs w:val="24"/>
          <w:lang w:val="en-US" w:eastAsia="zh-CN"/>
        </w:rPr>
        <w:t>划线孔位置度：±0.05 mm</w:t>
      </w:r>
    </w:p>
    <w:p>
      <w:pPr>
        <w:spacing w:line="360" w:lineRule="auto"/>
        <w:ind w:firstLine="480" w:firstLineChars="200"/>
        <w:jc w:val="left"/>
        <w:rPr>
          <w:rFonts w:hint="eastAsia" w:ascii="宋体" w:hAnsi="宋体"/>
          <w:bCs/>
          <w:sz w:val="24"/>
          <w:szCs w:val="24"/>
          <w:lang w:val="en-US" w:eastAsia="zh-CN"/>
        </w:rPr>
      </w:pPr>
      <w:r>
        <w:rPr>
          <w:rFonts w:hint="eastAsia" w:ascii="宋体" w:hAnsi="宋体"/>
          <w:bCs/>
          <w:sz w:val="24"/>
          <w:szCs w:val="24"/>
          <w:lang w:val="en-US" w:eastAsia="zh-CN"/>
        </w:rPr>
        <w:t>划线孔直径误差：±0.05 mm</w:t>
      </w:r>
    </w:p>
    <w:p>
      <w:pPr>
        <w:spacing w:line="360" w:lineRule="auto"/>
        <w:ind w:firstLine="480" w:firstLineChars="200"/>
        <w:jc w:val="left"/>
        <w:rPr>
          <w:rFonts w:hint="eastAsia" w:ascii="宋体" w:hAnsi="宋体"/>
          <w:bCs/>
          <w:sz w:val="24"/>
          <w:szCs w:val="24"/>
          <w:lang w:val="en-US" w:eastAsia="zh-CN"/>
        </w:rPr>
      </w:pPr>
      <w:r>
        <w:rPr>
          <w:rFonts w:hint="eastAsia" w:ascii="宋体" w:hAnsi="宋体"/>
          <w:bCs/>
          <w:sz w:val="24"/>
          <w:szCs w:val="24"/>
          <w:lang w:val="en-US" w:eastAsia="zh-CN"/>
        </w:rPr>
        <w:t>坐标线位置相对基准的误差；0.2/1000 mm</w:t>
      </w:r>
    </w:p>
    <w:p>
      <w:pPr>
        <w:spacing w:line="360" w:lineRule="auto"/>
        <w:ind w:firstLine="480" w:firstLineChars="200"/>
        <w:jc w:val="left"/>
        <w:rPr>
          <w:rFonts w:hint="eastAsia" w:ascii="宋体" w:hAnsi="宋体"/>
          <w:bCs/>
          <w:sz w:val="24"/>
          <w:szCs w:val="24"/>
          <w:lang w:val="en-US" w:eastAsia="zh-CN"/>
        </w:rPr>
      </w:pPr>
      <w:r>
        <w:rPr>
          <w:rFonts w:hint="eastAsia" w:ascii="宋体" w:hAnsi="宋体"/>
          <w:bCs/>
          <w:sz w:val="24"/>
          <w:szCs w:val="24"/>
          <w:lang w:val="en-US" w:eastAsia="zh-CN"/>
        </w:rPr>
        <w:t>形状或卡规误差：±0.20 mm</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b/>
          <w:bCs w:val="0"/>
          <w:sz w:val="24"/>
          <w:szCs w:val="24"/>
          <w:lang w:val="en-US" w:eastAsia="zh-CN"/>
        </w:rPr>
      </w:pPr>
      <w:r>
        <w:rPr>
          <w:rFonts w:hint="eastAsia" w:ascii="宋体" w:hAnsi="宋体"/>
          <w:b/>
          <w:bCs w:val="0"/>
          <w:sz w:val="24"/>
          <w:szCs w:val="24"/>
          <w:lang w:val="en-US" w:eastAsia="zh-CN"/>
        </w:rPr>
        <w:t>3、检具的制造要求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Cs/>
          <w:sz w:val="24"/>
          <w:szCs w:val="24"/>
          <w:lang w:val="en-US" w:eastAsia="zh-CN"/>
        </w:rPr>
      </w:pPr>
      <w:r>
        <w:rPr>
          <w:rFonts w:hint="eastAsia" w:ascii="宋体" w:hAnsi="宋体"/>
          <w:bCs/>
          <w:sz w:val="24"/>
          <w:szCs w:val="24"/>
          <w:lang w:val="en-US" w:eastAsia="zh-CN"/>
        </w:rPr>
        <w:t>3.1投标方在设计会签通过且在数控加工之前，需向招标方提交机加申请单。投标方需按照招标方确认的数据版本进行机加：版本确认一致的检具可以进行机加，版本不一致检具需确认后再机加。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Cs/>
          <w:sz w:val="24"/>
          <w:szCs w:val="24"/>
          <w:lang w:val="en-US" w:eastAsia="zh-CN"/>
        </w:rPr>
      </w:pPr>
      <w:r>
        <w:rPr>
          <w:rFonts w:hint="eastAsia" w:ascii="宋体" w:hAnsi="宋体"/>
          <w:bCs/>
          <w:sz w:val="24"/>
          <w:szCs w:val="24"/>
          <w:lang w:val="en-US" w:eastAsia="zh-CN"/>
        </w:rPr>
        <w:t>3.2所有的焊接件及铸造件都应消除应力，保证检具使用过程中不发生变形。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Cs/>
          <w:sz w:val="24"/>
          <w:szCs w:val="24"/>
          <w:lang w:val="en-US" w:eastAsia="zh-CN"/>
        </w:rPr>
      </w:pPr>
      <w:r>
        <w:rPr>
          <w:rFonts w:hint="eastAsia" w:ascii="宋体" w:hAnsi="宋体"/>
          <w:bCs/>
          <w:sz w:val="24"/>
          <w:szCs w:val="24"/>
          <w:lang w:val="en-US" w:eastAsia="zh-CN"/>
        </w:rPr>
        <w:t>检具制造期间，应保证测量设备的精度在标定有效期内。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Cs/>
          <w:sz w:val="24"/>
          <w:szCs w:val="24"/>
          <w:lang w:val="en-US" w:eastAsia="zh-CN"/>
        </w:rPr>
      </w:pPr>
      <w:r>
        <w:rPr>
          <w:rFonts w:hint="eastAsia" w:ascii="宋体" w:hAnsi="宋体"/>
          <w:bCs/>
          <w:sz w:val="24"/>
          <w:szCs w:val="24"/>
          <w:lang w:val="en-US" w:eastAsia="zh-CN"/>
        </w:rPr>
        <w:t>3.3检具制造要符合检具的设计图纸要求、检具结构要求、检具精度要求。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Cs/>
          <w:sz w:val="24"/>
          <w:szCs w:val="24"/>
          <w:lang w:val="en-US" w:eastAsia="zh-CN"/>
        </w:rPr>
      </w:pPr>
      <w:r>
        <w:rPr>
          <w:rFonts w:hint="eastAsia" w:ascii="宋体" w:hAnsi="宋体"/>
          <w:bCs/>
          <w:sz w:val="24"/>
          <w:szCs w:val="24"/>
          <w:lang w:val="en-US" w:eastAsia="zh-CN"/>
        </w:rPr>
        <w:t>3.4所有的销（除划线销）、套、基准块等都用45#钢制造，且热处理硬度为HRC43-48。</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Cs/>
          <w:sz w:val="24"/>
          <w:szCs w:val="24"/>
          <w:lang w:val="en-US" w:eastAsia="zh-CN"/>
        </w:rPr>
      </w:pPr>
      <w:r>
        <w:rPr>
          <w:rFonts w:hint="eastAsia" w:ascii="宋体" w:hAnsi="宋体"/>
          <w:bCs/>
          <w:sz w:val="24"/>
          <w:szCs w:val="24"/>
          <w:lang w:val="en-US" w:eastAsia="zh-CN"/>
        </w:rPr>
        <w:t>3.5用划线器刻线，刻线深度和宽度均为0.1mm，应清晰可见，直线笔直，R圆滑，接头处不得有交叉、过线等缺陷。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Cs/>
          <w:sz w:val="24"/>
          <w:szCs w:val="24"/>
          <w:lang w:val="en-US" w:eastAsia="zh-CN"/>
        </w:rPr>
      </w:pPr>
      <w:r>
        <w:rPr>
          <w:rFonts w:hint="eastAsia" w:ascii="宋体" w:hAnsi="宋体"/>
          <w:bCs/>
          <w:sz w:val="24"/>
          <w:szCs w:val="24"/>
          <w:lang w:val="en-US" w:eastAsia="zh-CN"/>
        </w:rPr>
        <w:t>3.6在选择材料、导板、销、夹头等部件时，应依据检具的使用环境，确保各部件在使用有效期内的功能性、重复性和再现性。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Cs/>
          <w:sz w:val="24"/>
          <w:szCs w:val="24"/>
          <w:lang w:val="en-US" w:eastAsia="zh-CN"/>
        </w:rPr>
      </w:pPr>
      <w:r>
        <w:rPr>
          <w:rFonts w:hint="eastAsia" w:ascii="宋体" w:hAnsi="宋体"/>
          <w:bCs/>
          <w:sz w:val="24"/>
          <w:szCs w:val="24"/>
          <w:lang w:val="en-US" w:eastAsia="zh-CN"/>
        </w:rPr>
        <w:t>3.7检具的表面应无明显影响检具使用的缺陷，如：划伤、腐蚀、易造成伤害的尖角等。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Cs/>
          <w:sz w:val="24"/>
          <w:szCs w:val="24"/>
          <w:lang w:val="en-US" w:eastAsia="zh-CN"/>
        </w:rPr>
      </w:pPr>
      <w:r>
        <w:rPr>
          <w:rFonts w:hint="eastAsia" w:ascii="宋体" w:hAnsi="宋体"/>
          <w:bCs/>
          <w:sz w:val="24"/>
          <w:szCs w:val="24"/>
          <w:lang w:val="en-US" w:eastAsia="zh-CN"/>
        </w:rPr>
        <w:t xml:space="preserve">3.8检具和测量支架上的标记应包括：基准线标识，测量表面和车身坐标线的标识，车身坐标线标识的数值、测量表面或间隙表面、样规块、通止规、卡板等。检具和测量支架上的标记均应打上其相应的标识。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Cs/>
          <w:sz w:val="24"/>
          <w:szCs w:val="24"/>
          <w:lang w:val="en-US" w:eastAsia="zh-CN"/>
        </w:rPr>
      </w:pPr>
      <w:r>
        <w:rPr>
          <w:rFonts w:hint="eastAsia" w:ascii="宋体" w:hAnsi="宋体"/>
          <w:bCs/>
          <w:sz w:val="24"/>
          <w:szCs w:val="24"/>
          <w:lang w:val="en-US" w:eastAsia="zh-CN"/>
        </w:rPr>
        <w:t xml:space="preserve">3.9检具操作指导书根据技术要求制订，并悬挂在检具表面位置（或固定在检具基板的合理位置）。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Cs/>
          <w:sz w:val="24"/>
          <w:szCs w:val="24"/>
          <w:lang w:val="en-US" w:eastAsia="zh-CN"/>
        </w:rPr>
      </w:pPr>
      <w:r>
        <w:rPr>
          <w:rFonts w:hint="eastAsia" w:ascii="宋体" w:hAnsi="宋体"/>
          <w:bCs/>
          <w:sz w:val="24"/>
          <w:szCs w:val="24"/>
          <w:lang w:val="en-US" w:eastAsia="zh-CN"/>
        </w:rPr>
        <w:t xml:space="preserve">3.10检具涂色应分色正确、均匀、涂色规则无缺陷，符合技术协议涂色要求。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Cs/>
          <w:sz w:val="24"/>
          <w:szCs w:val="24"/>
          <w:lang w:val="en-US" w:eastAsia="zh-CN"/>
        </w:rPr>
      </w:pPr>
      <w:r>
        <w:rPr>
          <w:rFonts w:hint="eastAsia" w:ascii="宋体" w:hAnsi="宋体"/>
          <w:bCs/>
          <w:sz w:val="24"/>
          <w:szCs w:val="24"/>
          <w:lang w:val="en-US" w:eastAsia="zh-CN"/>
        </w:rPr>
        <w:t xml:space="preserve">3.11检具各工作表面应清洁、光整、无碰伤、无掉漆现象；检具整体无锈迹。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Cs/>
          <w:sz w:val="24"/>
          <w:szCs w:val="24"/>
          <w:lang w:val="en-US" w:eastAsia="zh-CN"/>
        </w:rPr>
      </w:pPr>
      <w:r>
        <w:rPr>
          <w:rFonts w:hint="eastAsia" w:ascii="宋体" w:hAnsi="宋体"/>
          <w:bCs/>
          <w:sz w:val="24"/>
          <w:szCs w:val="24"/>
          <w:lang w:val="en-US" w:eastAsia="zh-CN"/>
        </w:rPr>
        <w:t xml:space="preserve">3.12检具型块应平整，棱角分明，无凹坑、裂痕等缺陷。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Cs/>
          <w:sz w:val="24"/>
          <w:szCs w:val="24"/>
          <w:lang w:val="en-US" w:eastAsia="zh-CN"/>
        </w:rPr>
      </w:pPr>
      <w:r>
        <w:rPr>
          <w:rFonts w:hint="eastAsia" w:ascii="宋体" w:hAnsi="宋体"/>
          <w:bCs/>
          <w:sz w:val="24"/>
          <w:szCs w:val="24"/>
          <w:lang w:val="en-US" w:eastAsia="zh-CN"/>
        </w:rPr>
        <w:t xml:space="preserve">3.13检具各种标注应清晰，刻线粗细均匀、无间断等。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Cs/>
          <w:sz w:val="24"/>
          <w:szCs w:val="24"/>
          <w:lang w:val="en-US" w:eastAsia="zh-CN"/>
        </w:rPr>
      </w:pPr>
      <w:r>
        <w:rPr>
          <w:rFonts w:hint="eastAsia" w:ascii="宋体" w:hAnsi="宋体"/>
          <w:bCs/>
          <w:sz w:val="24"/>
          <w:szCs w:val="24"/>
          <w:lang w:val="en-US" w:eastAsia="zh-CN"/>
        </w:rPr>
        <w:t xml:space="preserve">3.14检具铭牌内容应准确、完整、规范，内容均为机打。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Cs/>
          <w:sz w:val="24"/>
          <w:szCs w:val="24"/>
          <w:lang w:val="en-US" w:eastAsia="zh-CN"/>
        </w:rPr>
      </w:pPr>
      <w:r>
        <w:rPr>
          <w:rFonts w:hint="eastAsia" w:ascii="宋体" w:hAnsi="宋体"/>
          <w:bCs/>
          <w:sz w:val="24"/>
          <w:szCs w:val="24"/>
          <w:lang w:val="en-US" w:eastAsia="zh-CN"/>
        </w:rPr>
        <w:t>3.15所有采用焊接方式连接的部位应焊接牢固，不允许存在焊接缺陷现象。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Cs/>
          <w:sz w:val="24"/>
          <w:szCs w:val="24"/>
          <w:lang w:val="en-US" w:eastAsia="zh-CN"/>
        </w:rPr>
      </w:pPr>
      <w:r>
        <w:rPr>
          <w:rFonts w:hint="eastAsia" w:ascii="宋体" w:hAnsi="宋体"/>
          <w:bCs/>
          <w:sz w:val="24"/>
          <w:szCs w:val="24"/>
          <w:lang w:val="en-US" w:eastAsia="zh-CN"/>
        </w:rPr>
        <w:t>3</w:t>
      </w:r>
      <w:r>
        <w:rPr>
          <w:rFonts w:hint="default" w:ascii="宋体" w:hAnsi="宋体"/>
          <w:bCs/>
          <w:sz w:val="24"/>
          <w:szCs w:val="24"/>
          <w:lang w:val="en-US" w:eastAsia="zh-CN"/>
        </w:rPr>
        <w:t>.</w:t>
      </w:r>
      <w:r>
        <w:rPr>
          <w:rFonts w:hint="eastAsia" w:ascii="宋体" w:hAnsi="宋体"/>
          <w:bCs/>
          <w:sz w:val="24"/>
          <w:szCs w:val="24"/>
          <w:lang w:val="en-US" w:eastAsia="zh-CN"/>
        </w:rPr>
        <w:t>16检具上的刻线应清晰可见，直线笔直，</w:t>
      </w:r>
      <w:r>
        <w:rPr>
          <w:rFonts w:hint="default" w:ascii="宋体" w:hAnsi="宋体"/>
          <w:bCs/>
          <w:sz w:val="24"/>
          <w:szCs w:val="24"/>
          <w:lang w:val="en-US" w:eastAsia="zh-CN"/>
        </w:rPr>
        <w:t xml:space="preserve">R </w:t>
      </w:r>
      <w:r>
        <w:rPr>
          <w:rFonts w:hint="eastAsia" w:ascii="宋体" w:hAnsi="宋体"/>
          <w:bCs/>
          <w:sz w:val="24"/>
          <w:szCs w:val="24"/>
          <w:lang w:val="en-US" w:eastAsia="zh-CN"/>
        </w:rPr>
        <w:t>圆滑，</w:t>
      </w:r>
      <w:r>
        <w:rPr>
          <w:rFonts w:hint="default" w:ascii="宋体" w:hAnsi="宋体"/>
          <w:bCs/>
          <w:sz w:val="24"/>
          <w:szCs w:val="24"/>
          <w:lang w:val="en-US" w:eastAsia="zh-CN"/>
        </w:rPr>
        <w:t xml:space="preserve">0mm </w:t>
      </w:r>
      <w:r>
        <w:rPr>
          <w:rFonts w:hint="eastAsia" w:ascii="宋体" w:hAnsi="宋体"/>
          <w:bCs/>
          <w:sz w:val="24"/>
          <w:szCs w:val="24"/>
          <w:lang w:val="en-US" w:eastAsia="zh-CN"/>
        </w:rPr>
        <w:t xml:space="preserve">及 </w:t>
      </w:r>
      <w:r>
        <w:rPr>
          <w:rFonts w:hint="default" w:ascii="宋体" w:hAnsi="宋体"/>
          <w:bCs/>
          <w:sz w:val="24"/>
          <w:szCs w:val="24"/>
          <w:lang w:val="en-US" w:eastAsia="zh-CN"/>
        </w:rPr>
        <w:t xml:space="preserve">5mm </w:t>
      </w:r>
      <w:r>
        <w:rPr>
          <w:rFonts w:hint="eastAsia" w:ascii="宋体" w:hAnsi="宋体"/>
          <w:bCs/>
          <w:sz w:val="24"/>
          <w:szCs w:val="24"/>
          <w:lang w:val="en-US" w:eastAsia="zh-CN"/>
        </w:rPr>
        <w:t xml:space="preserve">刻线与百线不允许交叉、过线等缺陷。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Cs/>
          <w:sz w:val="24"/>
          <w:szCs w:val="24"/>
          <w:lang w:val="en-US" w:eastAsia="zh-CN"/>
        </w:rPr>
      </w:pPr>
      <w:r>
        <w:rPr>
          <w:rFonts w:hint="eastAsia" w:ascii="宋体" w:hAnsi="宋体"/>
          <w:bCs/>
          <w:sz w:val="24"/>
          <w:szCs w:val="24"/>
          <w:lang w:val="en-US" w:eastAsia="zh-CN"/>
        </w:rPr>
        <w:t xml:space="preserve">3.17基板表面目视无较大凸包和凹坑。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Cs/>
          <w:sz w:val="24"/>
          <w:szCs w:val="24"/>
          <w:lang w:val="en-US" w:eastAsia="zh-CN"/>
        </w:rPr>
      </w:pPr>
      <w:r>
        <w:rPr>
          <w:rFonts w:hint="eastAsia" w:ascii="宋体" w:hAnsi="宋体"/>
          <w:bCs/>
          <w:sz w:val="24"/>
          <w:szCs w:val="24"/>
          <w:lang w:val="en-US" w:eastAsia="zh-CN"/>
        </w:rPr>
        <w:t xml:space="preserve">3.18左右件共用基板的检具应有左右区分标识。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Cs/>
          <w:sz w:val="24"/>
          <w:szCs w:val="24"/>
          <w:lang w:val="en-US" w:eastAsia="zh-CN"/>
        </w:rPr>
      </w:pPr>
      <w:r>
        <w:rPr>
          <w:rFonts w:hint="eastAsia" w:ascii="宋体" w:hAnsi="宋体"/>
          <w:bCs/>
          <w:sz w:val="24"/>
          <w:szCs w:val="24"/>
          <w:lang w:val="en-US" w:eastAsia="zh-CN"/>
        </w:rPr>
        <w:t>3.19检具采用自动式三坐标测量仪测量：设备精度在±</w:t>
      </w:r>
      <w:r>
        <w:rPr>
          <w:rFonts w:hint="default" w:ascii="宋体" w:hAnsi="宋体"/>
          <w:bCs/>
          <w:sz w:val="24"/>
          <w:szCs w:val="24"/>
          <w:lang w:val="en-US" w:eastAsia="zh-CN"/>
        </w:rPr>
        <w:t xml:space="preserve">0.01mm </w:t>
      </w:r>
      <w:r>
        <w:rPr>
          <w:rFonts w:hint="eastAsia" w:ascii="宋体" w:hAnsi="宋体"/>
          <w:bCs/>
          <w:sz w:val="24"/>
          <w:szCs w:val="24"/>
          <w:lang w:val="en-US" w:eastAsia="zh-CN"/>
        </w:rPr>
        <w:t xml:space="preserve">以内（应在检定使用周期内且附有三坐标测量仪精度检定报告），测量位置包括检具定位销（导向轴套）、所有检测用的导向轴套、划线孔的位置度、基准面及支撑面的位置等。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Cs/>
          <w:sz w:val="24"/>
          <w:szCs w:val="24"/>
          <w:lang w:val="en-US" w:eastAsia="zh-CN"/>
        </w:rPr>
      </w:pPr>
      <w:r>
        <w:rPr>
          <w:rFonts w:hint="eastAsia" w:ascii="宋体" w:hAnsi="宋体"/>
          <w:bCs/>
          <w:sz w:val="24"/>
          <w:szCs w:val="24"/>
          <w:lang w:val="en-US" w:eastAsia="zh-CN"/>
        </w:rPr>
        <w:t>3.20检具原材料(如：角架、堆积块、铰链、导板、螺钉和键等)应尽可能选用可采购到的标准件。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bCs/>
          <w:sz w:val="24"/>
          <w:szCs w:val="24"/>
          <w:lang w:val="en-US" w:eastAsia="zh-CN"/>
        </w:rPr>
      </w:pPr>
      <w:bookmarkStart w:id="111" w:name="_Toc29226332"/>
      <w:bookmarkStart w:id="112" w:name="_Toc245193637"/>
      <w:bookmarkStart w:id="113" w:name="_Toc246218123"/>
      <w:bookmarkStart w:id="114" w:name="_Toc6377"/>
      <w:r>
        <w:rPr>
          <w:rFonts w:hint="eastAsia" w:ascii="宋体" w:hAnsi="宋体"/>
          <w:bCs/>
          <w:sz w:val="24"/>
          <w:szCs w:val="24"/>
          <w:lang w:val="en-US" w:eastAsia="zh-CN"/>
        </w:rPr>
        <w:t>3.21标牌标识信息（当需要时进行更新）：车型、零件名称、零件号、检具编号、测量基准、外形尺寸及重量，并在小铭牌上标示版本号（设变后小铭牌要及时更新）。标牌应制作成蓝底白字形式，材质为铝，并在醒目且不易损坏的底板位置上牢固固定。具体的形式由投标方提出，招标方确认后进行制作。</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b/>
          <w:bCs w:val="0"/>
          <w:sz w:val="24"/>
          <w:szCs w:val="24"/>
          <w:lang w:val="en-US" w:eastAsia="zh-CN"/>
        </w:rPr>
      </w:pPr>
      <w:r>
        <w:rPr>
          <w:rFonts w:hint="eastAsia" w:ascii="宋体" w:hAnsi="宋体"/>
          <w:b/>
          <w:bCs w:val="0"/>
          <w:sz w:val="24"/>
          <w:szCs w:val="24"/>
          <w:lang w:val="en-US" w:eastAsia="zh-CN"/>
        </w:rPr>
        <w:t>4、检具的功能要求</w:t>
      </w:r>
      <w:bookmarkEnd w:id="111"/>
      <w:bookmarkEnd w:id="112"/>
      <w:bookmarkEnd w:id="113"/>
      <w:bookmarkEnd w:id="114"/>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Cs/>
          <w:sz w:val="24"/>
          <w:szCs w:val="24"/>
          <w:lang w:val="en-US" w:eastAsia="zh-CN"/>
        </w:rPr>
      </w:pPr>
      <w:bookmarkStart w:id="115" w:name="_Toc29226333"/>
      <w:r>
        <w:rPr>
          <w:rFonts w:hint="eastAsia" w:ascii="宋体" w:hAnsi="宋体"/>
          <w:bCs/>
          <w:sz w:val="24"/>
          <w:szCs w:val="24"/>
          <w:lang w:val="en-US" w:eastAsia="zh-CN"/>
        </w:rPr>
        <w:t>4.1单件检具必须满足的检测功能：</w:t>
      </w:r>
      <w:bookmarkEnd w:id="115"/>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Cs/>
          <w:sz w:val="24"/>
          <w:szCs w:val="24"/>
          <w:lang w:val="en-US" w:eastAsia="zh-CN"/>
        </w:rPr>
      </w:pPr>
      <w:r>
        <w:rPr>
          <w:rFonts w:hint="eastAsia" w:ascii="宋体" w:hAnsi="宋体"/>
          <w:bCs/>
          <w:sz w:val="24"/>
          <w:szCs w:val="24"/>
          <w:lang w:val="en-US" w:eastAsia="zh-CN"/>
        </w:rPr>
        <w:t>4.1.1检测单件周边间隙、面差及功能孔；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Cs/>
          <w:sz w:val="24"/>
          <w:szCs w:val="24"/>
          <w:lang w:val="en-US" w:eastAsia="zh-CN"/>
        </w:rPr>
      </w:pPr>
      <w:r>
        <w:rPr>
          <w:rFonts w:hint="eastAsia" w:ascii="宋体" w:hAnsi="宋体"/>
          <w:bCs/>
          <w:sz w:val="24"/>
          <w:szCs w:val="24"/>
          <w:lang w:val="en-US" w:eastAsia="zh-CN"/>
        </w:rPr>
        <w:t>4.1.2检测特性线及有特殊要求的型面（带有样规时）；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Cs/>
          <w:sz w:val="24"/>
          <w:szCs w:val="24"/>
          <w:lang w:val="en-US" w:eastAsia="zh-CN"/>
        </w:rPr>
      </w:pPr>
      <w:bookmarkStart w:id="116" w:name="_Toc29226334"/>
      <w:r>
        <w:rPr>
          <w:rFonts w:hint="eastAsia" w:ascii="宋体" w:hAnsi="宋体"/>
          <w:bCs/>
          <w:sz w:val="24"/>
          <w:szCs w:val="24"/>
          <w:lang w:val="en-US" w:eastAsia="zh-CN"/>
        </w:rPr>
        <w:t>4.2在检查功能表面上对检查位置做出标识：</w:t>
      </w:r>
      <w:bookmarkEnd w:id="116"/>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Cs/>
          <w:sz w:val="24"/>
          <w:szCs w:val="24"/>
          <w:lang w:val="en-US" w:eastAsia="zh-CN"/>
        </w:rPr>
      </w:pPr>
      <w:r>
        <w:rPr>
          <w:rFonts w:hint="eastAsia" w:ascii="宋体" w:hAnsi="宋体"/>
          <w:bCs/>
          <w:sz w:val="24"/>
          <w:szCs w:val="24"/>
          <w:lang w:val="en-US" w:eastAsia="zh-CN"/>
        </w:rPr>
        <w:t>4.2.1检测功能块基体材质为铝质的，采取刻度线方式，刻度线规格：深度0.5mm，宽度0.5mm，长度3～5mm统一标准；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Cs/>
          <w:sz w:val="24"/>
          <w:szCs w:val="24"/>
          <w:lang w:val="en-US" w:eastAsia="zh-CN"/>
        </w:rPr>
      </w:pPr>
      <w:r>
        <w:rPr>
          <w:rFonts w:hint="eastAsia" w:ascii="宋体" w:hAnsi="宋体"/>
          <w:bCs/>
          <w:sz w:val="24"/>
          <w:szCs w:val="24"/>
          <w:lang w:val="en-US" w:eastAsia="zh-CN"/>
        </w:rPr>
        <w:t>4.2.2检查功能表面在形状交汇处有测量点时要求棱角分明，不影响测量精度。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Cs/>
          <w:sz w:val="24"/>
          <w:szCs w:val="24"/>
          <w:lang w:val="en-US" w:eastAsia="zh-CN"/>
        </w:rPr>
      </w:pPr>
      <w:r>
        <w:rPr>
          <w:rFonts w:hint="eastAsia" w:ascii="宋体" w:hAnsi="宋体"/>
          <w:bCs/>
          <w:sz w:val="24"/>
          <w:szCs w:val="24"/>
          <w:lang w:val="en-US" w:eastAsia="zh-CN"/>
        </w:rPr>
        <w:t>4.2.3如被测制件发生改变时，检具也要做出相应的变更。</w:t>
      </w:r>
      <w:bookmarkStart w:id="117" w:name="_Toc246218124"/>
      <w:bookmarkStart w:id="118" w:name="_Toc245193641"/>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b/>
          <w:bCs w:val="0"/>
          <w:sz w:val="24"/>
          <w:szCs w:val="24"/>
          <w:lang w:val="en-US" w:eastAsia="zh-CN"/>
        </w:rPr>
      </w:pPr>
      <w:bookmarkStart w:id="119" w:name="_Toc12201"/>
      <w:bookmarkStart w:id="120" w:name="_Toc29226335"/>
      <w:r>
        <w:rPr>
          <w:rFonts w:hint="eastAsia" w:ascii="宋体" w:hAnsi="宋体"/>
          <w:b/>
          <w:bCs w:val="0"/>
          <w:sz w:val="24"/>
          <w:szCs w:val="24"/>
          <w:lang w:val="en-US" w:eastAsia="zh-CN"/>
        </w:rPr>
        <w:t>5、检具重复性与再现性要求</w:t>
      </w:r>
      <w:bookmarkEnd w:id="117"/>
      <w:bookmarkEnd w:id="118"/>
      <w:bookmarkEnd w:id="119"/>
      <w:bookmarkEnd w:id="12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Cs/>
          <w:sz w:val="24"/>
          <w:szCs w:val="24"/>
          <w:lang w:val="en-US" w:eastAsia="zh-CN"/>
        </w:rPr>
      </w:pPr>
      <w:r>
        <w:rPr>
          <w:rFonts w:hint="eastAsia" w:ascii="宋体" w:hAnsi="宋体"/>
          <w:bCs/>
          <w:sz w:val="24"/>
          <w:szCs w:val="24"/>
          <w:lang w:val="en-US" w:eastAsia="zh-CN"/>
        </w:rPr>
        <w:t xml:space="preserve">5.1在进行检具重复性和再现性校核时，在被测零件上选取的点应尽可能远离定位基准。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Cs/>
          <w:sz w:val="24"/>
          <w:szCs w:val="24"/>
          <w:lang w:val="en-US" w:eastAsia="zh-CN"/>
        </w:rPr>
      </w:pPr>
      <w:r>
        <w:rPr>
          <w:rFonts w:hint="eastAsia" w:ascii="宋体" w:hAnsi="宋体"/>
          <w:bCs/>
          <w:sz w:val="24"/>
          <w:szCs w:val="24"/>
          <w:lang w:val="en-US" w:eastAsia="zh-CN"/>
        </w:rPr>
        <w:t xml:space="preserve">5.2有可能需要更多的测量点，这取决于被测零件的大小和刚度。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Cs/>
          <w:sz w:val="24"/>
          <w:szCs w:val="24"/>
          <w:lang w:val="en-US" w:eastAsia="zh-CN"/>
        </w:rPr>
      </w:pPr>
      <w:r>
        <w:rPr>
          <w:rFonts w:hint="eastAsia" w:ascii="宋体" w:hAnsi="宋体"/>
          <w:bCs/>
          <w:sz w:val="24"/>
          <w:szCs w:val="24"/>
          <w:lang w:val="en-US" w:eastAsia="zh-CN"/>
        </w:rPr>
        <w:t>5.3重复性和再现性的判别标准：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Cs/>
          <w:sz w:val="24"/>
          <w:szCs w:val="24"/>
          <w:lang w:val="en-US" w:eastAsia="zh-CN"/>
        </w:rPr>
      </w:pPr>
      <w:r>
        <w:rPr>
          <w:rFonts w:hint="eastAsia" w:ascii="宋体" w:hAnsi="宋体"/>
          <w:bCs/>
          <w:sz w:val="24"/>
          <w:szCs w:val="24"/>
          <w:lang w:val="en-US" w:eastAsia="zh-CN"/>
        </w:rPr>
        <w:t xml:space="preserve">A、误差&lt;10% 测量系统可接受；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Cs/>
          <w:sz w:val="24"/>
          <w:szCs w:val="24"/>
          <w:lang w:val="en-US" w:eastAsia="zh-CN"/>
        </w:rPr>
      </w:pPr>
      <w:r>
        <w:rPr>
          <w:rFonts w:hint="eastAsia" w:ascii="宋体" w:hAnsi="宋体"/>
          <w:bCs/>
          <w:sz w:val="24"/>
          <w:szCs w:val="24"/>
          <w:lang w:val="en-US" w:eastAsia="zh-CN"/>
        </w:rPr>
        <w:t>B、30%≥误差≥10% 可能被接受，取决于实际应用的重要性、检具成本、修复费用等。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Cs/>
          <w:sz w:val="24"/>
          <w:szCs w:val="24"/>
          <w:lang w:val="en-US" w:eastAsia="zh-CN"/>
        </w:rPr>
      </w:pPr>
      <w:r>
        <w:rPr>
          <w:rFonts w:hint="eastAsia" w:ascii="宋体" w:hAnsi="宋体"/>
          <w:bCs/>
          <w:sz w:val="24"/>
          <w:szCs w:val="24"/>
          <w:lang w:val="en-US" w:eastAsia="zh-CN"/>
        </w:rPr>
        <w:t>C、误差≥30% 必须改进检具系统，尽力找出问题并纠正。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Cs/>
          <w:sz w:val="24"/>
          <w:szCs w:val="24"/>
          <w:lang w:val="en-US" w:eastAsia="zh-CN"/>
        </w:rPr>
      </w:pPr>
      <w:r>
        <w:rPr>
          <w:rFonts w:hint="eastAsia" w:ascii="宋体" w:hAnsi="宋体"/>
          <w:bCs/>
          <w:sz w:val="24"/>
          <w:szCs w:val="24"/>
          <w:lang w:val="en-US" w:eastAsia="zh-CN"/>
        </w:rPr>
        <w:t>5.4当检具发生影响重复性和再现性的修改后，应进行再次校核。</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Times New Roman"/>
          <w:b/>
          <w:bCs w:val="0"/>
          <w:kern w:val="2"/>
          <w:sz w:val="24"/>
          <w:szCs w:val="24"/>
          <w:lang w:val="en-US" w:eastAsia="zh-CN" w:bidi="ar-SA"/>
        </w:rPr>
      </w:pPr>
      <w:bookmarkStart w:id="121" w:name="_Toc10762"/>
      <w:bookmarkStart w:id="122" w:name="_Toc12490"/>
      <w:bookmarkStart w:id="123" w:name="_Toc17621"/>
      <w:r>
        <w:rPr>
          <w:rFonts w:hint="eastAsia" w:ascii="宋体" w:hAnsi="宋体"/>
          <w:b/>
          <w:bCs w:val="0"/>
          <w:sz w:val="24"/>
          <w:szCs w:val="24"/>
          <w:lang w:val="en-US" w:eastAsia="zh-CN"/>
        </w:rPr>
        <w:t>6、</w:t>
      </w:r>
      <w:r>
        <w:rPr>
          <w:rFonts w:hint="eastAsia" w:ascii="宋体" w:hAnsi="宋体" w:eastAsia="宋体" w:cs="Times New Roman"/>
          <w:b/>
          <w:bCs w:val="0"/>
          <w:kern w:val="2"/>
          <w:sz w:val="24"/>
          <w:szCs w:val="24"/>
          <w:lang w:val="en-US" w:eastAsia="zh-CN" w:bidi="ar-SA"/>
        </w:rPr>
        <w:t>备品、备件</w:t>
      </w:r>
      <w:bookmarkEnd w:id="121"/>
      <w:bookmarkEnd w:id="122"/>
      <w:bookmarkEnd w:id="123"/>
    </w:p>
    <w:p>
      <w:pPr>
        <w:snapToGrid w:val="0"/>
        <w:spacing w:line="360" w:lineRule="auto"/>
        <w:ind w:firstLine="480" w:firstLineChars="200"/>
        <w:rPr>
          <w:rFonts w:hint="eastAsia" w:hAnsi="宋体" w:eastAsia="宋体"/>
          <w:sz w:val="24"/>
          <w:lang w:eastAsia="zh-CN"/>
        </w:rPr>
      </w:pPr>
      <w:r>
        <w:rPr>
          <w:rFonts w:hint="eastAsia" w:hAnsi="宋体"/>
          <w:sz w:val="24"/>
        </w:rPr>
        <w:t>投标方向招标方提供备件清单，由招标方确认最终选择哪些作为备品备件。</w:t>
      </w:r>
      <w:r>
        <w:rPr>
          <w:rFonts w:hint="eastAsia" w:hAnsi="宋体"/>
          <w:sz w:val="24"/>
          <w:lang w:val="en-US" w:eastAsia="zh-CN"/>
        </w:rPr>
        <w:t>本次招标投标方仅需提出备品、备件清单，</w:t>
      </w:r>
      <w:r>
        <w:rPr>
          <w:rFonts w:hint="eastAsia" w:ascii="宋体" w:hAnsi="宋体"/>
          <w:bCs/>
          <w:sz w:val="24"/>
          <w:szCs w:val="24"/>
        </w:rPr>
        <w:t>本次招标报价不包含备品备件、易损件和专用耗材的费用</w:t>
      </w:r>
      <w:r>
        <w:rPr>
          <w:rFonts w:hint="eastAsia" w:ascii="宋体" w:hAnsi="宋体"/>
          <w:bCs/>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Times New Roman"/>
          <w:b/>
          <w:bCs w:val="0"/>
          <w:kern w:val="2"/>
          <w:sz w:val="24"/>
          <w:szCs w:val="24"/>
          <w:lang w:val="en-US" w:eastAsia="zh-CN" w:bidi="ar-SA"/>
        </w:rPr>
      </w:pPr>
      <w:bookmarkStart w:id="124" w:name="_Toc26204"/>
      <w:bookmarkStart w:id="125" w:name="_Toc26357134"/>
      <w:bookmarkStart w:id="126" w:name="_Toc27758126"/>
      <w:bookmarkStart w:id="127" w:name="_Toc29715"/>
      <w:bookmarkStart w:id="128" w:name="_Toc11449"/>
      <w:r>
        <w:rPr>
          <w:rFonts w:hint="eastAsia" w:ascii="宋体" w:hAnsi="宋体"/>
          <w:b/>
          <w:bCs w:val="0"/>
          <w:sz w:val="24"/>
          <w:szCs w:val="24"/>
          <w:lang w:val="en-US" w:eastAsia="zh-CN"/>
        </w:rPr>
        <w:t>7、</w:t>
      </w:r>
      <w:r>
        <w:rPr>
          <w:rFonts w:hint="eastAsia" w:ascii="宋体" w:hAnsi="宋体" w:eastAsia="宋体" w:cs="Times New Roman"/>
          <w:b/>
          <w:bCs w:val="0"/>
          <w:kern w:val="2"/>
          <w:sz w:val="24"/>
          <w:szCs w:val="24"/>
          <w:lang w:val="en-US" w:eastAsia="zh-CN" w:bidi="ar-SA"/>
        </w:rPr>
        <w:t>验收</w:t>
      </w:r>
      <w:bookmarkEnd w:id="124"/>
      <w:bookmarkEnd w:id="125"/>
      <w:bookmarkEnd w:id="126"/>
      <w:bookmarkEnd w:id="127"/>
      <w:bookmarkEnd w:id="128"/>
    </w:p>
    <w:p>
      <w:pPr>
        <w:spacing w:line="360" w:lineRule="auto"/>
        <w:ind w:firstLine="480" w:firstLineChars="200"/>
        <w:jc w:val="left"/>
        <w:rPr>
          <w:rFonts w:hint="eastAsia" w:ascii="宋体" w:hAnsi="宋体"/>
          <w:bCs/>
          <w:sz w:val="24"/>
          <w:szCs w:val="24"/>
          <w:lang w:val="en-US" w:eastAsia="zh-CN"/>
        </w:rPr>
      </w:pPr>
      <w:r>
        <w:rPr>
          <w:rFonts w:hint="eastAsia" w:ascii="宋体" w:hAnsi="宋体"/>
          <w:bCs/>
          <w:sz w:val="24"/>
          <w:szCs w:val="24"/>
          <w:lang w:val="en-US" w:eastAsia="zh-CN"/>
        </w:rPr>
        <w:t>检具验收标准：根据评审后的检具设计、加工、制造标准进行验收。</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b/>
          <w:bCs w:val="0"/>
          <w:sz w:val="24"/>
          <w:szCs w:val="24"/>
          <w:lang w:val="en-US" w:eastAsia="zh-CN"/>
        </w:rPr>
      </w:pPr>
      <w:r>
        <w:rPr>
          <w:rFonts w:hint="eastAsia" w:ascii="宋体" w:hAnsi="宋体"/>
          <w:b/>
          <w:bCs w:val="0"/>
          <w:sz w:val="24"/>
          <w:szCs w:val="24"/>
          <w:lang w:val="en-US" w:eastAsia="zh-CN"/>
        </w:rPr>
        <w:t>7.1检具的预验收</w:t>
      </w:r>
    </w:p>
    <w:p>
      <w:pPr>
        <w:spacing w:line="360" w:lineRule="auto"/>
        <w:ind w:firstLine="480" w:firstLineChars="200"/>
        <w:jc w:val="left"/>
        <w:rPr>
          <w:rFonts w:hint="eastAsia" w:ascii="宋体" w:hAnsi="宋体"/>
          <w:bCs/>
          <w:sz w:val="24"/>
          <w:szCs w:val="24"/>
          <w:lang w:val="en-US" w:eastAsia="zh-CN"/>
        </w:rPr>
      </w:pPr>
      <w:r>
        <w:rPr>
          <w:rFonts w:hint="eastAsia" w:ascii="宋体" w:hAnsi="宋体"/>
          <w:bCs/>
          <w:sz w:val="24"/>
          <w:szCs w:val="24"/>
          <w:lang w:val="en-US" w:eastAsia="zh-CN"/>
        </w:rPr>
        <w:t>A、检具预验收地点在检具生产现场，</w:t>
      </w:r>
      <w:r>
        <w:rPr>
          <w:rFonts w:hint="eastAsia" w:ascii="宋体" w:hAnsi="宋体"/>
          <w:sz w:val="24"/>
        </w:rPr>
        <w:t>投标方在设备制造地点进行自验收，验收通过后，通知招标方到</w:t>
      </w:r>
      <w:r>
        <w:rPr>
          <w:rFonts w:ascii="宋体" w:hAnsi="宋体"/>
          <w:sz w:val="24"/>
        </w:rPr>
        <w:t>制造地点进行</w:t>
      </w:r>
      <w:r>
        <w:rPr>
          <w:rFonts w:hint="eastAsia" w:ascii="宋体" w:hAnsi="宋体"/>
          <w:sz w:val="24"/>
        </w:rPr>
        <w:t>项目</w:t>
      </w:r>
      <w:r>
        <w:rPr>
          <w:rFonts w:ascii="宋体" w:hAnsi="宋体"/>
          <w:sz w:val="24"/>
        </w:rPr>
        <w:t>预验收。</w:t>
      </w:r>
    </w:p>
    <w:p>
      <w:pPr>
        <w:spacing w:line="360" w:lineRule="auto"/>
        <w:ind w:firstLine="480" w:firstLineChars="200"/>
        <w:jc w:val="left"/>
        <w:rPr>
          <w:rFonts w:hint="eastAsia" w:ascii="宋体" w:hAnsi="宋体"/>
          <w:bCs/>
          <w:sz w:val="24"/>
          <w:szCs w:val="24"/>
          <w:lang w:val="en-US" w:eastAsia="zh-CN"/>
        </w:rPr>
      </w:pPr>
      <w:r>
        <w:rPr>
          <w:rFonts w:hint="eastAsia" w:ascii="宋体" w:hAnsi="宋体"/>
          <w:bCs/>
          <w:sz w:val="24"/>
          <w:szCs w:val="24"/>
          <w:lang w:val="en-US" w:eastAsia="zh-CN"/>
        </w:rPr>
        <w:t>投标方只有在检具全部完工（包括标牌的固定，夹钳、样板安装，喷漆完成），具备预验收条件后，方可向招标方提交预验收申请。</w:t>
      </w:r>
    </w:p>
    <w:p>
      <w:pPr>
        <w:spacing w:line="360" w:lineRule="auto"/>
        <w:ind w:firstLine="480" w:firstLineChars="200"/>
        <w:jc w:val="left"/>
        <w:rPr>
          <w:rFonts w:hint="eastAsia" w:ascii="宋体" w:hAnsi="宋体"/>
          <w:bCs/>
          <w:sz w:val="24"/>
          <w:szCs w:val="24"/>
          <w:lang w:val="en-US" w:eastAsia="zh-CN"/>
        </w:rPr>
      </w:pPr>
      <w:r>
        <w:rPr>
          <w:rFonts w:hint="eastAsia" w:ascii="宋体" w:hAnsi="宋体"/>
          <w:bCs/>
          <w:sz w:val="24"/>
          <w:szCs w:val="24"/>
          <w:lang w:val="en-US" w:eastAsia="zh-CN"/>
        </w:rPr>
        <w:t>B、在进行预验收前投标方应先对检具按数模及图纸在三坐标测量机上进行尺寸检验，且对检具进行重复性检验，编制自检报告（包含《检具测量记录表》、检测时的环境温度和相对湿度等内容），自检合格后方可通知招标方到现场进行预验收。</w:t>
      </w:r>
    </w:p>
    <w:p>
      <w:pPr>
        <w:spacing w:line="360" w:lineRule="auto"/>
        <w:ind w:firstLine="480" w:firstLineChars="200"/>
        <w:jc w:val="left"/>
        <w:rPr>
          <w:rFonts w:hint="eastAsia" w:ascii="宋体" w:hAnsi="宋体"/>
          <w:bCs/>
          <w:sz w:val="24"/>
          <w:szCs w:val="24"/>
          <w:lang w:val="en-US" w:eastAsia="zh-CN"/>
        </w:rPr>
      </w:pPr>
      <w:r>
        <w:rPr>
          <w:rFonts w:hint="eastAsia" w:ascii="宋体" w:hAnsi="宋体"/>
          <w:bCs/>
          <w:sz w:val="24"/>
          <w:szCs w:val="24"/>
          <w:lang w:val="en-US" w:eastAsia="zh-CN"/>
        </w:rPr>
        <w:t>C、《检具测量记录表》内容包括检具精度的自检报告，测量机精度报告及销子等附件的测量报告等。检具精度的报告应包含主要坐标和关键检验点的坐标。</w:t>
      </w:r>
    </w:p>
    <w:p>
      <w:pPr>
        <w:spacing w:line="360" w:lineRule="auto"/>
        <w:ind w:firstLine="480" w:firstLineChars="200"/>
        <w:jc w:val="left"/>
        <w:rPr>
          <w:rFonts w:hint="eastAsia" w:ascii="宋体" w:hAnsi="宋体"/>
          <w:bCs/>
          <w:sz w:val="24"/>
          <w:szCs w:val="24"/>
          <w:lang w:val="en-US" w:eastAsia="zh-CN"/>
        </w:rPr>
      </w:pPr>
      <w:r>
        <w:rPr>
          <w:rFonts w:hint="eastAsia" w:ascii="宋体" w:hAnsi="宋体"/>
          <w:bCs/>
          <w:sz w:val="24"/>
          <w:szCs w:val="24"/>
          <w:lang w:val="en-US" w:eastAsia="zh-CN"/>
        </w:rPr>
        <w:t>D、预验收时双方依照检具技术资料（包含《检具制造检查表》、《检具设计检查表》、《检具设计变更记录表》等）逐项对检具进行确认并进行复检。只有投标方将在检具验收过程中所发现的问题整改到位，并经招标方检验确认后双方签署《检具预验收合格报告》，由投标方装箱发运。</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b/>
          <w:bCs w:val="0"/>
          <w:sz w:val="24"/>
          <w:szCs w:val="24"/>
          <w:lang w:val="en-US" w:eastAsia="zh-CN"/>
        </w:rPr>
      </w:pPr>
      <w:r>
        <w:rPr>
          <w:rFonts w:hint="eastAsia" w:ascii="宋体" w:hAnsi="宋体"/>
          <w:b/>
          <w:bCs w:val="0"/>
          <w:sz w:val="24"/>
          <w:szCs w:val="24"/>
          <w:lang w:val="en-US" w:eastAsia="zh-CN"/>
        </w:rPr>
        <w:t>7.2检具的终验收</w:t>
      </w:r>
    </w:p>
    <w:p>
      <w:pPr>
        <w:spacing w:line="360" w:lineRule="auto"/>
        <w:ind w:firstLine="480" w:firstLineChars="200"/>
        <w:jc w:val="left"/>
        <w:rPr>
          <w:rFonts w:hint="eastAsia" w:ascii="宋体" w:hAnsi="宋体"/>
          <w:bCs/>
          <w:sz w:val="24"/>
          <w:szCs w:val="24"/>
          <w:lang w:val="en-US" w:eastAsia="zh-CN"/>
        </w:rPr>
      </w:pPr>
      <w:r>
        <w:rPr>
          <w:rFonts w:hint="eastAsia" w:ascii="宋体" w:hAnsi="宋体"/>
          <w:bCs/>
          <w:sz w:val="24"/>
          <w:szCs w:val="24"/>
          <w:lang w:val="en-US" w:eastAsia="zh-CN"/>
        </w:rPr>
        <w:t>A、检具的终验收地点在检具使用现场，且</w:t>
      </w:r>
      <w:r>
        <w:rPr>
          <w:rFonts w:hint="eastAsia" w:hAnsi="宋体"/>
          <w:color w:val="000000"/>
          <w:sz w:val="24"/>
        </w:rPr>
        <w:t>终验收时，检具的运输工作由检具厂家负责。终验收工作按照技术协议、预验收纪要和设计图纸进行。对预验收遗留问题及需改进之处，</w:t>
      </w:r>
      <w:r>
        <w:rPr>
          <w:rFonts w:hAnsi="宋体"/>
          <w:color w:val="000000"/>
          <w:sz w:val="24"/>
        </w:rPr>
        <w:t xml:space="preserve"> </w:t>
      </w:r>
      <w:r>
        <w:rPr>
          <w:rFonts w:hint="eastAsia" w:hAnsi="宋体"/>
          <w:color w:val="000000"/>
          <w:sz w:val="24"/>
        </w:rPr>
        <w:t>按预验收纪要的要求予以解决和改进，且必须保证终验收时</w:t>
      </w:r>
      <w:r>
        <w:rPr>
          <w:rFonts w:hAnsi="宋体"/>
          <w:color w:val="000000"/>
          <w:sz w:val="24"/>
        </w:rPr>
        <w:t>3D</w:t>
      </w:r>
      <w:r>
        <w:rPr>
          <w:rFonts w:hint="eastAsia" w:hAnsi="宋体"/>
          <w:color w:val="000000"/>
          <w:sz w:val="24"/>
        </w:rPr>
        <w:t>方案及</w:t>
      </w:r>
      <w:r>
        <w:rPr>
          <w:rFonts w:hAnsi="宋体"/>
          <w:color w:val="000000"/>
          <w:sz w:val="24"/>
        </w:rPr>
        <w:t>2D</w:t>
      </w:r>
      <w:r>
        <w:rPr>
          <w:rFonts w:hint="eastAsia" w:hAnsi="宋体"/>
          <w:color w:val="000000"/>
          <w:sz w:val="24"/>
        </w:rPr>
        <w:t>图纸的一致性。</w:t>
      </w:r>
    </w:p>
    <w:p>
      <w:pPr>
        <w:spacing w:line="360" w:lineRule="auto"/>
        <w:ind w:firstLine="480" w:firstLineChars="200"/>
        <w:jc w:val="left"/>
        <w:rPr>
          <w:rFonts w:hint="eastAsia" w:ascii="宋体" w:hAnsi="宋体"/>
          <w:bCs/>
          <w:sz w:val="24"/>
          <w:szCs w:val="24"/>
          <w:lang w:val="en-US" w:eastAsia="zh-CN"/>
        </w:rPr>
      </w:pPr>
      <w:r>
        <w:rPr>
          <w:rFonts w:hint="eastAsia" w:ascii="宋体" w:hAnsi="宋体"/>
          <w:bCs/>
          <w:sz w:val="24"/>
          <w:szCs w:val="24"/>
          <w:lang w:val="en-US" w:eastAsia="zh-CN"/>
        </w:rPr>
        <w:t>B、在检具终验收前，投标方应对检具使用、维保相关人员进行必要的技术培训，确保相关人员在终验收后能独立进行操作与维修工作。</w:t>
      </w:r>
    </w:p>
    <w:p>
      <w:pPr>
        <w:spacing w:line="360" w:lineRule="auto"/>
        <w:ind w:firstLine="480" w:firstLineChars="200"/>
        <w:jc w:val="left"/>
        <w:rPr>
          <w:rFonts w:hint="eastAsia" w:ascii="宋体" w:hAnsi="宋体"/>
          <w:bCs/>
          <w:sz w:val="24"/>
          <w:szCs w:val="24"/>
          <w:lang w:val="en-US" w:eastAsia="zh-CN"/>
        </w:rPr>
      </w:pPr>
      <w:r>
        <w:rPr>
          <w:rFonts w:hint="eastAsia" w:ascii="宋体" w:hAnsi="宋体"/>
          <w:bCs/>
          <w:sz w:val="24"/>
          <w:szCs w:val="24"/>
          <w:lang w:val="en-US" w:eastAsia="zh-CN"/>
        </w:rPr>
        <w:t>C、当检具在验收过程中被发现尺寸不合格或不符合规定时，投标方负责找出原因并整改。</w:t>
      </w:r>
    </w:p>
    <w:p>
      <w:pPr>
        <w:spacing w:line="360" w:lineRule="auto"/>
        <w:ind w:firstLine="480" w:firstLineChars="200"/>
        <w:jc w:val="left"/>
        <w:rPr>
          <w:rFonts w:hint="eastAsia" w:ascii="宋体" w:hAnsi="宋体"/>
          <w:bCs/>
          <w:sz w:val="24"/>
          <w:szCs w:val="24"/>
          <w:lang w:val="en-US" w:eastAsia="zh-CN"/>
        </w:rPr>
      </w:pPr>
      <w:r>
        <w:rPr>
          <w:rFonts w:hint="eastAsia" w:ascii="宋体" w:hAnsi="宋体"/>
          <w:bCs/>
          <w:sz w:val="24"/>
          <w:szCs w:val="24"/>
          <w:lang w:val="en-US" w:eastAsia="zh-CN"/>
        </w:rPr>
        <w:t>D、精度验收必须以三坐标测量机进行精度检测，检测合格后，投标方签署精度测量合格报告。精度测量报告至少包括对以下内容的检测：定位基准、检具的功能特性（比如数据采集装置、持平检测、支座点、检具销、定位销、匹配件的代表性、结构球等）等。</w:t>
      </w:r>
    </w:p>
    <w:p>
      <w:pPr>
        <w:spacing w:line="360" w:lineRule="auto"/>
        <w:ind w:firstLine="480" w:firstLineChars="200"/>
        <w:jc w:val="left"/>
        <w:rPr>
          <w:rFonts w:hint="eastAsia" w:ascii="宋体" w:hAnsi="宋体"/>
          <w:bCs/>
          <w:sz w:val="24"/>
          <w:szCs w:val="24"/>
          <w:lang w:val="en-US" w:eastAsia="zh-CN"/>
        </w:rPr>
      </w:pPr>
      <w:r>
        <w:rPr>
          <w:rFonts w:hint="eastAsia" w:ascii="宋体" w:hAnsi="宋体"/>
          <w:bCs/>
          <w:sz w:val="24"/>
          <w:szCs w:val="24"/>
          <w:lang w:val="en-US" w:eastAsia="zh-CN"/>
        </w:rPr>
        <w:t>E、功能验收检测合格后，投标方签署提交终验收合格报告。</w:t>
      </w:r>
    </w:p>
    <w:p>
      <w:pPr>
        <w:spacing w:line="360" w:lineRule="auto"/>
        <w:ind w:firstLine="480" w:firstLineChars="200"/>
        <w:jc w:val="left"/>
        <w:rPr>
          <w:rFonts w:hint="eastAsia" w:ascii="宋体" w:hAnsi="宋体"/>
          <w:bCs/>
          <w:sz w:val="24"/>
          <w:szCs w:val="24"/>
          <w:lang w:val="en-US" w:eastAsia="zh-CN"/>
        </w:rPr>
      </w:pPr>
      <w:r>
        <w:rPr>
          <w:rFonts w:hint="eastAsia" w:ascii="宋体" w:hAnsi="宋体"/>
          <w:bCs/>
          <w:sz w:val="24"/>
          <w:szCs w:val="24"/>
          <w:lang w:val="en-US" w:eastAsia="zh-CN"/>
        </w:rPr>
        <w:t>F、在检具终验收完成后，按最终检具对 3D、2D 图纸进行修改，并保证与实物一致，终验收完成以报告签字及资料提供为依据。</w:t>
      </w:r>
    </w:p>
    <w:p>
      <w:pPr>
        <w:spacing w:line="360" w:lineRule="auto"/>
        <w:ind w:firstLine="480" w:firstLineChars="200"/>
        <w:jc w:val="left"/>
        <w:rPr>
          <w:rFonts w:hint="eastAsia" w:ascii="宋体" w:hAnsi="宋体"/>
          <w:bCs/>
          <w:sz w:val="24"/>
          <w:szCs w:val="24"/>
          <w:lang w:val="en-US" w:eastAsia="zh-CN"/>
        </w:rPr>
      </w:pPr>
      <w:r>
        <w:rPr>
          <w:rFonts w:hint="eastAsia" w:ascii="宋体" w:hAnsi="宋体"/>
          <w:bCs/>
          <w:sz w:val="24"/>
          <w:szCs w:val="24"/>
          <w:lang w:val="en-US" w:eastAsia="zh-CN"/>
        </w:rPr>
        <w:t>G、招标方对检具技术资料逐项进行确认，只有将使用过程中所发现的问题处理完毕，所有技术资料齐全，达到终验收标准后才能签署《检具终验收合格报告》。</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Times New Roman"/>
          <w:b/>
          <w:bCs w:val="0"/>
          <w:kern w:val="2"/>
          <w:sz w:val="24"/>
          <w:szCs w:val="24"/>
          <w:lang w:val="en-US" w:eastAsia="zh-CN" w:bidi="ar-SA"/>
        </w:rPr>
      </w:pPr>
      <w:bookmarkStart w:id="129" w:name="_Toc25336"/>
      <w:bookmarkStart w:id="130" w:name="_Toc26357137"/>
      <w:bookmarkStart w:id="131" w:name="_Toc21633"/>
      <w:bookmarkStart w:id="132" w:name="_Toc23787"/>
      <w:bookmarkStart w:id="133" w:name="_Toc27758129"/>
      <w:r>
        <w:rPr>
          <w:rFonts w:hint="eastAsia" w:ascii="宋体" w:hAnsi="宋体"/>
          <w:b/>
          <w:bCs w:val="0"/>
          <w:sz w:val="24"/>
          <w:szCs w:val="24"/>
          <w:lang w:val="en-US" w:eastAsia="zh-CN"/>
        </w:rPr>
        <w:t>8、</w:t>
      </w:r>
      <w:r>
        <w:rPr>
          <w:rFonts w:hint="eastAsia" w:ascii="宋体" w:hAnsi="宋体" w:eastAsia="宋体" w:cs="Times New Roman"/>
          <w:b/>
          <w:bCs w:val="0"/>
          <w:kern w:val="2"/>
          <w:sz w:val="24"/>
          <w:szCs w:val="24"/>
          <w:lang w:val="en-US" w:eastAsia="zh-CN" w:bidi="ar-SA"/>
        </w:rPr>
        <w:t>服务</w:t>
      </w:r>
      <w:bookmarkEnd w:id="129"/>
      <w:bookmarkEnd w:id="130"/>
      <w:bookmarkEnd w:id="131"/>
      <w:bookmarkEnd w:id="132"/>
      <w:bookmarkEnd w:id="133"/>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b/>
          <w:bCs w:val="0"/>
          <w:sz w:val="24"/>
          <w:szCs w:val="24"/>
          <w:lang w:val="en-US" w:eastAsia="zh-CN"/>
        </w:rPr>
      </w:pPr>
      <w:r>
        <w:rPr>
          <w:rFonts w:hint="eastAsia" w:ascii="宋体" w:hAnsi="宋体"/>
          <w:b/>
          <w:bCs w:val="0"/>
          <w:sz w:val="24"/>
          <w:szCs w:val="24"/>
          <w:lang w:val="en-US" w:eastAsia="zh-CN"/>
        </w:rPr>
        <w:t>8.1设计变更管理</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Ansi="宋体"/>
          <w:color w:val="000000"/>
          <w:sz w:val="24"/>
        </w:rPr>
      </w:pPr>
      <w:r>
        <w:rPr>
          <w:rFonts w:hint="eastAsia" w:ascii="宋体" w:hAnsi="宋体" w:cs="宋体"/>
          <w:color w:val="000000"/>
          <w:sz w:val="24"/>
          <w:lang w:val="en-US" w:eastAsia="zh-CN"/>
        </w:rPr>
        <w:t>8.</w:t>
      </w:r>
      <w:r>
        <w:rPr>
          <w:rFonts w:hint="eastAsia" w:ascii="宋体" w:hAnsi="宋体" w:eastAsia="宋体" w:cs="宋体"/>
          <w:color w:val="000000"/>
          <w:sz w:val="24"/>
          <w:lang w:val="en-US" w:eastAsia="zh-CN"/>
        </w:rPr>
        <w:t>1.1</w:t>
      </w:r>
      <w:r>
        <w:rPr>
          <w:rFonts w:hint="eastAsia" w:hAnsi="宋体"/>
          <w:color w:val="000000"/>
          <w:sz w:val="24"/>
          <w:lang w:eastAsia="zh-CN"/>
        </w:rPr>
        <w:t>投标方</w:t>
      </w:r>
      <w:r>
        <w:rPr>
          <w:rFonts w:hint="eastAsia" w:hAnsi="宋体"/>
          <w:color w:val="000000"/>
          <w:sz w:val="24"/>
        </w:rPr>
        <w:t>应建立合理、明确的设计变更管理流程，技术交流时，</w:t>
      </w:r>
      <w:r>
        <w:rPr>
          <w:rFonts w:hint="eastAsia" w:hAnsi="宋体"/>
          <w:color w:val="000000"/>
          <w:sz w:val="24"/>
          <w:lang w:eastAsia="zh-CN"/>
        </w:rPr>
        <w:t>投标方</w:t>
      </w:r>
      <w:r>
        <w:rPr>
          <w:rFonts w:hint="eastAsia" w:hAnsi="宋体"/>
          <w:color w:val="000000"/>
          <w:sz w:val="24"/>
        </w:rPr>
        <w:t>提供设计变更管理流程供</w:t>
      </w:r>
      <w:r>
        <w:rPr>
          <w:rFonts w:hint="eastAsia" w:hAnsi="宋体"/>
          <w:color w:val="000000"/>
          <w:sz w:val="24"/>
          <w:lang w:eastAsia="zh-CN"/>
        </w:rPr>
        <w:t>招标方</w:t>
      </w:r>
      <w:r>
        <w:rPr>
          <w:rFonts w:hint="eastAsia" w:hAnsi="宋体"/>
          <w:color w:val="000000"/>
          <w:sz w:val="24"/>
        </w:rPr>
        <w:t>确认、认可；</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000000"/>
          <w:sz w:val="24"/>
        </w:rPr>
      </w:pPr>
      <w:r>
        <w:rPr>
          <w:rFonts w:hint="eastAsia" w:ascii="宋体" w:hAnsi="宋体" w:cs="宋体"/>
          <w:color w:val="000000"/>
          <w:sz w:val="24"/>
          <w:lang w:val="en-US" w:eastAsia="zh-CN"/>
        </w:rPr>
        <w:t>8.</w:t>
      </w:r>
      <w:r>
        <w:rPr>
          <w:rFonts w:hint="eastAsia" w:ascii="宋体" w:hAnsi="宋体" w:eastAsia="宋体" w:cs="宋体"/>
          <w:color w:val="000000"/>
          <w:sz w:val="24"/>
          <w:lang w:val="en-US" w:eastAsia="zh-CN"/>
        </w:rPr>
        <w:t>1.2</w:t>
      </w:r>
      <w:r>
        <w:rPr>
          <w:rFonts w:hint="eastAsia" w:ascii="宋体" w:hAnsi="宋体" w:eastAsia="宋体" w:cs="宋体"/>
          <w:color w:val="000000"/>
          <w:sz w:val="24"/>
          <w:lang w:eastAsia="zh-CN"/>
        </w:rPr>
        <w:t>投标方</w:t>
      </w:r>
      <w:r>
        <w:rPr>
          <w:rFonts w:hint="eastAsia" w:ascii="宋体" w:hAnsi="宋体" w:eastAsia="宋体" w:cs="宋体"/>
          <w:color w:val="000000"/>
          <w:sz w:val="24"/>
        </w:rPr>
        <w:t>应严格按照认可后的设计变更管理流程进行设计变更管理和控制，</w:t>
      </w:r>
      <w:r>
        <w:rPr>
          <w:rFonts w:hint="eastAsia" w:ascii="宋体" w:hAnsi="宋体" w:eastAsia="宋体" w:cs="宋体"/>
          <w:color w:val="000000"/>
          <w:sz w:val="24"/>
          <w:lang w:eastAsia="zh-CN"/>
        </w:rPr>
        <w:t>招标方</w:t>
      </w:r>
      <w:r>
        <w:rPr>
          <w:rFonts w:hint="eastAsia" w:ascii="宋体" w:hAnsi="宋体" w:eastAsia="宋体" w:cs="宋体"/>
          <w:color w:val="000000"/>
          <w:sz w:val="24"/>
        </w:rPr>
        <w:t>将不定期进行抽查；</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000000"/>
          <w:sz w:val="24"/>
        </w:rPr>
      </w:pPr>
      <w:r>
        <w:rPr>
          <w:rFonts w:hint="eastAsia" w:ascii="宋体" w:hAnsi="宋体" w:cs="宋体"/>
          <w:color w:val="000000"/>
          <w:sz w:val="24"/>
          <w:lang w:val="en-US" w:eastAsia="zh-CN"/>
        </w:rPr>
        <w:t>8.</w:t>
      </w:r>
      <w:r>
        <w:rPr>
          <w:rFonts w:hint="eastAsia" w:ascii="宋体" w:hAnsi="宋体" w:eastAsia="宋体" w:cs="宋体"/>
          <w:color w:val="000000"/>
          <w:sz w:val="24"/>
          <w:lang w:val="en-US" w:eastAsia="zh-CN"/>
        </w:rPr>
        <w:t>1.3</w:t>
      </w:r>
      <w:r>
        <w:rPr>
          <w:rFonts w:hint="eastAsia" w:ascii="宋体" w:hAnsi="宋体" w:eastAsia="宋体" w:cs="宋体"/>
          <w:color w:val="000000"/>
          <w:sz w:val="24"/>
        </w:rPr>
        <w:t>检具完成终验收前，</w:t>
      </w:r>
      <w:r>
        <w:rPr>
          <w:rFonts w:hint="eastAsia" w:ascii="宋体" w:hAnsi="宋体" w:eastAsia="宋体" w:cs="宋体"/>
          <w:color w:val="000000"/>
          <w:sz w:val="24"/>
          <w:lang w:eastAsia="zh-CN"/>
        </w:rPr>
        <w:t>投标方</w:t>
      </w:r>
      <w:r>
        <w:rPr>
          <w:rFonts w:hint="eastAsia" w:ascii="宋体" w:hAnsi="宋体" w:eastAsia="宋体" w:cs="宋体"/>
          <w:color w:val="000000"/>
          <w:sz w:val="24"/>
        </w:rPr>
        <w:t>有义务负责</w:t>
      </w:r>
      <w:r>
        <w:rPr>
          <w:rFonts w:hint="eastAsia" w:ascii="宋体" w:hAnsi="宋体" w:eastAsia="宋体" w:cs="宋体"/>
          <w:color w:val="000000"/>
          <w:sz w:val="24"/>
          <w:lang w:eastAsia="zh-CN"/>
        </w:rPr>
        <w:t>招标方</w:t>
      </w:r>
      <w:r>
        <w:rPr>
          <w:rFonts w:hint="eastAsia" w:ascii="宋体" w:hAnsi="宋体" w:eastAsia="宋体" w:cs="宋体"/>
          <w:color w:val="000000"/>
          <w:sz w:val="24"/>
        </w:rPr>
        <w:t>提供检具设计变更；</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000000"/>
          <w:sz w:val="24"/>
        </w:rPr>
      </w:pPr>
      <w:r>
        <w:rPr>
          <w:rFonts w:hint="eastAsia" w:ascii="宋体" w:hAnsi="宋体" w:cs="宋体"/>
          <w:color w:val="000000"/>
          <w:sz w:val="24"/>
          <w:lang w:val="en-US" w:eastAsia="zh-CN"/>
        </w:rPr>
        <w:t>8.</w:t>
      </w:r>
      <w:r>
        <w:rPr>
          <w:rFonts w:hint="eastAsia" w:ascii="宋体" w:hAnsi="宋体" w:eastAsia="宋体" w:cs="宋体"/>
          <w:color w:val="000000"/>
          <w:sz w:val="24"/>
          <w:lang w:val="en-US" w:eastAsia="zh-CN"/>
        </w:rPr>
        <w:t>1.4</w:t>
      </w:r>
      <w:r>
        <w:rPr>
          <w:rFonts w:hint="eastAsia" w:ascii="宋体" w:hAnsi="宋体" w:eastAsia="宋体" w:cs="宋体"/>
          <w:color w:val="000000"/>
          <w:sz w:val="24"/>
        </w:rPr>
        <w:t>因产品变更造成检具对应部分进行设计变更，</w:t>
      </w:r>
      <w:r>
        <w:rPr>
          <w:rFonts w:hint="eastAsia" w:ascii="宋体" w:hAnsi="宋体" w:eastAsia="宋体" w:cs="宋体"/>
          <w:color w:val="000000"/>
          <w:sz w:val="24"/>
          <w:lang w:eastAsia="zh-CN"/>
        </w:rPr>
        <w:t>投标方</w:t>
      </w:r>
      <w:r>
        <w:rPr>
          <w:rFonts w:hint="eastAsia" w:ascii="宋体" w:hAnsi="宋体" w:eastAsia="宋体" w:cs="宋体"/>
          <w:color w:val="000000"/>
          <w:sz w:val="24"/>
        </w:rPr>
        <w:t>应予以充分理解和协助，并提供以下文件：</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000000"/>
          <w:sz w:val="24"/>
        </w:rPr>
      </w:pPr>
      <w:r>
        <w:rPr>
          <w:rFonts w:hint="eastAsia" w:ascii="宋体" w:hAnsi="宋体" w:cs="宋体"/>
          <w:color w:val="000000"/>
          <w:sz w:val="24"/>
          <w:lang w:val="en-US" w:eastAsia="zh-CN"/>
        </w:rPr>
        <w:t>8.</w:t>
      </w:r>
      <w:r>
        <w:rPr>
          <w:rFonts w:hint="eastAsia" w:ascii="宋体" w:hAnsi="宋体" w:eastAsia="宋体" w:cs="宋体"/>
          <w:color w:val="000000"/>
          <w:sz w:val="24"/>
          <w:lang w:val="en-US" w:eastAsia="zh-CN"/>
        </w:rPr>
        <w:t>1.4.1</w:t>
      </w:r>
      <w:r>
        <w:rPr>
          <w:rFonts w:hint="eastAsia" w:ascii="宋体" w:hAnsi="宋体" w:eastAsia="宋体" w:cs="宋体"/>
          <w:color w:val="000000"/>
          <w:sz w:val="24"/>
        </w:rPr>
        <w:t>因产品变更造成的检具变更的汇总表；</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000000"/>
          <w:sz w:val="24"/>
        </w:rPr>
      </w:pPr>
      <w:r>
        <w:rPr>
          <w:rFonts w:hint="eastAsia" w:ascii="宋体" w:hAnsi="宋体" w:cs="宋体"/>
          <w:color w:val="000000"/>
          <w:sz w:val="24"/>
          <w:lang w:val="en-US" w:eastAsia="zh-CN"/>
        </w:rPr>
        <w:t>8.</w:t>
      </w:r>
      <w:r>
        <w:rPr>
          <w:rFonts w:hint="eastAsia" w:ascii="宋体" w:hAnsi="宋体" w:eastAsia="宋体" w:cs="宋体"/>
          <w:color w:val="000000"/>
          <w:sz w:val="24"/>
          <w:lang w:val="en-US" w:eastAsia="zh-CN"/>
        </w:rPr>
        <w:t>1.4.2</w:t>
      </w:r>
      <w:r>
        <w:rPr>
          <w:rFonts w:hint="eastAsia" w:ascii="宋体" w:hAnsi="宋体" w:eastAsia="宋体" w:cs="宋体"/>
          <w:color w:val="000000"/>
          <w:sz w:val="24"/>
        </w:rPr>
        <w:t>因产品变更造成的费用汇总表；</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000000"/>
          <w:sz w:val="24"/>
        </w:rPr>
      </w:pPr>
      <w:r>
        <w:rPr>
          <w:rFonts w:hint="eastAsia" w:ascii="宋体" w:hAnsi="宋体" w:cs="宋体"/>
          <w:color w:val="000000"/>
          <w:sz w:val="24"/>
          <w:lang w:val="en-US" w:eastAsia="zh-CN"/>
        </w:rPr>
        <w:t>8.</w:t>
      </w:r>
      <w:r>
        <w:rPr>
          <w:rFonts w:hint="eastAsia" w:ascii="宋体" w:hAnsi="宋体" w:eastAsia="宋体" w:cs="宋体"/>
          <w:color w:val="000000"/>
          <w:sz w:val="24"/>
          <w:lang w:val="en-US" w:eastAsia="zh-CN"/>
        </w:rPr>
        <w:t>1.4.3</w:t>
      </w:r>
      <w:r>
        <w:rPr>
          <w:rFonts w:hint="eastAsia" w:ascii="宋体" w:hAnsi="宋体" w:eastAsia="宋体" w:cs="宋体"/>
          <w:color w:val="000000"/>
          <w:sz w:val="24"/>
        </w:rPr>
        <w:t>因产品变更造成的制造周期变化的清单；</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000000"/>
          <w:sz w:val="24"/>
        </w:rPr>
      </w:pPr>
      <w:r>
        <w:rPr>
          <w:rFonts w:hint="eastAsia" w:ascii="宋体" w:hAnsi="宋体" w:cs="宋体"/>
          <w:color w:val="000000"/>
          <w:sz w:val="24"/>
          <w:lang w:val="en-US" w:eastAsia="zh-CN"/>
        </w:rPr>
        <w:t>8.</w:t>
      </w:r>
      <w:r>
        <w:rPr>
          <w:rFonts w:hint="eastAsia" w:ascii="宋体" w:hAnsi="宋体" w:eastAsia="宋体" w:cs="宋体"/>
          <w:color w:val="000000"/>
          <w:sz w:val="24"/>
          <w:lang w:val="en-US" w:eastAsia="zh-CN"/>
        </w:rPr>
        <w:t>1.4.4</w:t>
      </w:r>
      <w:r>
        <w:rPr>
          <w:rFonts w:hint="eastAsia" w:ascii="宋体" w:hAnsi="宋体" w:eastAsia="宋体" w:cs="宋体"/>
          <w:color w:val="000000"/>
          <w:sz w:val="24"/>
        </w:rPr>
        <w:t>最新3D数模、2D图纸及检测报告。</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lang w:val="en-US" w:eastAsia="zh-CN"/>
        </w:rPr>
        <w:t>第1.4.2条</w:t>
      </w:r>
      <w:r>
        <w:rPr>
          <w:rFonts w:hint="eastAsia" w:ascii="宋体" w:hAnsi="宋体" w:eastAsia="宋体" w:cs="宋体"/>
          <w:color w:val="000000"/>
          <w:sz w:val="24"/>
        </w:rPr>
        <w:t>和</w:t>
      </w:r>
      <w:r>
        <w:rPr>
          <w:rFonts w:hint="eastAsia" w:ascii="宋体" w:hAnsi="宋体" w:eastAsia="宋体" w:cs="宋体"/>
          <w:color w:val="000000"/>
          <w:sz w:val="24"/>
          <w:lang w:val="en-US" w:eastAsia="zh-CN"/>
        </w:rPr>
        <w:t>1.4.3条</w:t>
      </w:r>
      <w:r>
        <w:rPr>
          <w:rFonts w:hint="eastAsia" w:ascii="宋体" w:hAnsi="宋体" w:eastAsia="宋体" w:cs="宋体"/>
          <w:color w:val="000000"/>
          <w:sz w:val="24"/>
        </w:rPr>
        <w:t>需经</w:t>
      </w:r>
      <w:r>
        <w:rPr>
          <w:rFonts w:hint="eastAsia" w:ascii="宋体" w:hAnsi="宋体" w:eastAsia="宋体" w:cs="宋体"/>
          <w:color w:val="000000"/>
          <w:sz w:val="24"/>
          <w:lang w:eastAsia="zh-CN"/>
        </w:rPr>
        <w:t>招标方</w:t>
      </w:r>
      <w:r>
        <w:rPr>
          <w:rFonts w:hint="eastAsia" w:ascii="宋体" w:hAnsi="宋体" w:eastAsia="宋体" w:cs="宋体"/>
          <w:color w:val="000000"/>
          <w:sz w:val="24"/>
        </w:rPr>
        <w:t>认可后方可生效，但更改工作继续，不能有任何理由的推脱；</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000000"/>
          <w:sz w:val="24"/>
        </w:rPr>
      </w:pPr>
      <w:r>
        <w:rPr>
          <w:rFonts w:hint="eastAsia" w:ascii="宋体" w:hAnsi="宋体" w:cs="宋体"/>
          <w:color w:val="000000"/>
          <w:sz w:val="24"/>
          <w:lang w:val="en-US" w:eastAsia="zh-CN"/>
        </w:rPr>
        <w:t>8.</w:t>
      </w:r>
      <w:r>
        <w:rPr>
          <w:rFonts w:hint="eastAsia" w:ascii="宋体" w:hAnsi="宋体" w:eastAsia="宋体" w:cs="宋体"/>
          <w:color w:val="000000"/>
          <w:sz w:val="24"/>
          <w:lang w:val="en-US" w:eastAsia="zh-CN"/>
        </w:rPr>
        <w:t>1.5</w:t>
      </w:r>
      <w:r>
        <w:rPr>
          <w:rFonts w:hint="eastAsia" w:ascii="宋体" w:hAnsi="宋体" w:eastAsia="宋体" w:cs="宋体"/>
          <w:color w:val="000000"/>
          <w:sz w:val="24"/>
        </w:rPr>
        <w:t>因使用问题（含设计不合理、与零件干涉及其它使用问题）造成对检具的设计更改，</w:t>
      </w:r>
      <w:r>
        <w:rPr>
          <w:rFonts w:hint="eastAsia" w:ascii="宋体" w:hAnsi="宋体" w:eastAsia="宋体" w:cs="宋体"/>
          <w:color w:val="000000"/>
          <w:sz w:val="24"/>
          <w:lang w:eastAsia="zh-CN"/>
        </w:rPr>
        <w:t>投标方</w:t>
      </w:r>
      <w:r>
        <w:rPr>
          <w:rFonts w:hint="eastAsia" w:ascii="宋体" w:hAnsi="宋体" w:eastAsia="宋体" w:cs="宋体"/>
          <w:color w:val="000000"/>
          <w:sz w:val="24"/>
        </w:rPr>
        <w:t>应无条件更改，并向</w:t>
      </w:r>
      <w:r>
        <w:rPr>
          <w:rFonts w:hint="eastAsia" w:ascii="宋体" w:hAnsi="宋体" w:eastAsia="宋体" w:cs="宋体"/>
          <w:color w:val="000000"/>
          <w:sz w:val="24"/>
          <w:lang w:eastAsia="zh-CN"/>
        </w:rPr>
        <w:t>招标方</w:t>
      </w:r>
      <w:r>
        <w:rPr>
          <w:rFonts w:hint="eastAsia" w:ascii="宋体" w:hAnsi="宋体" w:eastAsia="宋体" w:cs="宋体"/>
          <w:color w:val="000000"/>
          <w:sz w:val="24"/>
        </w:rPr>
        <w:t>提供：</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000000"/>
          <w:sz w:val="24"/>
        </w:rPr>
      </w:pPr>
      <w:r>
        <w:rPr>
          <w:rFonts w:hint="eastAsia" w:ascii="宋体" w:hAnsi="宋体" w:cs="宋体"/>
          <w:color w:val="000000"/>
          <w:sz w:val="24"/>
          <w:lang w:val="en-US" w:eastAsia="zh-CN"/>
        </w:rPr>
        <w:t>8.</w:t>
      </w:r>
      <w:r>
        <w:rPr>
          <w:rFonts w:hint="eastAsia" w:ascii="宋体" w:hAnsi="宋体" w:eastAsia="宋体" w:cs="宋体"/>
          <w:color w:val="000000"/>
          <w:sz w:val="24"/>
          <w:lang w:val="en-US" w:eastAsia="zh-CN"/>
        </w:rPr>
        <w:t>1.5.1</w:t>
      </w:r>
      <w:r>
        <w:rPr>
          <w:rFonts w:hint="eastAsia" w:ascii="宋体" w:hAnsi="宋体" w:eastAsia="宋体" w:cs="宋体"/>
          <w:color w:val="000000"/>
          <w:sz w:val="24"/>
        </w:rPr>
        <w:t>最新3D数模、2D图纸及检测报告；</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000000"/>
          <w:sz w:val="24"/>
        </w:rPr>
      </w:pPr>
      <w:r>
        <w:rPr>
          <w:rFonts w:hint="eastAsia" w:ascii="宋体" w:hAnsi="宋体" w:cs="宋体"/>
          <w:color w:val="000000"/>
          <w:sz w:val="24"/>
          <w:lang w:val="en-US" w:eastAsia="zh-CN"/>
        </w:rPr>
        <w:t>8.</w:t>
      </w:r>
      <w:r>
        <w:rPr>
          <w:rFonts w:hint="eastAsia" w:ascii="宋体" w:hAnsi="宋体" w:eastAsia="宋体" w:cs="宋体"/>
          <w:color w:val="000000"/>
          <w:sz w:val="24"/>
          <w:lang w:val="en-US" w:eastAsia="zh-CN"/>
        </w:rPr>
        <w:t>1.5.2</w:t>
      </w:r>
      <w:r>
        <w:rPr>
          <w:rFonts w:hint="eastAsia" w:ascii="宋体" w:hAnsi="宋体" w:eastAsia="宋体" w:cs="宋体"/>
          <w:color w:val="000000"/>
          <w:sz w:val="24"/>
        </w:rPr>
        <w:t>更改内容申请，并需经</w:t>
      </w:r>
      <w:r>
        <w:rPr>
          <w:rFonts w:hint="eastAsia" w:ascii="宋体" w:hAnsi="宋体" w:eastAsia="宋体" w:cs="宋体"/>
          <w:color w:val="000000"/>
          <w:sz w:val="24"/>
          <w:lang w:eastAsia="zh-CN"/>
        </w:rPr>
        <w:t>招标方</w:t>
      </w:r>
      <w:r>
        <w:rPr>
          <w:rFonts w:hint="eastAsia" w:ascii="宋体" w:hAnsi="宋体" w:eastAsia="宋体" w:cs="宋体"/>
          <w:color w:val="000000"/>
          <w:sz w:val="24"/>
        </w:rPr>
        <w:t>同意。</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Ansi="宋体"/>
          <w:color w:val="000000"/>
          <w:sz w:val="24"/>
        </w:rPr>
      </w:pPr>
      <w:r>
        <w:rPr>
          <w:rFonts w:hint="eastAsia" w:ascii="宋体" w:hAnsi="宋体" w:cs="宋体"/>
          <w:color w:val="000000"/>
          <w:sz w:val="24"/>
          <w:lang w:val="en-US" w:eastAsia="zh-CN"/>
        </w:rPr>
        <w:t>8.</w:t>
      </w:r>
      <w:r>
        <w:rPr>
          <w:rFonts w:hint="eastAsia" w:ascii="宋体" w:hAnsi="宋体" w:eastAsia="宋体" w:cs="宋体"/>
          <w:color w:val="000000"/>
          <w:sz w:val="24"/>
          <w:lang w:val="en-US" w:eastAsia="zh-CN"/>
        </w:rPr>
        <w:t>1.6</w:t>
      </w:r>
      <w:r>
        <w:rPr>
          <w:rFonts w:hint="eastAsia" w:hAnsi="宋体"/>
          <w:color w:val="000000"/>
          <w:sz w:val="24"/>
        </w:rPr>
        <w:t>对于</w:t>
      </w:r>
      <w:r>
        <w:rPr>
          <w:rFonts w:hint="eastAsia" w:hAnsi="宋体"/>
          <w:color w:val="000000"/>
          <w:sz w:val="24"/>
          <w:lang w:eastAsia="zh-CN"/>
        </w:rPr>
        <w:t>招标方</w:t>
      </w:r>
      <w:r>
        <w:rPr>
          <w:rFonts w:hint="eastAsia" w:hAnsi="宋体"/>
          <w:color w:val="000000"/>
          <w:sz w:val="24"/>
        </w:rPr>
        <w:t>要求更改的，</w:t>
      </w:r>
      <w:r>
        <w:rPr>
          <w:rFonts w:hint="eastAsia" w:hAnsi="宋体"/>
          <w:color w:val="000000"/>
          <w:sz w:val="24"/>
          <w:lang w:eastAsia="zh-CN"/>
        </w:rPr>
        <w:t>投标方</w:t>
      </w:r>
      <w:r>
        <w:rPr>
          <w:rFonts w:hint="eastAsia" w:hAnsi="宋体"/>
          <w:color w:val="000000"/>
          <w:sz w:val="24"/>
        </w:rPr>
        <w:t>应建立使用问题清单，在终验收时提交给</w:t>
      </w:r>
      <w:r>
        <w:rPr>
          <w:rFonts w:hint="eastAsia" w:hAnsi="宋体"/>
          <w:color w:val="000000"/>
          <w:sz w:val="24"/>
          <w:lang w:eastAsia="zh-CN"/>
        </w:rPr>
        <w:t>招标方</w:t>
      </w:r>
      <w:r>
        <w:rPr>
          <w:rFonts w:hint="eastAsia" w:hAnsi="宋体"/>
          <w:color w:val="000000"/>
          <w:sz w:val="24"/>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b/>
          <w:bCs w:val="0"/>
          <w:sz w:val="24"/>
          <w:szCs w:val="24"/>
          <w:lang w:val="en-US" w:eastAsia="zh-CN"/>
        </w:rPr>
      </w:pPr>
      <w:r>
        <w:rPr>
          <w:rFonts w:hint="eastAsia" w:ascii="宋体" w:hAnsi="宋体"/>
          <w:b/>
          <w:bCs w:val="0"/>
          <w:sz w:val="24"/>
          <w:szCs w:val="24"/>
          <w:lang w:val="en-US" w:eastAsia="zh-CN"/>
        </w:rPr>
        <w:t>8.2运输包装要求</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000000"/>
          <w:sz w:val="24"/>
        </w:rPr>
      </w:pPr>
      <w:r>
        <w:rPr>
          <w:rFonts w:hint="eastAsia" w:ascii="宋体" w:hAnsi="宋体" w:cs="宋体"/>
          <w:color w:val="000000"/>
          <w:sz w:val="24"/>
          <w:lang w:val="en-US" w:eastAsia="zh-CN"/>
        </w:rPr>
        <w:t>8.</w:t>
      </w:r>
      <w:r>
        <w:rPr>
          <w:rFonts w:hint="eastAsia" w:ascii="宋体" w:hAnsi="宋体" w:eastAsia="宋体" w:cs="宋体"/>
          <w:color w:val="000000"/>
          <w:sz w:val="24"/>
          <w:lang w:val="en-US" w:eastAsia="zh-CN"/>
        </w:rPr>
        <w:t>2.1</w:t>
      </w:r>
      <w:r>
        <w:rPr>
          <w:rFonts w:hint="eastAsia" w:ascii="宋体" w:hAnsi="宋体" w:eastAsia="宋体" w:cs="宋体"/>
          <w:color w:val="000000"/>
          <w:sz w:val="24"/>
        </w:rPr>
        <w:t>运输距离50公里以下，检具可以不使用木箱包装：</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000000"/>
          <w:sz w:val="24"/>
        </w:rPr>
      </w:pPr>
      <w:r>
        <w:rPr>
          <w:rFonts w:hint="eastAsia" w:ascii="宋体" w:hAnsi="宋体" w:cs="宋体"/>
          <w:color w:val="000000"/>
          <w:sz w:val="24"/>
          <w:lang w:val="en-US" w:eastAsia="zh-CN"/>
        </w:rPr>
        <w:t>8.</w:t>
      </w:r>
      <w:r>
        <w:rPr>
          <w:rFonts w:hint="eastAsia" w:ascii="宋体" w:hAnsi="宋体" w:eastAsia="宋体" w:cs="宋体"/>
          <w:color w:val="000000"/>
          <w:sz w:val="24"/>
          <w:lang w:val="en-US" w:eastAsia="zh-CN"/>
        </w:rPr>
        <w:t xml:space="preserve">2.1.1  </w:t>
      </w:r>
      <w:r>
        <w:rPr>
          <w:rFonts w:hint="eastAsia" w:ascii="宋体" w:hAnsi="宋体" w:eastAsia="宋体" w:cs="宋体"/>
          <w:color w:val="000000"/>
          <w:sz w:val="24"/>
        </w:rPr>
        <w:t>须采用木板结构作支撑，每套检具必须单独固定，检具之间禁止叠加、碰触；</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000000"/>
          <w:sz w:val="24"/>
        </w:rPr>
      </w:pPr>
      <w:r>
        <w:rPr>
          <w:rFonts w:hint="eastAsia" w:ascii="宋体" w:hAnsi="宋体" w:cs="宋体"/>
          <w:color w:val="000000"/>
          <w:sz w:val="24"/>
          <w:lang w:val="en-US" w:eastAsia="zh-CN"/>
        </w:rPr>
        <w:t>8.</w:t>
      </w:r>
      <w:r>
        <w:rPr>
          <w:rFonts w:hint="eastAsia" w:ascii="宋体" w:hAnsi="宋体" w:eastAsia="宋体" w:cs="宋体"/>
          <w:color w:val="000000"/>
          <w:sz w:val="24"/>
          <w:lang w:val="en-US" w:eastAsia="zh-CN"/>
        </w:rPr>
        <w:t xml:space="preserve">2.1.2  </w:t>
      </w:r>
      <w:r>
        <w:rPr>
          <w:rFonts w:hint="eastAsia" w:ascii="宋体" w:hAnsi="宋体" w:eastAsia="宋体" w:cs="宋体"/>
          <w:color w:val="000000"/>
          <w:sz w:val="24"/>
        </w:rPr>
        <w:t>支撑木板结构要足够承重，方便叉车搬运。</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000000"/>
          <w:sz w:val="24"/>
        </w:rPr>
      </w:pPr>
      <w:r>
        <w:rPr>
          <w:rFonts w:hint="eastAsia" w:ascii="宋体" w:hAnsi="宋体" w:cs="宋体"/>
          <w:color w:val="000000"/>
          <w:sz w:val="24"/>
          <w:lang w:val="en-US" w:eastAsia="zh-CN"/>
        </w:rPr>
        <w:t>8.</w:t>
      </w:r>
      <w:r>
        <w:rPr>
          <w:rFonts w:hint="eastAsia" w:ascii="宋体" w:hAnsi="宋体" w:eastAsia="宋体" w:cs="宋体"/>
          <w:color w:val="000000"/>
          <w:sz w:val="24"/>
          <w:lang w:val="en-US" w:eastAsia="zh-CN"/>
        </w:rPr>
        <w:t xml:space="preserve">2.2  </w:t>
      </w:r>
      <w:r>
        <w:rPr>
          <w:rFonts w:hint="eastAsia" w:ascii="宋体" w:hAnsi="宋体" w:eastAsia="宋体" w:cs="宋体"/>
          <w:color w:val="000000"/>
          <w:sz w:val="24"/>
        </w:rPr>
        <w:t>运输距离50公里以上（含50公里），检具底板长+宽≤1000mm、单边长度≤500mm</w:t>
      </w:r>
      <w:r>
        <w:rPr>
          <w:rFonts w:hint="eastAsia" w:ascii="宋体" w:hAnsi="宋体" w:eastAsia="宋体" w:cs="宋体"/>
          <w:color w:val="000000"/>
          <w:sz w:val="24"/>
          <w:lang w:eastAsia="zh-CN"/>
        </w:rPr>
        <w:t>，</w:t>
      </w:r>
      <w:r>
        <w:rPr>
          <w:rFonts w:hint="eastAsia" w:ascii="宋体" w:hAnsi="宋体" w:eastAsia="宋体" w:cs="宋体"/>
          <w:color w:val="000000"/>
          <w:sz w:val="24"/>
        </w:rPr>
        <w:t>可以采用多检具共用一个木箱；检具底板长+宽＞1000mm，每套检具必须要有单独木箱进行包装。</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木箱具体要求如下：共用木箱，每套检具必须单独固定，检具之间禁止叠加、碰触；包装箱底面结构要足够承重，方便叉车搬运；周圈及顶面结构上不能采用钉子固定，须采用螺栓锁紧，以便包装箱的重复利用。</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Ansi="宋体"/>
          <w:color w:val="000000"/>
          <w:sz w:val="24"/>
        </w:rPr>
      </w:pPr>
      <w:r>
        <w:rPr>
          <w:rFonts w:hint="eastAsia" w:ascii="宋体" w:hAnsi="宋体" w:cs="宋体"/>
          <w:color w:val="000000"/>
          <w:sz w:val="24"/>
          <w:lang w:val="en-US" w:eastAsia="zh-CN"/>
        </w:rPr>
        <w:t>8.</w:t>
      </w:r>
      <w:r>
        <w:rPr>
          <w:rFonts w:hint="eastAsia" w:ascii="宋体" w:hAnsi="宋体" w:eastAsia="宋体" w:cs="宋体"/>
          <w:color w:val="000000"/>
          <w:sz w:val="24"/>
          <w:lang w:val="en-US" w:eastAsia="zh-CN"/>
        </w:rPr>
        <w:t xml:space="preserve">2.3  </w:t>
      </w:r>
      <w:r>
        <w:rPr>
          <w:rFonts w:hint="eastAsia" w:ascii="宋体" w:hAnsi="宋体" w:eastAsia="宋体" w:cs="宋体"/>
          <w:color w:val="000000"/>
          <w:sz w:val="24"/>
        </w:rPr>
        <w:t>包</w:t>
      </w:r>
      <w:r>
        <w:rPr>
          <w:rFonts w:hint="eastAsia" w:hAnsi="宋体"/>
          <w:color w:val="000000"/>
          <w:sz w:val="24"/>
        </w:rPr>
        <w:t>装保证货物运输安全、检具及其部件不存在晃动，并防尘、防潮；在包装上应有清楚的说明，其内容必须与相应检具上铭牌的内容相一致。</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b/>
          <w:bCs w:val="0"/>
          <w:sz w:val="24"/>
          <w:szCs w:val="24"/>
          <w:lang w:val="en-US" w:eastAsia="zh-CN"/>
        </w:rPr>
      </w:pPr>
      <w:r>
        <w:rPr>
          <w:rFonts w:hint="eastAsia" w:ascii="宋体" w:hAnsi="宋体"/>
          <w:b/>
          <w:bCs w:val="0"/>
          <w:sz w:val="24"/>
          <w:szCs w:val="24"/>
          <w:lang w:val="en-US" w:eastAsia="zh-CN"/>
        </w:rPr>
        <w:t>9、投标方考核</w:t>
      </w:r>
    </w:p>
    <w:p>
      <w:pPr>
        <w:autoSpaceDE w:val="0"/>
        <w:autoSpaceDN w:val="0"/>
        <w:adjustRightInd w:val="0"/>
        <w:spacing w:line="360" w:lineRule="auto"/>
        <w:ind w:firstLine="480" w:firstLineChars="200"/>
        <w:jc w:val="left"/>
        <w:rPr>
          <w:rFonts w:hint="eastAsia" w:ascii="宋体" w:hAnsi="宋体" w:eastAsia="宋体" w:cs="宋体"/>
          <w:color w:val="000000"/>
          <w:sz w:val="24"/>
        </w:rPr>
      </w:pPr>
      <w:r>
        <w:rPr>
          <w:rFonts w:hint="eastAsia" w:ascii="宋体" w:hAnsi="宋体" w:cs="宋体"/>
          <w:color w:val="000000"/>
          <w:sz w:val="24"/>
          <w:lang w:val="en-US" w:eastAsia="zh-CN"/>
        </w:rPr>
        <w:t>9</w:t>
      </w:r>
      <w:r>
        <w:rPr>
          <w:rFonts w:hint="eastAsia" w:ascii="宋体" w:hAnsi="宋体" w:eastAsia="宋体" w:cs="宋体"/>
          <w:color w:val="000000"/>
          <w:sz w:val="24"/>
          <w:lang w:val="en-US" w:eastAsia="zh-CN"/>
        </w:rPr>
        <w:t>.1</w:t>
      </w:r>
      <w:r>
        <w:rPr>
          <w:rFonts w:hint="eastAsia" w:ascii="宋体" w:hAnsi="宋体" w:eastAsia="宋体" w:cs="宋体"/>
          <w:color w:val="000000"/>
          <w:sz w:val="24"/>
        </w:rPr>
        <w:t>检具产生无法修复的精度问题，</w:t>
      </w:r>
      <w:r>
        <w:rPr>
          <w:rFonts w:hint="eastAsia" w:ascii="宋体" w:hAnsi="宋体" w:eastAsia="宋体" w:cs="宋体"/>
          <w:color w:val="000000"/>
          <w:sz w:val="24"/>
          <w:lang w:eastAsia="zh-CN"/>
        </w:rPr>
        <w:t>招标方</w:t>
      </w:r>
      <w:r>
        <w:rPr>
          <w:rFonts w:hint="eastAsia" w:ascii="宋体" w:hAnsi="宋体" w:eastAsia="宋体" w:cs="宋体"/>
          <w:color w:val="000000"/>
          <w:sz w:val="24"/>
        </w:rPr>
        <w:t>有权扣除合同款终止合同，</w:t>
      </w:r>
      <w:r>
        <w:rPr>
          <w:rFonts w:hint="eastAsia" w:ascii="宋体" w:hAnsi="宋体" w:eastAsia="宋体" w:cs="宋体"/>
          <w:color w:val="000000"/>
          <w:sz w:val="24"/>
          <w:lang w:eastAsia="zh-CN"/>
        </w:rPr>
        <w:t>投标方</w:t>
      </w:r>
      <w:r>
        <w:rPr>
          <w:rFonts w:hint="eastAsia" w:ascii="宋体" w:hAnsi="宋体" w:eastAsia="宋体" w:cs="宋体"/>
          <w:color w:val="000000"/>
          <w:sz w:val="24"/>
        </w:rPr>
        <w:t>需赔偿相应的损失。</w:t>
      </w:r>
    </w:p>
    <w:p>
      <w:pPr>
        <w:autoSpaceDE w:val="0"/>
        <w:autoSpaceDN w:val="0"/>
        <w:adjustRightInd w:val="0"/>
        <w:spacing w:line="360" w:lineRule="auto"/>
        <w:ind w:firstLine="480" w:firstLineChars="200"/>
        <w:jc w:val="left"/>
        <w:rPr>
          <w:rFonts w:hint="eastAsia" w:ascii="宋体" w:hAnsi="宋体" w:eastAsia="宋体" w:cs="宋体"/>
          <w:color w:val="000000"/>
          <w:sz w:val="24"/>
        </w:rPr>
      </w:pPr>
      <w:r>
        <w:rPr>
          <w:rFonts w:hint="eastAsia" w:ascii="宋体" w:hAnsi="宋体" w:cs="宋体"/>
          <w:color w:val="000000"/>
          <w:sz w:val="24"/>
          <w:lang w:val="en-US" w:eastAsia="zh-CN"/>
        </w:rPr>
        <w:t>9</w:t>
      </w:r>
      <w:r>
        <w:rPr>
          <w:rFonts w:hint="eastAsia" w:ascii="宋体" w:hAnsi="宋体" w:eastAsia="宋体" w:cs="宋体"/>
          <w:color w:val="000000"/>
          <w:sz w:val="24"/>
          <w:lang w:val="en-US" w:eastAsia="zh-CN"/>
        </w:rPr>
        <w:t>.2</w:t>
      </w:r>
      <w:r>
        <w:rPr>
          <w:rFonts w:hint="eastAsia" w:ascii="宋体" w:hAnsi="宋体" w:eastAsia="宋体" w:cs="宋体"/>
          <w:color w:val="000000"/>
          <w:sz w:val="24"/>
        </w:rPr>
        <w:t>如果因变形导致检具无法使用且无法整改时，</w:t>
      </w:r>
      <w:r>
        <w:rPr>
          <w:rFonts w:hint="eastAsia" w:ascii="宋体" w:hAnsi="宋体" w:eastAsia="宋体" w:cs="宋体"/>
          <w:color w:val="000000"/>
          <w:sz w:val="24"/>
          <w:lang w:eastAsia="zh-CN"/>
        </w:rPr>
        <w:t>投标方</w:t>
      </w:r>
      <w:r>
        <w:rPr>
          <w:rFonts w:hint="eastAsia" w:ascii="宋体" w:hAnsi="宋体" w:eastAsia="宋体" w:cs="宋体"/>
          <w:color w:val="000000"/>
          <w:sz w:val="24"/>
        </w:rPr>
        <w:t>须重新制作一套合格检具。</w:t>
      </w:r>
    </w:p>
    <w:p>
      <w:pPr>
        <w:autoSpaceDE w:val="0"/>
        <w:autoSpaceDN w:val="0"/>
        <w:adjustRightInd w:val="0"/>
        <w:spacing w:line="360" w:lineRule="auto"/>
        <w:ind w:firstLine="480" w:firstLineChars="200"/>
        <w:jc w:val="left"/>
        <w:rPr>
          <w:rFonts w:hAnsi="宋体"/>
          <w:color w:val="000000"/>
          <w:sz w:val="24"/>
        </w:rPr>
      </w:pPr>
      <w:r>
        <w:rPr>
          <w:rFonts w:hint="eastAsia" w:ascii="宋体" w:hAnsi="宋体" w:cs="宋体"/>
          <w:color w:val="000000"/>
          <w:sz w:val="24"/>
          <w:lang w:val="en-US" w:eastAsia="zh-CN"/>
        </w:rPr>
        <w:t>9</w:t>
      </w:r>
      <w:r>
        <w:rPr>
          <w:rFonts w:hint="eastAsia" w:ascii="宋体" w:hAnsi="宋体" w:eastAsia="宋体" w:cs="宋体"/>
          <w:color w:val="000000"/>
          <w:sz w:val="24"/>
          <w:lang w:val="en-US" w:eastAsia="zh-CN"/>
        </w:rPr>
        <w:t>.3</w:t>
      </w:r>
      <w:r>
        <w:rPr>
          <w:rFonts w:hint="eastAsia" w:ascii="宋体" w:hAnsi="宋体" w:eastAsia="宋体" w:cs="宋体"/>
          <w:color w:val="000000"/>
          <w:sz w:val="24"/>
          <w:lang w:eastAsia="zh-CN"/>
        </w:rPr>
        <w:t>投标方</w:t>
      </w:r>
      <w:r>
        <w:rPr>
          <w:rFonts w:hint="eastAsia" w:ascii="宋体" w:hAnsi="宋体" w:eastAsia="宋体" w:cs="宋体"/>
          <w:color w:val="000000"/>
          <w:sz w:val="24"/>
        </w:rPr>
        <w:t>须无条件的解决检具存在的各项问题，</w:t>
      </w:r>
      <w:r>
        <w:rPr>
          <w:rFonts w:hint="eastAsia" w:ascii="宋体" w:hAnsi="宋体" w:eastAsia="宋体" w:cs="宋体"/>
          <w:color w:val="000000"/>
          <w:sz w:val="24"/>
          <w:lang w:eastAsia="zh-CN"/>
        </w:rPr>
        <w:t>投标方</w:t>
      </w:r>
      <w:r>
        <w:rPr>
          <w:rFonts w:hint="eastAsia" w:ascii="宋体" w:hAnsi="宋体" w:eastAsia="宋体" w:cs="宋体"/>
          <w:color w:val="000000"/>
          <w:sz w:val="24"/>
        </w:rPr>
        <w:t>整改问题不积极、不配合时，</w:t>
      </w:r>
      <w:r>
        <w:rPr>
          <w:rFonts w:hint="eastAsia" w:ascii="宋体" w:hAnsi="宋体" w:eastAsia="宋体" w:cs="宋体"/>
          <w:color w:val="000000"/>
          <w:sz w:val="24"/>
          <w:lang w:eastAsia="zh-CN"/>
        </w:rPr>
        <w:t>招标方</w:t>
      </w:r>
      <w:r>
        <w:rPr>
          <w:rFonts w:hint="eastAsia" w:ascii="宋体" w:hAnsi="宋体" w:eastAsia="宋体" w:cs="宋体"/>
          <w:color w:val="000000"/>
          <w:sz w:val="24"/>
        </w:rPr>
        <w:t>有权</w:t>
      </w:r>
      <w:r>
        <w:rPr>
          <w:rFonts w:hint="eastAsia" w:hAnsi="宋体"/>
          <w:color w:val="000000"/>
          <w:sz w:val="24"/>
        </w:rPr>
        <w:t>扣除合同款自行更改。</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b/>
          <w:bCs w:val="0"/>
          <w:sz w:val="24"/>
          <w:szCs w:val="24"/>
          <w:lang w:val="en-US" w:eastAsia="zh-CN"/>
        </w:rPr>
      </w:pPr>
      <w:r>
        <w:rPr>
          <w:rFonts w:hint="eastAsia" w:ascii="宋体" w:hAnsi="宋体"/>
          <w:b/>
          <w:bCs w:val="0"/>
          <w:sz w:val="24"/>
          <w:szCs w:val="24"/>
          <w:lang w:val="en-US" w:eastAsia="zh-CN"/>
        </w:rPr>
        <w:t>10、其它</w:t>
      </w:r>
    </w:p>
    <w:p>
      <w:pPr>
        <w:autoSpaceDE w:val="0"/>
        <w:autoSpaceDN w:val="0"/>
        <w:adjustRightInd w:val="0"/>
        <w:spacing w:line="360" w:lineRule="auto"/>
        <w:ind w:firstLine="480" w:firstLineChars="200"/>
        <w:jc w:val="left"/>
        <w:rPr>
          <w:rFonts w:hint="eastAsia" w:ascii="宋体" w:hAnsi="宋体" w:eastAsia="宋体" w:cs="宋体"/>
          <w:color w:val="000000"/>
          <w:sz w:val="24"/>
        </w:rPr>
      </w:pPr>
      <w:r>
        <w:rPr>
          <w:rFonts w:hint="eastAsia" w:ascii="宋体" w:hAnsi="宋体" w:cs="宋体"/>
          <w:color w:val="000000"/>
          <w:sz w:val="24"/>
          <w:lang w:val="en-US" w:eastAsia="zh-CN"/>
        </w:rPr>
        <w:t>10</w:t>
      </w:r>
      <w:r>
        <w:rPr>
          <w:rFonts w:hint="eastAsia" w:ascii="宋体" w:hAnsi="宋体" w:eastAsia="宋体" w:cs="宋体"/>
          <w:color w:val="000000"/>
          <w:sz w:val="24"/>
          <w:lang w:val="en-US" w:eastAsia="zh-CN"/>
        </w:rPr>
        <w:t>.1</w:t>
      </w:r>
      <w:r>
        <w:rPr>
          <w:rFonts w:hint="eastAsia" w:ascii="宋体" w:hAnsi="宋体" w:eastAsia="宋体" w:cs="宋体"/>
          <w:color w:val="000000"/>
          <w:sz w:val="24"/>
        </w:rPr>
        <w:t>服务要求：</w:t>
      </w:r>
    </w:p>
    <w:p>
      <w:pPr>
        <w:autoSpaceDE w:val="0"/>
        <w:autoSpaceDN w:val="0"/>
        <w:adjustRightInd w:val="0"/>
        <w:spacing w:line="360" w:lineRule="auto"/>
        <w:ind w:firstLine="480" w:firstLineChars="200"/>
        <w:jc w:val="left"/>
        <w:rPr>
          <w:rFonts w:hint="eastAsia" w:ascii="宋体" w:hAnsi="宋体" w:eastAsia="宋体" w:cs="宋体"/>
          <w:color w:val="000000"/>
          <w:sz w:val="24"/>
        </w:rPr>
      </w:pPr>
      <w:r>
        <w:rPr>
          <w:rFonts w:hint="eastAsia" w:ascii="宋体" w:hAnsi="宋体" w:cs="宋体"/>
          <w:color w:val="000000"/>
          <w:sz w:val="24"/>
          <w:lang w:val="en-US" w:eastAsia="zh-CN"/>
        </w:rPr>
        <w:t>10</w:t>
      </w:r>
      <w:r>
        <w:rPr>
          <w:rFonts w:hint="eastAsia" w:ascii="宋体" w:hAnsi="宋体" w:eastAsia="宋体" w:cs="宋体"/>
          <w:color w:val="000000"/>
          <w:sz w:val="24"/>
          <w:lang w:val="en-US" w:eastAsia="zh-CN"/>
        </w:rPr>
        <w:t>.1.1</w:t>
      </w:r>
      <w:r>
        <w:rPr>
          <w:rFonts w:hint="eastAsia" w:ascii="宋体" w:hAnsi="宋体" w:eastAsia="宋体" w:cs="宋体"/>
          <w:color w:val="000000"/>
          <w:sz w:val="24"/>
        </w:rPr>
        <w:t>为保证检具使用精度，检具回厂前需要拉回检具进行精度恢复，完成后发往冲压厂，办理终验收之前需要对相应检具（由</w:t>
      </w:r>
      <w:r>
        <w:rPr>
          <w:rFonts w:hint="eastAsia" w:ascii="宋体" w:hAnsi="宋体" w:eastAsia="宋体" w:cs="宋体"/>
          <w:color w:val="000000"/>
          <w:sz w:val="24"/>
          <w:lang w:eastAsia="zh-CN"/>
        </w:rPr>
        <w:t>招标方</w:t>
      </w:r>
      <w:r>
        <w:rPr>
          <w:rFonts w:hint="eastAsia" w:ascii="宋体" w:hAnsi="宋体" w:eastAsia="宋体" w:cs="宋体"/>
          <w:color w:val="000000"/>
          <w:sz w:val="24"/>
        </w:rPr>
        <w:t>指定）再进行一次精度标定；</w:t>
      </w:r>
    </w:p>
    <w:p>
      <w:pPr>
        <w:autoSpaceDE w:val="0"/>
        <w:autoSpaceDN w:val="0"/>
        <w:adjustRightInd w:val="0"/>
        <w:spacing w:line="360" w:lineRule="auto"/>
        <w:ind w:firstLine="480" w:firstLineChars="200"/>
        <w:jc w:val="left"/>
        <w:rPr>
          <w:rFonts w:hint="eastAsia" w:ascii="宋体" w:hAnsi="宋体" w:eastAsia="宋体" w:cs="宋体"/>
          <w:color w:val="000000"/>
          <w:sz w:val="24"/>
        </w:rPr>
      </w:pPr>
      <w:r>
        <w:rPr>
          <w:rFonts w:hint="eastAsia" w:ascii="宋体" w:hAnsi="宋体" w:cs="宋体"/>
          <w:color w:val="000000"/>
          <w:sz w:val="24"/>
          <w:lang w:val="en-US" w:eastAsia="zh-CN"/>
        </w:rPr>
        <w:t>10</w:t>
      </w:r>
      <w:r>
        <w:rPr>
          <w:rFonts w:hint="eastAsia" w:ascii="宋体" w:hAnsi="宋体" w:eastAsia="宋体" w:cs="宋体"/>
          <w:color w:val="000000"/>
          <w:sz w:val="24"/>
          <w:lang w:val="en-US" w:eastAsia="zh-CN"/>
        </w:rPr>
        <w:t>.1.2</w:t>
      </w:r>
      <w:r>
        <w:rPr>
          <w:rFonts w:hint="eastAsia" w:ascii="宋体" w:hAnsi="宋体" w:eastAsia="宋体" w:cs="宋体"/>
          <w:color w:val="000000"/>
          <w:sz w:val="24"/>
        </w:rPr>
        <w:t>检具发货后，在模具厂家或者冲压厂家出现问题，影响使用测量，检具厂家需安排售后人员去现场处理整改，现场无法整改则拉回厂处理，检具使用的正常损耗，由检具厂家无条件处理；</w:t>
      </w:r>
    </w:p>
    <w:p>
      <w:pPr>
        <w:autoSpaceDE w:val="0"/>
        <w:autoSpaceDN w:val="0"/>
        <w:adjustRightInd w:val="0"/>
        <w:spacing w:line="360" w:lineRule="auto"/>
        <w:ind w:firstLine="480" w:firstLineChars="200"/>
        <w:jc w:val="left"/>
        <w:rPr>
          <w:rFonts w:hint="eastAsia" w:ascii="宋体" w:hAnsi="宋体" w:eastAsia="宋体" w:cs="宋体"/>
          <w:color w:val="000000"/>
          <w:sz w:val="24"/>
          <w:lang w:val="en-US" w:eastAsia="zh-CN"/>
        </w:rPr>
      </w:pPr>
      <w:r>
        <w:rPr>
          <w:rFonts w:hint="eastAsia" w:ascii="宋体" w:hAnsi="宋体" w:cs="宋体"/>
          <w:color w:val="000000"/>
          <w:sz w:val="24"/>
          <w:lang w:val="en-US" w:eastAsia="zh-CN"/>
        </w:rPr>
        <w:t>10</w:t>
      </w:r>
      <w:r>
        <w:rPr>
          <w:rFonts w:hint="eastAsia" w:ascii="宋体" w:hAnsi="宋体" w:eastAsia="宋体" w:cs="宋体"/>
          <w:color w:val="000000"/>
          <w:sz w:val="24"/>
          <w:lang w:val="en-US" w:eastAsia="zh-CN"/>
        </w:rPr>
        <w:t>.1.3</w:t>
      </w:r>
      <w:r>
        <w:rPr>
          <w:rFonts w:hint="eastAsia" w:ascii="宋体" w:hAnsi="宋体" w:eastAsia="宋体" w:cs="宋体"/>
          <w:color w:val="000000"/>
          <w:sz w:val="24"/>
        </w:rPr>
        <w:t>检具发货后，出现数据设变、产品更改，检具厂家需安排检具回厂设变处理</w:t>
      </w:r>
      <w:r>
        <w:rPr>
          <w:rFonts w:hint="eastAsia" w:ascii="宋体" w:hAnsi="宋体" w:eastAsia="宋体" w:cs="宋体"/>
          <w:color w:val="000000"/>
          <w:sz w:val="24"/>
          <w:lang w:eastAsia="zh-CN"/>
        </w:rPr>
        <w:t>。</w:t>
      </w:r>
    </w:p>
    <w:p>
      <w:pPr>
        <w:autoSpaceDE w:val="0"/>
        <w:autoSpaceDN w:val="0"/>
        <w:adjustRightInd w:val="0"/>
        <w:spacing w:line="360" w:lineRule="auto"/>
        <w:ind w:firstLine="480" w:firstLineChars="200"/>
        <w:jc w:val="left"/>
        <w:rPr>
          <w:rFonts w:hint="eastAsia" w:ascii="宋体" w:hAnsi="宋体" w:eastAsia="宋体" w:cs="宋体"/>
          <w:color w:val="000000"/>
          <w:sz w:val="24"/>
        </w:rPr>
      </w:pPr>
      <w:r>
        <w:rPr>
          <w:rFonts w:hint="eastAsia" w:ascii="宋体" w:hAnsi="宋体" w:cs="宋体"/>
          <w:color w:val="000000"/>
          <w:sz w:val="24"/>
          <w:lang w:val="en-US" w:eastAsia="zh-CN"/>
        </w:rPr>
        <w:t>10</w:t>
      </w:r>
      <w:r>
        <w:rPr>
          <w:rFonts w:hint="eastAsia" w:ascii="宋体" w:hAnsi="宋体" w:eastAsia="宋体" w:cs="宋体"/>
          <w:color w:val="000000"/>
          <w:sz w:val="24"/>
          <w:lang w:val="en-US" w:eastAsia="zh-CN"/>
        </w:rPr>
        <w:t>.2</w:t>
      </w:r>
      <w:r>
        <w:rPr>
          <w:rFonts w:hint="eastAsia" w:ascii="宋体" w:hAnsi="宋体" w:eastAsia="宋体" w:cs="宋体"/>
          <w:color w:val="000000"/>
          <w:sz w:val="24"/>
        </w:rPr>
        <w:t>分包规定：检具由</w:t>
      </w:r>
      <w:r>
        <w:rPr>
          <w:rFonts w:hint="eastAsia" w:ascii="宋体" w:hAnsi="宋体" w:eastAsia="宋体" w:cs="宋体"/>
          <w:color w:val="000000"/>
          <w:sz w:val="24"/>
          <w:lang w:eastAsia="zh-CN"/>
        </w:rPr>
        <w:t>投标方</w:t>
      </w:r>
      <w:r>
        <w:rPr>
          <w:rFonts w:hint="eastAsia" w:ascii="宋体" w:hAnsi="宋体" w:eastAsia="宋体" w:cs="宋体"/>
          <w:color w:val="000000"/>
          <w:sz w:val="24"/>
        </w:rPr>
        <w:t>总厂设计、制造及检测，不允许分包（含与</w:t>
      </w:r>
      <w:r>
        <w:rPr>
          <w:rFonts w:hint="eastAsia" w:ascii="宋体" w:hAnsi="宋体" w:eastAsia="宋体" w:cs="宋体"/>
          <w:color w:val="000000"/>
          <w:sz w:val="24"/>
          <w:lang w:eastAsia="zh-CN"/>
        </w:rPr>
        <w:t>投标方</w:t>
      </w:r>
      <w:r>
        <w:rPr>
          <w:rFonts w:hint="eastAsia" w:ascii="宋体" w:hAnsi="宋体" w:eastAsia="宋体" w:cs="宋体"/>
          <w:color w:val="000000"/>
          <w:sz w:val="24"/>
        </w:rPr>
        <w:t>有关联的工厂）。</w:t>
      </w:r>
    </w:p>
    <w:p>
      <w:pPr>
        <w:autoSpaceDE w:val="0"/>
        <w:autoSpaceDN w:val="0"/>
        <w:adjustRightInd w:val="0"/>
        <w:spacing w:line="360" w:lineRule="auto"/>
        <w:ind w:firstLine="480" w:firstLineChars="200"/>
        <w:jc w:val="left"/>
        <w:rPr>
          <w:rFonts w:hint="eastAsia" w:ascii="宋体" w:hAnsi="宋体" w:eastAsia="宋体" w:cs="宋体"/>
          <w:color w:val="000000"/>
          <w:sz w:val="24"/>
        </w:rPr>
      </w:pPr>
      <w:r>
        <w:rPr>
          <w:rFonts w:hint="eastAsia" w:ascii="宋体" w:hAnsi="宋体" w:cs="宋体"/>
          <w:color w:val="000000"/>
          <w:sz w:val="24"/>
          <w:lang w:val="en-US" w:eastAsia="zh-CN"/>
        </w:rPr>
        <w:t>10</w:t>
      </w:r>
      <w:r>
        <w:rPr>
          <w:rFonts w:hint="eastAsia" w:ascii="宋体" w:hAnsi="宋体" w:eastAsia="宋体" w:cs="宋体"/>
          <w:color w:val="000000"/>
          <w:sz w:val="24"/>
          <w:lang w:val="en-US" w:eastAsia="zh-CN"/>
        </w:rPr>
        <w:t>.3</w:t>
      </w:r>
      <w:r>
        <w:rPr>
          <w:rFonts w:hint="eastAsia" w:ascii="宋体" w:hAnsi="宋体" w:eastAsia="宋体" w:cs="宋体"/>
          <w:color w:val="000000"/>
          <w:sz w:val="24"/>
        </w:rPr>
        <w:t>保密：</w:t>
      </w:r>
      <w:r>
        <w:rPr>
          <w:rFonts w:hint="eastAsia" w:ascii="宋体" w:hAnsi="宋体" w:eastAsia="宋体" w:cs="宋体"/>
          <w:color w:val="000000"/>
          <w:sz w:val="24"/>
          <w:lang w:eastAsia="zh-CN"/>
        </w:rPr>
        <w:t>招标方</w:t>
      </w:r>
      <w:r>
        <w:rPr>
          <w:rFonts w:hint="eastAsia" w:ascii="宋体" w:hAnsi="宋体" w:eastAsia="宋体" w:cs="宋体"/>
          <w:color w:val="000000"/>
          <w:sz w:val="24"/>
        </w:rPr>
        <w:t>向</w:t>
      </w:r>
      <w:r>
        <w:rPr>
          <w:rFonts w:hint="eastAsia" w:ascii="宋体" w:hAnsi="宋体" w:eastAsia="宋体" w:cs="宋体"/>
          <w:color w:val="000000"/>
          <w:sz w:val="24"/>
          <w:lang w:eastAsia="zh-CN"/>
        </w:rPr>
        <w:t>投标方</w:t>
      </w:r>
      <w:r>
        <w:rPr>
          <w:rFonts w:hint="eastAsia" w:ascii="宋体" w:hAnsi="宋体" w:eastAsia="宋体" w:cs="宋体"/>
          <w:color w:val="000000"/>
          <w:sz w:val="24"/>
        </w:rPr>
        <w:t>提供的产品三维数学模型及其他技术资料为</w:t>
      </w:r>
      <w:r>
        <w:rPr>
          <w:rFonts w:hint="eastAsia" w:ascii="宋体" w:hAnsi="宋体" w:eastAsia="宋体" w:cs="宋体"/>
          <w:color w:val="000000"/>
          <w:sz w:val="24"/>
          <w:lang w:eastAsia="zh-CN"/>
        </w:rPr>
        <w:t>招标方</w:t>
      </w:r>
      <w:r>
        <w:rPr>
          <w:rFonts w:hint="eastAsia" w:ascii="宋体" w:hAnsi="宋体" w:eastAsia="宋体" w:cs="宋体"/>
          <w:color w:val="000000"/>
          <w:sz w:val="24"/>
        </w:rPr>
        <w:t>所有，</w:t>
      </w:r>
      <w:r>
        <w:rPr>
          <w:rFonts w:hint="eastAsia" w:ascii="宋体" w:hAnsi="宋体" w:eastAsia="宋体" w:cs="宋体"/>
          <w:color w:val="000000"/>
          <w:sz w:val="24"/>
          <w:lang w:eastAsia="zh-CN"/>
        </w:rPr>
        <w:t>投标方</w:t>
      </w:r>
      <w:r>
        <w:rPr>
          <w:rFonts w:hint="eastAsia" w:ascii="宋体" w:hAnsi="宋体" w:eastAsia="宋体" w:cs="宋体"/>
          <w:color w:val="000000"/>
          <w:sz w:val="24"/>
        </w:rPr>
        <w:t>不得复制，未经</w:t>
      </w:r>
      <w:r>
        <w:rPr>
          <w:rFonts w:hint="eastAsia" w:ascii="宋体" w:hAnsi="宋体" w:eastAsia="宋体" w:cs="宋体"/>
          <w:color w:val="000000"/>
          <w:sz w:val="24"/>
          <w:lang w:eastAsia="zh-CN"/>
        </w:rPr>
        <w:t>招标方</w:t>
      </w:r>
      <w:r>
        <w:rPr>
          <w:rFonts w:hint="eastAsia" w:ascii="宋体" w:hAnsi="宋体" w:eastAsia="宋体" w:cs="宋体"/>
          <w:color w:val="000000"/>
          <w:sz w:val="24"/>
        </w:rPr>
        <w:t>书面许可不得泄露给第三方，待检具终验收合格后，将</w:t>
      </w:r>
      <w:r>
        <w:rPr>
          <w:rFonts w:hint="eastAsia" w:ascii="宋体" w:hAnsi="宋体" w:eastAsia="宋体" w:cs="宋体"/>
          <w:color w:val="000000"/>
          <w:sz w:val="24"/>
          <w:lang w:eastAsia="zh-CN"/>
        </w:rPr>
        <w:t>招标方</w:t>
      </w:r>
      <w:r>
        <w:rPr>
          <w:rFonts w:hint="eastAsia" w:ascii="宋体" w:hAnsi="宋体" w:eastAsia="宋体" w:cs="宋体"/>
          <w:color w:val="000000"/>
          <w:sz w:val="24"/>
        </w:rPr>
        <w:t>提供的所有技术资料返回</w:t>
      </w:r>
      <w:r>
        <w:rPr>
          <w:rFonts w:hint="eastAsia" w:ascii="宋体" w:hAnsi="宋体" w:eastAsia="宋体" w:cs="宋体"/>
          <w:color w:val="000000"/>
          <w:sz w:val="24"/>
          <w:lang w:eastAsia="zh-CN"/>
        </w:rPr>
        <w:t>招标方</w:t>
      </w:r>
      <w:r>
        <w:rPr>
          <w:rFonts w:hint="eastAsia" w:ascii="宋体" w:hAnsi="宋体" w:eastAsia="宋体" w:cs="宋体"/>
          <w:color w:val="000000"/>
          <w:sz w:val="24"/>
        </w:rPr>
        <w:t>，如因</w:t>
      </w:r>
      <w:r>
        <w:rPr>
          <w:rFonts w:hint="eastAsia" w:ascii="宋体" w:hAnsi="宋体" w:eastAsia="宋体" w:cs="宋体"/>
          <w:color w:val="000000"/>
          <w:sz w:val="24"/>
          <w:lang w:eastAsia="zh-CN"/>
        </w:rPr>
        <w:t>投标方</w:t>
      </w:r>
      <w:r>
        <w:rPr>
          <w:rFonts w:hint="eastAsia" w:ascii="宋体" w:hAnsi="宋体" w:eastAsia="宋体" w:cs="宋体"/>
          <w:color w:val="000000"/>
          <w:sz w:val="24"/>
        </w:rPr>
        <w:t>不遵守保密要求，</w:t>
      </w:r>
      <w:r>
        <w:rPr>
          <w:rFonts w:hint="eastAsia" w:ascii="宋体" w:hAnsi="宋体" w:eastAsia="宋体" w:cs="宋体"/>
          <w:color w:val="000000"/>
          <w:sz w:val="24"/>
          <w:lang w:eastAsia="zh-CN"/>
        </w:rPr>
        <w:t>投标方</w:t>
      </w:r>
      <w:r>
        <w:rPr>
          <w:rFonts w:hint="eastAsia" w:ascii="宋体" w:hAnsi="宋体" w:eastAsia="宋体" w:cs="宋体"/>
          <w:color w:val="000000"/>
          <w:sz w:val="24"/>
        </w:rPr>
        <w:t>承担因泄密给</w:t>
      </w:r>
      <w:r>
        <w:rPr>
          <w:rFonts w:hint="eastAsia" w:ascii="宋体" w:hAnsi="宋体" w:eastAsia="宋体" w:cs="宋体"/>
          <w:color w:val="000000"/>
          <w:sz w:val="24"/>
          <w:lang w:eastAsia="zh-CN"/>
        </w:rPr>
        <w:t>招标方</w:t>
      </w:r>
      <w:r>
        <w:rPr>
          <w:rFonts w:hint="eastAsia" w:ascii="宋体" w:hAnsi="宋体" w:eastAsia="宋体" w:cs="宋体"/>
          <w:color w:val="000000"/>
          <w:sz w:val="24"/>
        </w:rPr>
        <w:t>造成的一切损失。</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sz w:val="24"/>
          <w:lang w:eastAsia="zh-CN"/>
        </w:rPr>
      </w:pPr>
      <w:r>
        <w:rPr>
          <w:rFonts w:hint="eastAsia" w:ascii="宋体" w:hAnsi="宋体" w:cs="宋体"/>
          <w:color w:val="000000"/>
          <w:sz w:val="24"/>
          <w:lang w:val="en-US" w:eastAsia="zh-CN"/>
        </w:rPr>
        <w:t>10</w:t>
      </w:r>
      <w:r>
        <w:rPr>
          <w:rFonts w:hint="eastAsia" w:ascii="宋体" w:hAnsi="宋体" w:eastAsia="宋体" w:cs="宋体"/>
          <w:color w:val="000000"/>
          <w:sz w:val="24"/>
          <w:lang w:val="en-US" w:eastAsia="zh-CN"/>
        </w:rPr>
        <w:t>.4技术条款</w:t>
      </w:r>
      <w:r>
        <w:rPr>
          <w:rFonts w:hint="eastAsia" w:ascii="宋体" w:hAnsi="宋体" w:eastAsia="宋体" w:cs="宋体"/>
          <w:color w:val="000000"/>
          <w:sz w:val="24"/>
          <w:lang w:eastAsia="zh-CN"/>
        </w:rPr>
        <w:t>未涉及部分，以招标方检具技术标准为准；招标方检具技术标准未涉及部分，以投标方标准进行，但必须经招标方确认。</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hAnsi="宋体"/>
          <w:b/>
          <w:sz w:val="28"/>
          <w:szCs w:val="28"/>
          <w:lang w:val="en-US" w:eastAsia="zh-CN"/>
        </w:rPr>
      </w:pPr>
      <w:r>
        <w:rPr>
          <w:rFonts w:hint="eastAsia" w:ascii="宋体" w:hAnsi="宋体"/>
          <w:b/>
          <w:bCs w:val="0"/>
          <w:sz w:val="24"/>
          <w:szCs w:val="24"/>
          <w:lang w:val="en-US" w:eastAsia="zh-CN"/>
        </w:rPr>
        <w:t>11、技术培训</w:t>
      </w:r>
    </w:p>
    <w:p>
      <w:pPr>
        <w:pStyle w:val="145"/>
        <w:keepNext w:val="0"/>
        <w:keepLines w:val="0"/>
        <w:pageBreakBefore w:val="0"/>
        <w:widowControl w:val="0"/>
        <w:numPr>
          <w:ilvl w:val="0"/>
          <w:numId w:val="0"/>
        </w:numPr>
        <w:tabs>
          <w:tab w:val="left" w:pos="1005"/>
        </w:tabs>
        <w:kinsoku/>
        <w:wordWrap/>
        <w:overflowPunct/>
        <w:topLinePunct w:val="0"/>
        <w:bidi w:val="0"/>
        <w:adjustRightInd/>
        <w:snapToGrid/>
        <w:spacing w:line="360" w:lineRule="auto"/>
        <w:ind w:firstLine="480" w:firstLineChars="200"/>
        <w:jc w:val="both"/>
        <w:textAlignment w:val="auto"/>
        <w:rPr>
          <w:rFonts w:ascii="宋体" w:hAnsi="宋体"/>
          <w:sz w:val="24"/>
        </w:rPr>
      </w:pPr>
      <w:r>
        <w:rPr>
          <w:rFonts w:hint="eastAsia" w:ascii="宋体" w:hAnsi="宋体"/>
          <w:sz w:val="24"/>
          <w:lang w:val="en-US" w:eastAsia="zh-CN"/>
        </w:rPr>
        <w:t xml:space="preserve">11.1  </w:t>
      </w:r>
      <w:r>
        <w:rPr>
          <w:rFonts w:ascii="宋体" w:hAnsi="宋体"/>
          <w:sz w:val="24"/>
        </w:rPr>
        <w:t>在预验收和终验收期间，投标方应派有经验的专家对招标方相关人员进行理论和实际操作的培训，并提供成套培训资料</w:t>
      </w:r>
      <w:r>
        <w:rPr>
          <w:rFonts w:hint="eastAsia" w:ascii="宋体" w:hAnsi="宋体"/>
          <w:sz w:val="24"/>
        </w:rPr>
        <w:t>，</w:t>
      </w:r>
      <w:r>
        <w:rPr>
          <w:rFonts w:ascii="宋体" w:hAnsi="宋体"/>
          <w:sz w:val="24"/>
        </w:rPr>
        <w:t>所有培训应是免费的。</w:t>
      </w:r>
    </w:p>
    <w:p>
      <w:pPr>
        <w:pStyle w:val="145"/>
        <w:keepNext w:val="0"/>
        <w:keepLines w:val="0"/>
        <w:pageBreakBefore w:val="0"/>
        <w:widowControl w:val="0"/>
        <w:numPr>
          <w:ilvl w:val="0"/>
          <w:numId w:val="0"/>
        </w:numPr>
        <w:tabs>
          <w:tab w:val="left" w:pos="1005"/>
        </w:tabs>
        <w:kinsoku/>
        <w:wordWrap/>
        <w:overflowPunct/>
        <w:topLinePunct w:val="0"/>
        <w:bidi w:val="0"/>
        <w:adjustRightInd/>
        <w:snapToGrid/>
        <w:spacing w:line="360" w:lineRule="auto"/>
        <w:ind w:firstLine="480" w:firstLineChars="200"/>
        <w:jc w:val="both"/>
        <w:textAlignment w:val="auto"/>
        <w:rPr>
          <w:rFonts w:ascii="宋体" w:hAnsi="宋体"/>
          <w:sz w:val="24"/>
        </w:rPr>
      </w:pPr>
      <w:r>
        <w:rPr>
          <w:rFonts w:hint="eastAsia" w:ascii="宋体" w:hAnsi="宋体"/>
          <w:sz w:val="24"/>
          <w:lang w:val="en-US" w:eastAsia="zh-CN"/>
        </w:rPr>
        <w:t xml:space="preserve">11.2  </w:t>
      </w:r>
      <w:r>
        <w:rPr>
          <w:rFonts w:ascii="宋体" w:hAnsi="宋体"/>
          <w:sz w:val="24"/>
        </w:rPr>
        <w:t>培训结束后，投标方应保证招标方相关人员能正确、熟练地掌握标的物的操作和维护。</w:t>
      </w:r>
    </w:p>
    <w:p>
      <w:pPr>
        <w:pStyle w:val="145"/>
        <w:keepNext w:val="0"/>
        <w:keepLines w:val="0"/>
        <w:pageBreakBefore w:val="0"/>
        <w:widowControl w:val="0"/>
        <w:numPr>
          <w:ilvl w:val="0"/>
          <w:numId w:val="0"/>
        </w:numPr>
        <w:tabs>
          <w:tab w:val="left" w:pos="1005"/>
        </w:tabs>
        <w:kinsoku/>
        <w:wordWrap/>
        <w:overflowPunct/>
        <w:topLinePunct w:val="0"/>
        <w:bidi w:val="0"/>
        <w:adjustRightInd/>
        <w:snapToGrid/>
        <w:spacing w:line="360" w:lineRule="auto"/>
        <w:ind w:firstLine="480" w:firstLineChars="200"/>
        <w:jc w:val="both"/>
        <w:textAlignment w:val="auto"/>
        <w:rPr>
          <w:rFonts w:ascii="宋体" w:hAnsi="宋体"/>
          <w:sz w:val="24"/>
        </w:rPr>
      </w:pPr>
      <w:r>
        <w:rPr>
          <w:rFonts w:hint="eastAsia" w:ascii="宋体" w:hAnsi="宋体"/>
          <w:sz w:val="24"/>
          <w:lang w:val="en-US" w:eastAsia="zh-CN"/>
        </w:rPr>
        <w:t xml:space="preserve">11.3  </w:t>
      </w:r>
      <w:r>
        <w:rPr>
          <w:rFonts w:ascii="宋体" w:hAnsi="宋体"/>
          <w:sz w:val="24"/>
        </w:rPr>
        <w:t>培训期间的交流语言为中文，当采用其他语言时投标方应提供翻译。</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hAnsi="宋体"/>
          <w:b/>
          <w:sz w:val="28"/>
          <w:szCs w:val="28"/>
          <w:lang w:val="en-US" w:eastAsia="zh-CN"/>
        </w:rPr>
      </w:pPr>
      <w:r>
        <w:rPr>
          <w:rFonts w:hint="eastAsia" w:ascii="宋体" w:hAnsi="宋体"/>
          <w:b/>
          <w:bCs w:val="0"/>
          <w:sz w:val="24"/>
          <w:szCs w:val="24"/>
          <w:lang w:val="en-US" w:eastAsia="zh-CN"/>
        </w:rPr>
        <w:t>12、质量保证期及售后服务</w:t>
      </w:r>
    </w:p>
    <w:p>
      <w:pPr>
        <w:pStyle w:val="145"/>
        <w:keepNext w:val="0"/>
        <w:keepLines w:val="0"/>
        <w:pageBreakBefore w:val="0"/>
        <w:widowControl w:val="0"/>
        <w:numPr>
          <w:ilvl w:val="0"/>
          <w:numId w:val="0"/>
        </w:numPr>
        <w:tabs>
          <w:tab w:val="left" w:pos="1020"/>
        </w:tabs>
        <w:kinsoku/>
        <w:wordWrap/>
        <w:overflowPunct/>
        <w:topLinePunct w:val="0"/>
        <w:bidi w:val="0"/>
        <w:adjustRightInd/>
        <w:snapToGrid/>
        <w:spacing w:line="360" w:lineRule="auto"/>
        <w:ind w:firstLine="480" w:firstLineChars="200"/>
        <w:jc w:val="both"/>
        <w:textAlignment w:val="auto"/>
        <w:rPr>
          <w:rFonts w:ascii="宋体" w:hAnsi="宋体"/>
          <w:sz w:val="24"/>
        </w:rPr>
      </w:pPr>
      <w:r>
        <w:rPr>
          <w:rFonts w:hint="eastAsia" w:ascii="宋体" w:hAnsi="宋体"/>
          <w:sz w:val="24"/>
          <w:lang w:val="en-US" w:eastAsia="zh-CN"/>
        </w:rPr>
        <w:t xml:space="preserve">12.1  </w:t>
      </w:r>
      <w:r>
        <w:rPr>
          <w:rFonts w:ascii="宋体" w:hAnsi="宋体"/>
          <w:sz w:val="24"/>
        </w:rPr>
        <w:t>质量保证期为标的最终验收合格后1</w:t>
      </w:r>
      <w:r>
        <w:rPr>
          <w:rFonts w:hint="eastAsia" w:ascii="宋体" w:hAnsi="宋体"/>
          <w:sz w:val="24"/>
        </w:rPr>
        <w:t>2</w:t>
      </w:r>
      <w:r>
        <w:rPr>
          <w:rFonts w:ascii="宋体" w:hAnsi="宋体"/>
          <w:sz w:val="24"/>
        </w:rPr>
        <w:t>个月。</w:t>
      </w:r>
      <w:r>
        <w:rPr>
          <w:rFonts w:hint="eastAsia" w:hAnsi="宋体"/>
          <w:color w:val="000000"/>
          <w:sz w:val="24"/>
        </w:rPr>
        <w:t>在正常的使用、维护保养下检具出现质量问题，厂家无条件整改合格。</w:t>
      </w:r>
    </w:p>
    <w:p>
      <w:pPr>
        <w:pStyle w:val="145"/>
        <w:keepNext w:val="0"/>
        <w:keepLines w:val="0"/>
        <w:pageBreakBefore w:val="0"/>
        <w:widowControl w:val="0"/>
        <w:numPr>
          <w:ilvl w:val="0"/>
          <w:numId w:val="0"/>
        </w:numPr>
        <w:tabs>
          <w:tab w:val="left" w:pos="1020"/>
        </w:tabs>
        <w:kinsoku/>
        <w:wordWrap/>
        <w:overflowPunct/>
        <w:topLinePunct w:val="0"/>
        <w:bidi w:val="0"/>
        <w:adjustRightInd/>
        <w:snapToGrid/>
        <w:spacing w:line="360" w:lineRule="auto"/>
        <w:ind w:firstLine="480" w:firstLineChars="200"/>
        <w:jc w:val="both"/>
        <w:textAlignment w:val="auto"/>
        <w:rPr>
          <w:rFonts w:hint="eastAsia" w:ascii="宋体" w:hAnsi="宋体"/>
          <w:sz w:val="24"/>
        </w:rPr>
      </w:pPr>
      <w:r>
        <w:rPr>
          <w:rFonts w:hint="eastAsia" w:ascii="宋体" w:hAnsi="宋体"/>
          <w:sz w:val="24"/>
          <w:lang w:val="en-US" w:eastAsia="zh-CN"/>
        </w:rPr>
        <w:t xml:space="preserve">12.2  </w:t>
      </w:r>
      <w:r>
        <w:rPr>
          <w:rFonts w:hint="eastAsia" w:ascii="宋体" w:hAnsi="宋体"/>
          <w:sz w:val="24"/>
        </w:rPr>
        <w:t>质保期内维修使用的备品备件由投标方提供。</w:t>
      </w:r>
    </w:p>
    <w:p>
      <w:pPr>
        <w:pStyle w:val="145"/>
        <w:keepNext w:val="0"/>
        <w:keepLines w:val="0"/>
        <w:pageBreakBefore w:val="0"/>
        <w:widowControl w:val="0"/>
        <w:numPr>
          <w:ilvl w:val="0"/>
          <w:numId w:val="0"/>
        </w:numPr>
        <w:tabs>
          <w:tab w:val="left" w:pos="1020"/>
        </w:tabs>
        <w:kinsoku/>
        <w:wordWrap/>
        <w:overflowPunct/>
        <w:topLinePunct w:val="0"/>
        <w:bidi w:val="0"/>
        <w:adjustRightInd/>
        <w:snapToGrid/>
        <w:spacing w:line="360" w:lineRule="auto"/>
        <w:ind w:firstLine="480" w:firstLineChars="200"/>
        <w:jc w:val="both"/>
        <w:textAlignment w:val="auto"/>
        <w:rPr>
          <w:rFonts w:ascii="仿宋_GB2312" w:hAnsi="宋体" w:eastAsia="仿宋_GB2312"/>
          <w:kern w:val="0"/>
          <w:sz w:val="24"/>
        </w:rPr>
      </w:pPr>
      <w:r>
        <w:rPr>
          <w:rFonts w:hint="eastAsia" w:ascii="宋体" w:hAnsi="宋体"/>
          <w:sz w:val="24"/>
          <w:lang w:val="en-US" w:eastAsia="zh-CN"/>
        </w:rPr>
        <w:t xml:space="preserve">12.3  </w:t>
      </w:r>
      <w:r>
        <w:rPr>
          <w:rFonts w:hint="eastAsia" w:ascii="宋体" w:hAnsi="宋体"/>
          <w:sz w:val="24"/>
        </w:rPr>
        <w:t>质保期过后，投标方提供备品备件的明细、品牌和参数，招标方根据实际需求采购。</w:t>
      </w:r>
    </w:p>
    <w:p>
      <w:pPr>
        <w:spacing w:line="360" w:lineRule="auto"/>
        <w:rPr>
          <w:rFonts w:hint="eastAsia" w:ascii="宋体" w:hAnsi="宋体" w:eastAsia="宋体" w:cs="宋体"/>
          <w:b/>
          <w:sz w:val="28"/>
          <w:szCs w:val="28"/>
          <w:lang w:eastAsia="zh-CN"/>
        </w:rPr>
      </w:pPr>
      <w:r>
        <w:rPr>
          <w:rFonts w:hint="eastAsia" w:ascii="宋体" w:hAnsi="宋体" w:cs="宋体"/>
          <w:b/>
          <w:sz w:val="28"/>
          <w:szCs w:val="28"/>
          <w:lang w:val="en-US" w:eastAsia="zh-CN"/>
        </w:rPr>
        <w:t>三</w:t>
      </w:r>
      <w:r>
        <w:rPr>
          <w:rFonts w:hint="eastAsia" w:ascii="宋体" w:hAnsi="宋体" w:eastAsia="宋体" w:cs="宋体"/>
          <w:b/>
          <w:sz w:val="28"/>
          <w:szCs w:val="28"/>
        </w:rPr>
        <w:t>、</w:t>
      </w:r>
      <w:r>
        <w:rPr>
          <w:rFonts w:hint="eastAsia" w:ascii="宋体" w:hAnsi="宋体" w:cs="宋体"/>
          <w:b/>
          <w:sz w:val="28"/>
          <w:szCs w:val="28"/>
          <w:lang w:val="en-US" w:eastAsia="zh-CN"/>
        </w:rPr>
        <w:t>交货期</w:t>
      </w:r>
    </w:p>
    <w:p>
      <w:pPr>
        <w:ind w:firstLine="480" w:firstLineChars="200"/>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2023年8月30日前将模具及检具发运至招标方指定地点。</w:t>
      </w: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pStyle w:val="2"/>
        <w:rPr>
          <w:rFonts w:ascii="宋体" w:hAnsi="宋体"/>
          <w:b w:val="0"/>
          <w:sz w:val="24"/>
          <w:szCs w:val="24"/>
        </w:rPr>
      </w:pPr>
      <w:bookmarkStart w:id="134" w:name="_Toc16705"/>
      <w:r>
        <w:rPr>
          <w:rFonts w:hint="eastAsia" w:ascii="宋体" w:hAnsi="宋体"/>
        </w:rPr>
        <w:t xml:space="preserve">第五章   </w:t>
      </w:r>
      <w:r>
        <w:rPr>
          <w:rFonts w:hint="eastAsia" w:ascii="宋体" w:hAnsi="宋体"/>
          <w:sz w:val="40"/>
        </w:rPr>
        <w:t>设备采购合同</w:t>
      </w:r>
      <w:bookmarkEnd w:id="77"/>
      <w:bookmarkEnd w:id="134"/>
    </w:p>
    <w:p>
      <w:pPr>
        <w:wordWrap w:val="0"/>
        <w:adjustRightInd w:val="0"/>
        <w:snapToGrid w:val="0"/>
        <w:spacing w:line="360" w:lineRule="auto"/>
        <w:jc w:val="right"/>
        <w:rPr>
          <w:rFonts w:ascii="方正小标宋简体" w:hAnsi="宋体" w:eastAsia="方正小标宋简体"/>
          <w:sz w:val="24"/>
          <w:szCs w:val="24"/>
        </w:rPr>
      </w:pPr>
      <w:bookmarkStart w:id="135" w:name="_Toc283814116"/>
      <w:r>
        <w:rPr>
          <w:rFonts w:hint="eastAsia" w:ascii="方正小标宋简体" w:hAnsi="宋体" w:eastAsia="方正小标宋简体"/>
          <w:sz w:val="24"/>
          <w:szCs w:val="24"/>
        </w:rPr>
        <w:t>编号：</w:t>
      </w:r>
      <w:r>
        <w:rPr>
          <w:rFonts w:hint="eastAsia" w:ascii="方正小标宋简体" w:hAnsi="宋体" w:eastAsia="方正小标宋简体"/>
          <w:sz w:val="24"/>
          <w:szCs w:val="24"/>
          <w:u w:val="thick"/>
        </w:rPr>
        <w:t xml:space="preserve">                  </w:t>
      </w:r>
    </w:p>
    <w:p>
      <w:pPr>
        <w:adjustRightInd w:val="0"/>
        <w:snapToGrid w:val="0"/>
        <w:spacing w:line="360" w:lineRule="auto"/>
        <w:jc w:val="left"/>
        <w:rPr>
          <w:rFonts w:ascii="宋体" w:hAnsi="宋体"/>
          <w:sz w:val="20"/>
          <w:szCs w:val="20"/>
        </w:rPr>
      </w:pPr>
    </w:p>
    <w:p>
      <w:pPr>
        <w:adjustRightInd w:val="0"/>
        <w:snapToGrid w:val="0"/>
        <w:spacing w:line="360" w:lineRule="auto"/>
        <w:jc w:val="left"/>
        <w:rPr>
          <w:rFonts w:ascii="宋体" w:hAnsi="宋体"/>
          <w:sz w:val="20"/>
          <w:szCs w:val="20"/>
        </w:rPr>
      </w:pPr>
    </w:p>
    <w:p>
      <w:pPr>
        <w:adjustRightInd w:val="0"/>
        <w:snapToGrid w:val="0"/>
        <w:spacing w:line="360" w:lineRule="auto"/>
        <w:jc w:val="left"/>
        <w:rPr>
          <w:rFonts w:ascii="宋体" w:hAnsi="宋体"/>
          <w:sz w:val="20"/>
          <w:szCs w:val="20"/>
        </w:rPr>
      </w:pPr>
    </w:p>
    <w:p>
      <w:pPr>
        <w:adjustRightInd w:val="0"/>
        <w:snapToGrid w:val="0"/>
        <w:spacing w:line="360" w:lineRule="auto"/>
        <w:jc w:val="both"/>
        <w:rPr>
          <w:rFonts w:ascii="方正小标宋简体" w:hAnsi="宋体" w:eastAsia="方正小标宋简体"/>
          <w:bCs/>
          <w:sz w:val="52"/>
          <w:szCs w:val="36"/>
        </w:rPr>
      </w:pPr>
    </w:p>
    <w:p>
      <w:pPr>
        <w:adjustRightInd w:val="0"/>
        <w:snapToGrid w:val="0"/>
        <w:spacing w:line="360" w:lineRule="auto"/>
        <w:jc w:val="center"/>
        <w:rPr>
          <w:rFonts w:ascii="方正小标宋简体" w:hAnsi="宋体" w:eastAsia="方正小标宋简体"/>
          <w:sz w:val="52"/>
          <w:szCs w:val="36"/>
        </w:rPr>
      </w:pPr>
      <w:r>
        <w:rPr>
          <w:rFonts w:hint="eastAsia" w:ascii="方正小标宋简体" w:hAnsi="宋体" w:eastAsia="方正小标宋简体"/>
          <w:bCs/>
          <w:sz w:val="52"/>
          <w:szCs w:val="36"/>
        </w:rPr>
        <w:t>设备采购合同</w:t>
      </w:r>
    </w:p>
    <w:p>
      <w:pPr>
        <w:adjustRightInd w:val="0"/>
        <w:snapToGrid w:val="0"/>
        <w:spacing w:line="360" w:lineRule="auto"/>
        <w:jc w:val="left"/>
        <w:rPr>
          <w:rFonts w:ascii="宋体" w:hAnsi="宋体"/>
          <w:b/>
          <w:sz w:val="36"/>
          <w:szCs w:val="36"/>
        </w:rPr>
      </w:pPr>
    </w:p>
    <w:p>
      <w:pPr>
        <w:adjustRightInd w:val="0"/>
        <w:snapToGrid w:val="0"/>
        <w:spacing w:line="360" w:lineRule="auto"/>
        <w:jc w:val="left"/>
        <w:rPr>
          <w:rFonts w:ascii="宋体" w:hAnsi="宋体"/>
          <w:b/>
          <w:sz w:val="36"/>
          <w:szCs w:val="36"/>
        </w:rPr>
      </w:pPr>
    </w:p>
    <w:p>
      <w:pPr>
        <w:adjustRightInd w:val="0"/>
        <w:snapToGrid w:val="0"/>
        <w:spacing w:line="360" w:lineRule="auto"/>
        <w:jc w:val="left"/>
        <w:rPr>
          <w:rFonts w:ascii="宋体" w:hAnsi="宋体"/>
          <w:b/>
          <w:sz w:val="36"/>
          <w:szCs w:val="36"/>
        </w:rPr>
      </w:pPr>
    </w:p>
    <w:p>
      <w:pPr>
        <w:adjustRightInd w:val="0"/>
        <w:snapToGrid w:val="0"/>
        <w:spacing w:line="360" w:lineRule="auto"/>
        <w:jc w:val="left"/>
        <w:rPr>
          <w:rFonts w:ascii="宋体" w:hAnsi="宋体"/>
          <w:b/>
          <w:sz w:val="36"/>
          <w:szCs w:val="36"/>
        </w:rPr>
      </w:pPr>
    </w:p>
    <w:p>
      <w:pPr>
        <w:adjustRightInd w:val="0"/>
        <w:snapToGrid w:val="0"/>
        <w:spacing w:line="360" w:lineRule="auto"/>
        <w:jc w:val="left"/>
        <w:rPr>
          <w:rFonts w:ascii="宋体" w:hAnsi="宋体"/>
          <w:b/>
          <w:sz w:val="36"/>
          <w:szCs w:val="36"/>
        </w:rPr>
      </w:pPr>
    </w:p>
    <w:p>
      <w:pPr>
        <w:adjustRightInd w:val="0"/>
        <w:snapToGrid w:val="0"/>
        <w:spacing w:line="360" w:lineRule="auto"/>
        <w:jc w:val="left"/>
        <w:rPr>
          <w:rFonts w:ascii="宋体" w:hAnsi="宋体"/>
          <w:b/>
          <w:sz w:val="36"/>
          <w:szCs w:val="36"/>
        </w:rPr>
      </w:pPr>
    </w:p>
    <w:p>
      <w:pPr>
        <w:adjustRightInd w:val="0"/>
        <w:snapToGrid w:val="0"/>
        <w:spacing w:line="360" w:lineRule="auto"/>
        <w:jc w:val="left"/>
        <w:rPr>
          <w:rFonts w:ascii="宋体" w:hAnsi="宋体"/>
          <w:b/>
          <w:sz w:val="36"/>
          <w:szCs w:val="36"/>
        </w:rPr>
      </w:pPr>
    </w:p>
    <w:p>
      <w:pPr>
        <w:adjustRightInd w:val="0"/>
        <w:snapToGrid w:val="0"/>
        <w:spacing w:line="360" w:lineRule="auto"/>
        <w:ind w:firstLine="2107" w:firstLineChars="878"/>
        <w:jc w:val="left"/>
        <w:rPr>
          <w:rFonts w:ascii="方正小标宋简体" w:hAnsi="宋体" w:eastAsia="方正小标宋简体"/>
          <w:sz w:val="24"/>
          <w:szCs w:val="24"/>
        </w:rPr>
      </w:pPr>
      <w:r>
        <w:rPr>
          <w:rFonts w:hint="eastAsia" w:ascii="方正小标宋简体" w:hAnsi="宋体" w:eastAsia="方正小标宋简体"/>
          <w:sz w:val="24"/>
          <w:szCs w:val="24"/>
        </w:rPr>
        <w:t>甲  方：</w:t>
      </w:r>
      <w:r>
        <w:rPr>
          <w:rFonts w:hint="eastAsia" w:ascii="方正小标宋简体" w:hAnsi="宋体" w:eastAsia="方正小标宋简体"/>
          <w:sz w:val="24"/>
          <w:szCs w:val="24"/>
          <w:u w:val="thick"/>
        </w:rPr>
        <w:t xml:space="preserve">                           </w:t>
      </w:r>
    </w:p>
    <w:p>
      <w:pPr>
        <w:adjustRightInd w:val="0"/>
        <w:snapToGrid w:val="0"/>
        <w:spacing w:line="360" w:lineRule="auto"/>
        <w:ind w:firstLine="1627" w:firstLineChars="678"/>
        <w:jc w:val="left"/>
        <w:rPr>
          <w:rFonts w:ascii="方正小标宋简体" w:hAnsi="宋体" w:eastAsia="方正小标宋简体"/>
          <w:sz w:val="24"/>
          <w:szCs w:val="24"/>
        </w:rPr>
      </w:pPr>
      <w:r>
        <w:rPr>
          <w:rFonts w:hint="eastAsia" w:ascii="方正小标宋简体" w:hAnsi="宋体" w:eastAsia="方正小标宋简体"/>
          <w:sz w:val="24"/>
          <w:szCs w:val="24"/>
        </w:rPr>
        <w:t xml:space="preserve"> </w:t>
      </w:r>
    </w:p>
    <w:p>
      <w:pPr>
        <w:adjustRightInd w:val="0"/>
        <w:snapToGrid w:val="0"/>
        <w:spacing w:line="360" w:lineRule="auto"/>
        <w:ind w:firstLine="2107" w:firstLineChars="878"/>
        <w:jc w:val="left"/>
        <w:rPr>
          <w:rFonts w:ascii="方正小标宋简体" w:hAnsi="宋体" w:eastAsia="方正小标宋简体"/>
          <w:sz w:val="24"/>
          <w:szCs w:val="24"/>
        </w:rPr>
      </w:pPr>
      <w:r>
        <w:rPr>
          <w:rFonts w:hint="eastAsia" w:ascii="方正小标宋简体" w:hAnsi="宋体" w:eastAsia="方正小标宋简体"/>
          <w:sz w:val="24"/>
          <w:szCs w:val="24"/>
        </w:rPr>
        <w:t>乙  方：</w:t>
      </w:r>
      <w:r>
        <w:rPr>
          <w:rFonts w:hint="eastAsia" w:ascii="方正小标宋简体" w:hAnsi="宋体" w:eastAsia="方正小标宋简体"/>
          <w:sz w:val="24"/>
          <w:szCs w:val="24"/>
          <w:u w:val="thick"/>
        </w:rPr>
        <w:t xml:space="preserve">                           </w:t>
      </w:r>
    </w:p>
    <w:p>
      <w:pPr>
        <w:adjustRightInd w:val="0"/>
        <w:snapToGrid w:val="0"/>
        <w:spacing w:line="360" w:lineRule="auto"/>
        <w:ind w:firstLine="1906" w:firstLineChars="678"/>
        <w:jc w:val="left"/>
        <w:rPr>
          <w:rFonts w:ascii="宋体" w:hAnsi="宋体"/>
          <w:b/>
          <w:sz w:val="28"/>
          <w:szCs w:val="36"/>
        </w:rPr>
      </w:pPr>
    </w:p>
    <w:p/>
    <w:p>
      <w:pPr>
        <w:spacing w:line="360" w:lineRule="auto"/>
        <w:ind w:right="480"/>
        <w:rPr>
          <w:rFonts w:ascii="宋体" w:hAnsi="宋体" w:cs="宋体"/>
          <w:bCs/>
          <w:sz w:val="24"/>
          <w:u w:val="single"/>
        </w:rPr>
      </w:pPr>
      <w:r>
        <w:rPr>
          <w:rFonts w:hint="eastAsia" w:ascii="宋体" w:hAnsi="宋体" w:cs="宋体"/>
          <w:bCs/>
          <w:sz w:val="24"/>
        </w:rPr>
        <w:t xml:space="preserve">                                        </w:t>
      </w:r>
    </w:p>
    <w:p>
      <w:pPr>
        <w:spacing w:line="360" w:lineRule="auto"/>
        <w:rPr>
          <w:rFonts w:ascii="宋体" w:hAnsi="宋体" w:cs="宋体"/>
          <w:bCs/>
          <w:sz w:val="22"/>
          <w:szCs w:val="22"/>
        </w:rPr>
        <w:sectPr>
          <w:headerReference r:id="rId3" w:type="default"/>
          <w:footerReference r:id="rId4" w:type="default"/>
          <w:pgSz w:w="11907" w:h="16840"/>
          <w:pgMar w:top="1304" w:right="1418" w:bottom="1304" w:left="1418" w:header="724" w:footer="851" w:gutter="0"/>
          <w:cols w:space="720" w:num="1"/>
          <w:docGrid w:linePitch="290" w:charSpace="-3931"/>
        </w:sectPr>
      </w:pPr>
    </w:p>
    <w:p>
      <w:pPr>
        <w:spacing w:line="360" w:lineRule="auto"/>
        <w:rPr>
          <w:rFonts w:hint="eastAsia" w:ascii="宋体" w:hAnsi="宋体" w:eastAsia="宋体" w:cs="宋体"/>
          <w:bCs/>
          <w:sz w:val="24"/>
          <w:szCs w:val="24"/>
        </w:rPr>
      </w:pPr>
      <w:r>
        <w:rPr>
          <w:rFonts w:hint="eastAsia" w:ascii="宋体" w:hAnsi="宋体" w:eastAsia="宋体" w:cs="宋体"/>
          <w:bCs/>
          <w:sz w:val="22"/>
          <w:szCs w:val="22"/>
        </w:rPr>
        <w:t xml:space="preserve"> </w:t>
      </w:r>
      <w:r>
        <w:rPr>
          <w:rFonts w:hint="eastAsia" w:ascii="宋体" w:hAnsi="宋体" w:eastAsia="宋体" w:cs="宋体"/>
          <w:bCs/>
          <w:sz w:val="24"/>
          <w:szCs w:val="24"/>
        </w:rPr>
        <w:t>甲方（买方）：</w:t>
      </w:r>
      <w:r>
        <w:rPr>
          <w:rFonts w:hint="eastAsia" w:ascii="宋体" w:hAnsi="宋体" w:eastAsia="宋体" w:cs="宋体"/>
          <w:b/>
          <w:bCs/>
          <w:sz w:val="24"/>
          <w:szCs w:val="24"/>
          <w:u w:val="single"/>
        </w:rPr>
        <w:t xml:space="preserve">            </w:t>
      </w:r>
      <w:r>
        <w:rPr>
          <w:rFonts w:hint="eastAsia" w:ascii="宋体" w:hAnsi="宋体" w:eastAsia="宋体" w:cs="宋体"/>
          <w:bCs/>
          <w:sz w:val="24"/>
          <w:szCs w:val="24"/>
        </w:rPr>
        <w:t xml:space="preserve">      </w:t>
      </w:r>
    </w:p>
    <w:p>
      <w:pPr>
        <w:spacing w:line="360" w:lineRule="auto"/>
        <w:rPr>
          <w:rFonts w:hint="eastAsia" w:ascii="宋体" w:hAnsi="宋体" w:eastAsia="宋体" w:cs="宋体"/>
          <w:bCs/>
          <w:sz w:val="24"/>
          <w:szCs w:val="24"/>
        </w:rPr>
      </w:pPr>
      <w:r>
        <w:rPr>
          <w:rFonts w:hint="eastAsia" w:ascii="宋体" w:hAnsi="宋体" w:eastAsia="宋体" w:cs="宋体"/>
          <w:bCs/>
          <w:sz w:val="24"/>
          <w:szCs w:val="24"/>
        </w:rPr>
        <w:t xml:space="preserve">    </w:t>
      </w:r>
    </w:p>
    <w:p>
      <w:pPr>
        <w:spacing w:line="360" w:lineRule="auto"/>
        <w:ind w:right="-189" w:rightChars="-90" w:firstLine="120" w:firstLineChars="50"/>
        <w:jc w:val="left"/>
        <w:rPr>
          <w:rFonts w:hint="eastAsia" w:ascii="宋体" w:hAnsi="宋体" w:eastAsia="宋体" w:cs="宋体"/>
          <w:b/>
          <w:bCs/>
          <w:sz w:val="24"/>
          <w:szCs w:val="24"/>
          <w:u w:val="single"/>
        </w:rPr>
      </w:pPr>
      <w:r>
        <w:rPr>
          <w:rFonts w:hint="eastAsia" w:ascii="宋体" w:hAnsi="宋体" w:eastAsia="宋体" w:cs="宋体"/>
          <w:bCs/>
          <w:sz w:val="24"/>
          <w:szCs w:val="24"/>
        </w:rPr>
        <w:t>乙方（卖方）：</w:t>
      </w:r>
      <w:r>
        <w:rPr>
          <w:rFonts w:hint="eastAsia" w:ascii="宋体" w:hAnsi="宋体" w:eastAsia="宋体" w:cs="宋体"/>
          <w:b/>
          <w:bCs/>
          <w:sz w:val="24"/>
          <w:szCs w:val="24"/>
          <w:u w:val="single"/>
        </w:rPr>
        <w:t xml:space="preserve">            </w:t>
      </w:r>
    </w:p>
    <w:p>
      <w:pPr>
        <w:spacing w:line="360" w:lineRule="auto"/>
        <w:ind w:right="-189" w:rightChars="-90"/>
        <w:jc w:val="left"/>
        <w:rPr>
          <w:rFonts w:ascii="仿宋_GB2312" w:hAnsi="宋体" w:eastAsia="仿宋_GB2312" w:cs="宋体"/>
          <w:b/>
          <w:bCs/>
          <w:sz w:val="24"/>
          <w:szCs w:val="24"/>
          <w:u w:val="single"/>
        </w:rPr>
      </w:pP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本设备采购合同由甲乙双方于山东省济南市（可根据实际情况调整）签订：</w:t>
      </w:r>
    </w:p>
    <w:p>
      <w:pPr>
        <w:spacing w:line="360" w:lineRule="auto"/>
        <w:ind w:right="-189" w:rightChars="-90" w:firstLine="480" w:firstLineChars="200"/>
        <w:jc w:val="left"/>
        <w:rPr>
          <w:rFonts w:hint="eastAsia" w:ascii="宋体" w:hAnsi="宋体" w:eastAsia="宋体" w:cs="宋体"/>
          <w:sz w:val="24"/>
          <w:szCs w:val="24"/>
        </w:rPr>
      </w:pPr>
      <w:r>
        <w:rPr>
          <w:rFonts w:hint="eastAsia" w:ascii="宋体" w:hAnsi="宋体" w:eastAsia="宋体" w:cs="宋体"/>
          <w:sz w:val="24"/>
          <w:szCs w:val="24"/>
        </w:rPr>
        <w:t>鉴于，买方向卖方购买</w:t>
      </w:r>
      <w:r>
        <w:rPr>
          <w:rFonts w:hint="eastAsia" w:ascii="宋体" w:hAnsi="宋体" w:eastAsia="宋体" w:cs="宋体"/>
          <w:sz w:val="24"/>
          <w:szCs w:val="24"/>
          <w:u w:val="single"/>
        </w:rPr>
        <w:t xml:space="preserve">     </w:t>
      </w:r>
      <w:r>
        <w:rPr>
          <w:rFonts w:hint="eastAsia" w:ascii="宋体" w:hAnsi="宋体" w:eastAsia="宋体" w:cs="宋体"/>
          <w:sz w:val="24"/>
          <w:szCs w:val="24"/>
        </w:rPr>
        <w:t>项目</w:t>
      </w:r>
      <w:r>
        <w:rPr>
          <w:rFonts w:hint="eastAsia" w:ascii="宋体" w:hAnsi="宋体" w:eastAsia="宋体" w:cs="宋体"/>
          <w:sz w:val="24"/>
          <w:szCs w:val="24"/>
          <w:u w:val="single"/>
        </w:rPr>
        <w:t xml:space="preserve">   </w:t>
      </w:r>
      <w:r>
        <w:rPr>
          <w:rFonts w:hint="eastAsia" w:ascii="宋体" w:hAnsi="宋体" w:eastAsia="宋体" w:cs="宋体"/>
          <w:sz w:val="24"/>
          <w:szCs w:val="24"/>
        </w:rPr>
        <w:t>设备</w:t>
      </w:r>
      <w:r>
        <w:rPr>
          <w:rFonts w:hint="eastAsia" w:ascii="宋体" w:hAnsi="宋体" w:eastAsia="宋体" w:cs="宋体"/>
          <w:sz w:val="24"/>
          <w:szCs w:val="24"/>
          <w:u w:val="single"/>
        </w:rPr>
        <w:t xml:space="preserve">    </w:t>
      </w:r>
      <w:r>
        <w:rPr>
          <w:rFonts w:hint="eastAsia" w:ascii="宋体" w:hAnsi="宋体" w:eastAsia="宋体" w:cs="宋体"/>
          <w:sz w:val="24"/>
          <w:szCs w:val="24"/>
        </w:rPr>
        <w:t>台（套），就该设备的设计、制造、运输、定点卸货、安装（或指导安装）、调试、验收、培训及售后服务等有关问题，以上所列内容经买卖双方协商自愿达成本合同：</w:t>
      </w:r>
    </w:p>
    <w:p>
      <w:pPr>
        <w:pStyle w:val="2"/>
        <w:spacing w:before="240" w:beforeLines="100"/>
        <w:ind w:left="0" w:firstLine="529" w:firstLineChars="189"/>
        <w:jc w:val="both"/>
        <w:rPr>
          <w:rFonts w:ascii="黑体" w:hAnsi="黑体" w:eastAsia="黑体" w:cstheme="minorEastAsia"/>
          <w:b w:val="0"/>
          <w:sz w:val="28"/>
          <w:szCs w:val="28"/>
        </w:rPr>
      </w:pPr>
      <w:bookmarkStart w:id="136" w:name="_Toc11823"/>
      <w:bookmarkStart w:id="137" w:name="_Toc17619"/>
      <w:bookmarkStart w:id="138" w:name="_Toc11930"/>
      <w:bookmarkStart w:id="139" w:name="_Toc29600"/>
      <w:bookmarkStart w:id="140" w:name="_Toc16330018"/>
      <w:r>
        <w:rPr>
          <w:rFonts w:hint="eastAsia" w:ascii="黑体" w:hAnsi="黑体" w:eastAsia="黑体" w:cstheme="minorEastAsia"/>
          <w:b w:val="0"/>
          <w:sz w:val="28"/>
          <w:szCs w:val="28"/>
        </w:rPr>
        <w:t>1 合同设备</w:t>
      </w:r>
      <w:bookmarkEnd w:id="136"/>
      <w:bookmarkEnd w:id="137"/>
      <w:bookmarkEnd w:id="138"/>
      <w:bookmarkEnd w:id="139"/>
      <w:bookmarkEnd w:id="140"/>
    </w:p>
    <w:p>
      <w:pPr>
        <w:spacing w:line="360" w:lineRule="auto"/>
        <w:ind w:firstLine="453" w:firstLineChars="189"/>
        <w:rPr>
          <w:rFonts w:hint="eastAsia" w:ascii="宋体" w:hAnsi="宋体" w:eastAsia="宋体" w:cs="宋体"/>
          <w:sz w:val="24"/>
          <w:szCs w:val="24"/>
        </w:rPr>
      </w:pPr>
      <w:r>
        <w:rPr>
          <w:rFonts w:hint="eastAsia" w:ascii="宋体" w:hAnsi="宋体" w:eastAsia="宋体" w:cs="宋体"/>
          <w:sz w:val="24"/>
          <w:szCs w:val="24"/>
        </w:rPr>
        <w:t>1.1买方向卖方购买的设备信息见附件一：《设备清单明细表》</w:t>
      </w:r>
    </w:p>
    <w:p>
      <w:pPr>
        <w:spacing w:line="360" w:lineRule="auto"/>
        <w:ind w:firstLine="453" w:firstLineChars="189"/>
        <w:rPr>
          <w:rFonts w:hint="eastAsia" w:ascii="宋体" w:hAnsi="宋体" w:eastAsia="宋体" w:cs="宋体"/>
          <w:sz w:val="24"/>
          <w:szCs w:val="24"/>
        </w:rPr>
      </w:pPr>
      <w:bookmarkStart w:id="141" w:name="_Toc29026"/>
      <w:bookmarkStart w:id="142" w:name="_Toc32510"/>
      <w:bookmarkStart w:id="143" w:name="_Toc22800"/>
      <w:r>
        <w:rPr>
          <w:rFonts w:hint="eastAsia" w:ascii="宋体" w:hAnsi="宋体" w:eastAsia="宋体" w:cs="宋体"/>
          <w:sz w:val="24"/>
          <w:szCs w:val="24"/>
        </w:rPr>
        <w:t>1.2技术规格和标准</w:t>
      </w:r>
    </w:p>
    <w:p>
      <w:pPr>
        <w:spacing w:line="360" w:lineRule="auto"/>
        <w:ind w:firstLine="453" w:firstLineChars="189"/>
        <w:rPr>
          <w:rFonts w:hint="eastAsia" w:ascii="宋体" w:hAnsi="宋体" w:eastAsia="宋体" w:cs="宋体"/>
          <w:sz w:val="24"/>
          <w:szCs w:val="24"/>
        </w:rPr>
      </w:pPr>
      <w:r>
        <w:rPr>
          <w:rFonts w:hint="eastAsia" w:ascii="宋体" w:hAnsi="宋体" w:eastAsia="宋体" w:cs="宋体"/>
          <w:sz w:val="24"/>
          <w:szCs w:val="24"/>
        </w:rPr>
        <w:t>1.2.1本合同约定设备的技术规格详见附件二《技术协议书》。</w:t>
      </w:r>
    </w:p>
    <w:p>
      <w:pPr>
        <w:spacing w:line="360" w:lineRule="auto"/>
        <w:ind w:firstLine="453" w:firstLineChars="189"/>
        <w:rPr>
          <w:rFonts w:hint="eastAsia" w:ascii="宋体" w:hAnsi="宋体" w:eastAsia="宋体" w:cs="宋体"/>
          <w:sz w:val="24"/>
          <w:szCs w:val="24"/>
        </w:rPr>
      </w:pPr>
      <w:r>
        <w:rPr>
          <w:rFonts w:hint="eastAsia" w:ascii="宋体" w:hAnsi="宋体" w:eastAsia="宋体" w:cs="宋体"/>
          <w:sz w:val="24"/>
          <w:szCs w:val="24"/>
        </w:rPr>
        <w:t>1.2.2本合同约定设备的技术规格应与《技术协议书》中规定的相应标准一致。若《技术协议书》无相应规定或未签署《技术协议书》，设备的技术规格则应符合相应的国家标准、其原产地国家有关部门最新颁布的相应正式标准、买方招标文件及卖方一切书面承诺中要求的技术标准。</w:t>
      </w:r>
    </w:p>
    <w:p>
      <w:pPr>
        <w:spacing w:line="360" w:lineRule="auto"/>
        <w:ind w:firstLine="453" w:firstLineChars="189"/>
        <w:rPr>
          <w:rFonts w:hint="eastAsia" w:ascii="宋体" w:hAnsi="宋体" w:eastAsia="宋体" w:cs="宋体"/>
          <w:sz w:val="24"/>
          <w:szCs w:val="24"/>
        </w:rPr>
      </w:pPr>
      <w:r>
        <w:rPr>
          <w:rFonts w:hint="eastAsia" w:ascii="宋体" w:hAnsi="宋体" w:eastAsia="宋体" w:cs="宋体"/>
          <w:sz w:val="24"/>
          <w:szCs w:val="24"/>
        </w:rPr>
        <w:t>1.3在设备所有权转移到买方之前，有关设备的保险由卖方负责办理并承担保险费用。</w:t>
      </w:r>
    </w:p>
    <w:p>
      <w:pPr>
        <w:pStyle w:val="2"/>
        <w:spacing w:before="240" w:beforeLines="100"/>
        <w:ind w:left="0" w:firstLine="529" w:firstLineChars="189"/>
        <w:jc w:val="both"/>
        <w:rPr>
          <w:rFonts w:ascii="黑体" w:hAnsi="黑体" w:eastAsia="黑体" w:cstheme="minorEastAsia"/>
          <w:b w:val="0"/>
          <w:sz w:val="28"/>
          <w:szCs w:val="28"/>
        </w:rPr>
      </w:pPr>
      <w:bookmarkStart w:id="144" w:name="_Toc5645"/>
      <w:bookmarkStart w:id="145" w:name="_Toc16330019"/>
      <w:r>
        <w:rPr>
          <w:rFonts w:hint="eastAsia" w:ascii="黑体" w:hAnsi="黑体" w:eastAsia="黑体" w:cstheme="minorEastAsia"/>
          <w:b w:val="0"/>
          <w:sz w:val="28"/>
          <w:szCs w:val="28"/>
        </w:rPr>
        <w:t>2 包装</w:t>
      </w:r>
      <w:bookmarkEnd w:id="141"/>
      <w:bookmarkEnd w:id="142"/>
      <w:bookmarkEnd w:id="143"/>
      <w:bookmarkEnd w:id="144"/>
      <w:bookmarkEnd w:id="145"/>
    </w:p>
    <w:p>
      <w:pPr>
        <w:spacing w:line="360" w:lineRule="auto"/>
        <w:ind w:firstLine="453" w:firstLineChars="189"/>
        <w:rPr>
          <w:rFonts w:hint="eastAsia" w:ascii="宋体" w:hAnsi="宋体" w:eastAsia="宋体" w:cs="宋体"/>
          <w:sz w:val="24"/>
          <w:szCs w:val="24"/>
        </w:rPr>
      </w:pPr>
      <w:r>
        <w:rPr>
          <w:rFonts w:hint="eastAsia" w:ascii="宋体" w:hAnsi="宋体" w:eastAsia="宋体" w:cs="宋体"/>
          <w:sz w:val="24"/>
          <w:szCs w:val="24"/>
        </w:rPr>
        <w:t>2.1设备的包装需采用国家标准，没有国家标准的采用行业标准，没有行业标准的应当按照通用的方式包装，没有通用方式的，应当采取足以保护设备的包装方式。这种包装应适于长途运输，并有良好的防潮、防锈和防野蛮装卸等保护措施，以确保设备在运输过程中不受损伤安全抵运现场。卖方应承担由于其包装、防护不妥而引起的设备锈蚀、损坏、丢失等任何损失的责任和费用。</w:t>
      </w:r>
    </w:p>
    <w:p>
      <w:pPr>
        <w:spacing w:line="360" w:lineRule="auto"/>
        <w:ind w:firstLine="453" w:firstLineChars="189"/>
        <w:rPr>
          <w:rFonts w:hint="eastAsia" w:ascii="宋体" w:hAnsi="宋体" w:eastAsia="宋体" w:cs="宋体"/>
          <w:sz w:val="24"/>
          <w:szCs w:val="24"/>
        </w:rPr>
      </w:pPr>
      <w:r>
        <w:rPr>
          <w:rFonts w:hint="eastAsia" w:ascii="宋体" w:hAnsi="宋体" w:eastAsia="宋体" w:cs="宋体"/>
          <w:sz w:val="24"/>
          <w:szCs w:val="24"/>
        </w:rPr>
        <w:t>2.2每件包装应附有详细的装箱单和质量证书各两套，一套在包装箱里，一套在包装箱外。</w:t>
      </w:r>
    </w:p>
    <w:p>
      <w:pPr>
        <w:pStyle w:val="2"/>
        <w:spacing w:before="240" w:beforeLines="100"/>
        <w:ind w:left="0" w:firstLine="529" w:firstLineChars="189"/>
        <w:jc w:val="both"/>
        <w:rPr>
          <w:rFonts w:ascii="黑体" w:hAnsi="黑体" w:eastAsia="黑体" w:cstheme="minorEastAsia"/>
          <w:b w:val="0"/>
          <w:sz w:val="28"/>
          <w:szCs w:val="28"/>
        </w:rPr>
      </w:pPr>
      <w:bookmarkStart w:id="146" w:name="_Toc19481"/>
      <w:bookmarkStart w:id="147" w:name="_Toc2833"/>
      <w:bookmarkStart w:id="148" w:name="_Toc27453"/>
      <w:bookmarkStart w:id="149" w:name="_Toc16330020"/>
      <w:bookmarkStart w:id="150" w:name="_Toc27144"/>
      <w:r>
        <w:rPr>
          <w:rFonts w:hint="eastAsia" w:ascii="黑体" w:hAnsi="黑体" w:eastAsia="黑体" w:cstheme="minorEastAsia"/>
          <w:b w:val="0"/>
          <w:sz w:val="28"/>
          <w:szCs w:val="28"/>
        </w:rPr>
        <w:t>3 运输标记</w:t>
      </w:r>
      <w:bookmarkEnd w:id="146"/>
      <w:bookmarkEnd w:id="147"/>
      <w:bookmarkEnd w:id="148"/>
      <w:bookmarkEnd w:id="149"/>
      <w:bookmarkEnd w:id="150"/>
    </w:p>
    <w:p>
      <w:pPr>
        <w:spacing w:line="360" w:lineRule="auto"/>
        <w:ind w:firstLine="453" w:firstLineChars="189"/>
        <w:rPr>
          <w:rFonts w:hint="eastAsia" w:ascii="宋体" w:hAnsi="宋体" w:eastAsia="宋体" w:cs="宋体"/>
          <w:sz w:val="24"/>
          <w:szCs w:val="24"/>
        </w:rPr>
      </w:pPr>
      <w:r>
        <w:rPr>
          <w:rFonts w:hint="eastAsia" w:ascii="宋体" w:hAnsi="宋体" w:eastAsia="宋体" w:cs="宋体"/>
          <w:sz w:val="24"/>
          <w:szCs w:val="24"/>
        </w:rPr>
        <w:t>3.1卖方应在每一包装箱邻近的四个侧面用不易褪色的油漆以醒目的中文印刷字体标明以下各项：</w:t>
      </w:r>
    </w:p>
    <w:p>
      <w:pPr>
        <w:spacing w:line="360" w:lineRule="auto"/>
        <w:ind w:firstLine="453" w:firstLineChars="189"/>
        <w:rPr>
          <w:rFonts w:hint="eastAsia" w:ascii="宋体" w:hAnsi="宋体" w:eastAsia="宋体" w:cs="宋体"/>
          <w:sz w:val="24"/>
          <w:szCs w:val="24"/>
        </w:rPr>
      </w:pPr>
      <w:r>
        <w:rPr>
          <w:rFonts w:hint="eastAsia" w:ascii="宋体" w:hAnsi="宋体" w:eastAsia="宋体" w:cs="宋体"/>
          <w:sz w:val="24"/>
          <w:szCs w:val="24"/>
        </w:rPr>
        <w:t>3.1.1收货人</w:t>
      </w:r>
    </w:p>
    <w:p>
      <w:pPr>
        <w:spacing w:line="360" w:lineRule="auto"/>
        <w:ind w:firstLine="453" w:firstLineChars="189"/>
        <w:rPr>
          <w:rFonts w:hint="eastAsia" w:ascii="宋体" w:hAnsi="宋体" w:eastAsia="宋体" w:cs="宋体"/>
          <w:sz w:val="24"/>
          <w:szCs w:val="24"/>
        </w:rPr>
      </w:pPr>
      <w:r>
        <w:rPr>
          <w:rFonts w:hint="eastAsia" w:ascii="宋体" w:hAnsi="宋体" w:eastAsia="宋体" w:cs="宋体"/>
          <w:sz w:val="24"/>
          <w:szCs w:val="24"/>
        </w:rPr>
        <w:t>3.1.2合同号</w:t>
      </w:r>
    </w:p>
    <w:p>
      <w:pPr>
        <w:spacing w:line="360" w:lineRule="auto"/>
        <w:ind w:firstLine="453" w:firstLineChars="189"/>
        <w:rPr>
          <w:rFonts w:hint="eastAsia" w:ascii="宋体" w:hAnsi="宋体" w:eastAsia="宋体" w:cs="宋体"/>
          <w:sz w:val="24"/>
          <w:szCs w:val="24"/>
        </w:rPr>
      </w:pPr>
      <w:r>
        <w:rPr>
          <w:rFonts w:hint="eastAsia" w:ascii="宋体" w:hAnsi="宋体" w:eastAsia="宋体" w:cs="宋体"/>
          <w:sz w:val="24"/>
          <w:szCs w:val="24"/>
        </w:rPr>
        <w:t>3.1.3发货标记（唛头）</w:t>
      </w:r>
    </w:p>
    <w:p>
      <w:pPr>
        <w:spacing w:line="360" w:lineRule="auto"/>
        <w:ind w:firstLine="453" w:firstLineChars="189"/>
        <w:rPr>
          <w:rFonts w:hint="eastAsia" w:ascii="宋体" w:hAnsi="宋体" w:eastAsia="宋体" w:cs="宋体"/>
          <w:sz w:val="24"/>
          <w:szCs w:val="24"/>
        </w:rPr>
      </w:pPr>
      <w:r>
        <w:rPr>
          <w:rFonts w:hint="eastAsia" w:ascii="宋体" w:hAnsi="宋体" w:eastAsia="宋体" w:cs="宋体"/>
          <w:sz w:val="24"/>
          <w:szCs w:val="24"/>
        </w:rPr>
        <w:t>3.1.4设备的名称、品目号、箱号</w:t>
      </w:r>
    </w:p>
    <w:p>
      <w:pPr>
        <w:spacing w:line="360" w:lineRule="auto"/>
        <w:ind w:firstLine="453" w:firstLineChars="189"/>
        <w:rPr>
          <w:rFonts w:hint="eastAsia" w:ascii="宋体" w:hAnsi="宋体" w:eastAsia="宋体" w:cs="宋体"/>
          <w:sz w:val="24"/>
          <w:szCs w:val="24"/>
        </w:rPr>
      </w:pPr>
      <w:r>
        <w:rPr>
          <w:rFonts w:hint="eastAsia" w:ascii="宋体" w:hAnsi="宋体" w:eastAsia="宋体" w:cs="宋体"/>
          <w:sz w:val="24"/>
          <w:szCs w:val="24"/>
        </w:rPr>
        <w:t>3.1.5毛重/净重（公斤）</w:t>
      </w:r>
    </w:p>
    <w:p>
      <w:pPr>
        <w:spacing w:line="360" w:lineRule="auto"/>
        <w:ind w:firstLine="453" w:firstLineChars="189"/>
        <w:rPr>
          <w:rFonts w:hint="eastAsia" w:ascii="宋体" w:hAnsi="宋体" w:eastAsia="宋体" w:cs="宋体"/>
          <w:sz w:val="24"/>
          <w:szCs w:val="24"/>
        </w:rPr>
      </w:pPr>
      <w:r>
        <w:rPr>
          <w:rFonts w:hint="eastAsia" w:ascii="宋体" w:hAnsi="宋体" w:eastAsia="宋体" w:cs="宋体"/>
          <w:sz w:val="24"/>
          <w:szCs w:val="24"/>
        </w:rPr>
        <w:t>3.1.6尺寸（长×宽×高，以厘米计）</w:t>
      </w:r>
    </w:p>
    <w:p>
      <w:pPr>
        <w:spacing w:line="360" w:lineRule="auto"/>
        <w:ind w:firstLine="453" w:firstLineChars="189"/>
        <w:rPr>
          <w:rFonts w:hint="eastAsia" w:ascii="宋体" w:hAnsi="宋体" w:eastAsia="宋体" w:cs="宋体"/>
          <w:sz w:val="24"/>
          <w:szCs w:val="24"/>
        </w:rPr>
      </w:pPr>
      <w:r>
        <w:rPr>
          <w:rFonts w:hint="eastAsia" w:ascii="宋体" w:hAnsi="宋体" w:eastAsia="宋体" w:cs="宋体"/>
          <w:sz w:val="24"/>
          <w:szCs w:val="24"/>
        </w:rPr>
        <w:t>3.2根据设备的特点和运输的不同要求，卖方应在每件包装箱的两侧以国内贸易相宜的运输标志标明“重心”和“吊装点”，并以清晰的字样在包装箱上注明“小心轻放”、“勿倒置”、“防潮”等适当的标志，以方便装卸和搬运。</w:t>
      </w:r>
    </w:p>
    <w:p>
      <w:pPr>
        <w:pStyle w:val="2"/>
        <w:spacing w:before="240" w:beforeLines="100"/>
        <w:ind w:left="0" w:firstLine="529" w:firstLineChars="189"/>
        <w:jc w:val="both"/>
        <w:rPr>
          <w:rFonts w:ascii="黑体" w:hAnsi="黑体" w:eastAsia="黑体" w:cstheme="minorEastAsia"/>
          <w:b w:val="0"/>
          <w:sz w:val="28"/>
          <w:szCs w:val="28"/>
        </w:rPr>
      </w:pPr>
      <w:bookmarkStart w:id="151" w:name="_Toc7431"/>
      <w:bookmarkStart w:id="152" w:name="_Toc16133"/>
      <w:bookmarkStart w:id="153" w:name="_Toc13355"/>
      <w:bookmarkStart w:id="154" w:name="_Toc16330021"/>
      <w:bookmarkStart w:id="155" w:name="_Toc10630"/>
      <w:r>
        <w:rPr>
          <w:rFonts w:hint="eastAsia" w:ascii="黑体" w:hAnsi="黑体" w:eastAsia="黑体" w:cstheme="minorEastAsia"/>
          <w:b w:val="0"/>
          <w:sz w:val="28"/>
          <w:szCs w:val="28"/>
        </w:rPr>
        <w:t>4 检验</w:t>
      </w:r>
      <w:bookmarkEnd w:id="151"/>
      <w:bookmarkEnd w:id="152"/>
      <w:bookmarkEnd w:id="153"/>
      <w:bookmarkEnd w:id="154"/>
      <w:bookmarkEnd w:id="155"/>
    </w:p>
    <w:p>
      <w:pPr>
        <w:spacing w:line="360" w:lineRule="auto"/>
        <w:ind w:firstLine="453" w:firstLineChars="189"/>
        <w:rPr>
          <w:rFonts w:hint="eastAsia" w:ascii="宋体" w:hAnsi="宋体" w:eastAsia="宋体" w:cs="宋体"/>
          <w:sz w:val="24"/>
          <w:szCs w:val="24"/>
        </w:rPr>
      </w:pPr>
      <w:r>
        <w:rPr>
          <w:rFonts w:hint="eastAsia" w:ascii="宋体" w:hAnsi="宋体" w:eastAsia="宋体" w:cs="宋体"/>
          <w:sz w:val="24"/>
          <w:szCs w:val="24"/>
        </w:rPr>
        <w:t>4.1卖方在发货之前，对设备有关外观、质量、规格、性能、数量和重量进行准确的和全面的检验，并出具其设备符合本合同规定的质量保证书，但不应将其视为是对设备质量、规格、性能、数量或重量的最终定论。质量保证书应附有写明制造商检验的细节、结果的说明。设备到货并安装调试正常运行后，买方按照《技术协议书》和相关标准进行检验，检验合格后，买方签署最终验收报告。</w:t>
      </w:r>
    </w:p>
    <w:p>
      <w:pPr>
        <w:spacing w:line="360" w:lineRule="auto"/>
        <w:ind w:firstLine="453" w:firstLineChars="189"/>
        <w:rPr>
          <w:rFonts w:hint="eastAsia" w:ascii="宋体" w:hAnsi="宋体" w:eastAsia="宋体" w:cs="宋体"/>
          <w:sz w:val="24"/>
          <w:szCs w:val="24"/>
        </w:rPr>
      </w:pPr>
      <w:r>
        <w:rPr>
          <w:rFonts w:hint="eastAsia" w:ascii="宋体" w:hAnsi="宋体" w:eastAsia="宋体" w:cs="宋体"/>
          <w:sz w:val="24"/>
          <w:szCs w:val="24"/>
        </w:rPr>
        <w:t>4.2国家强制检验检测的设备，需要经过国家有关部门进行检验检测，卖方保证提供的设备通过其检验并承担费用。</w:t>
      </w:r>
    </w:p>
    <w:p>
      <w:pPr>
        <w:pStyle w:val="2"/>
        <w:spacing w:before="240" w:beforeLines="100"/>
        <w:ind w:left="0" w:firstLine="529" w:firstLineChars="189"/>
        <w:jc w:val="both"/>
        <w:rPr>
          <w:rFonts w:ascii="黑体" w:hAnsi="黑体" w:eastAsia="黑体" w:cstheme="minorEastAsia"/>
          <w:b w:val="0"/>
          <w:sz w:val="28"/>
          <w:szCs w:val="28"/>
        </w:rPr>
      </w:pPr>
      <w:bookmarkStart w:id="156" w:name="_Toc30399"/>
      <w:bookmarkStart w:id="157" w:name="_Toc19850"/>
      <w:bookmarkStart w:id="158" w:name="_Toc11217"/>
      <w:bookmarkStart w:id="159" w:name="_Toc16330022"/>
      <w:bookmarkStart w:id="160" w:name="_Toc24467"/>
      <w:r>
        <w:rPr>
          <w:rFonts w:hint="eastAsia" w:ascii="黑体" w:hAnsi="黑体" w:eastAsia="黑体" w:cstheme="minorEastAsia"/>
          <w:b w:val="0"/>
          <w:sz w:val="28"/>
          <w:szCs w:val="28"/>
        </w:rPr>
        <w:t>5 权利担保</w:t>
      </w:r>
      <w:bookmarkEnd w:id="156"/>
      <w:bookmarkEnd w:id="157"/>
      <w:bookmarkEnd w:id="158"/>
      <w:bookmarkEnd w:id="159"/>
      <w:bookmarkEnd w:id="160"/>
    </w:p>
    <w:p>
      <w:pPr>
        <w:spacing w:line="360" w:lineRule="auto"/>
        <w:ind w:firstLine="453" w:firstLineChars="189"/>
        <w:rPr>
          <w:rFonts w:hint="eastAsia" w:ascii="宋体" w:hAnsi="宋体" w:eastAsia="宋体" w:cs="宋体"/>
          <w:sz w:val="24"/>
          <w:szCs w:val="24"/>
        </w:rPr>
      </w:pPr>
      <w:r>
        <w:rPr>
          <w:rFonts w:hint="eastAsia" w:ascii="宋体" w:hAnsi="宋体" w:eastAsia="宋体" w:cs="宋体"/>
          <w:sz w:val="24"/>
          <w:szCs w:val="24"/>
        </w:rPr>
        <w:t>5.1卖方所交付的设备，必须是第三方不能提出任何权利或要求的设备，卖方应担保设备不存在订立本合同时不为买方所知的第三方的权利（包括但不限于抵押权、留置权等）或行政、司法查封。</w:t>
      </w:r>
    </w:p>
    <w:p>
      <w:pPr>
        <w:spacing w:line="360" w:lineRule="auto"/>
        <w:ind w:firstLine="453" w:firstLineChars="189"/>
        <w:rPr>
          <w:rFonts w:hint="eastAsia" w:ascii="宋体" w:hAnsi="宋体" w:eastAsia="宋体" w:cs="宋体"/>
          <w:sz w:val="24"/>
          <w:szCs w:val="24"/>
        </w:rPr>
      </w:pPr>
      <w:r>
        <w:rPr>
          <w:rFonts w:hint="eastAsia" w:ascii="宋体" w:hAnsi="宋体" w:eastAsia="宋体" w:cs="宋体"/>
          <w:sz w:val="24"/>
          <w:szCs w:val="24"/>
        </w:rPr>
        <w:t>5.2卖方应保证第三方对其提交的设备不得以侵权或其他类似理由提出合法要求，如侵犯知识产权等。</w:t>
      </w:r>
    </w:p>
    <w:p>
      <w:pPr>
        <w:spacing w:line="360" w:lineRule="auto"/>
        <w:ind w:firstLine="453" w:firstLineChars="189"/>
        <w:rPr>
          <w:rFonts w:hint="eastAsia" w:ascii="宋体" w:hAnsi="宋体" w:eastAsia="宋体" w:cs="宋体"/>
          <w:sz w:val="24"/>
          <w:szCs w:val="24"/>
        </w:rPr>
      </w:pPr>
      <w:r>
        <w:rPr>
          <w:rFonts w:hint="eastAsia" w:ascii="宋体" w:hAnsi="宋体" w:eastAsia="宋体" w:cs="宋体"/>
          <w:sz w:val="24"/>
          <w:szCs w:val="24"/>
        </w:rPr>
        <w:t>5.3任何第三方如果提出侵权指控，卖方应与第三方交涉，并承担由此引起的一切法律责任和费用以及给买方所造成的损失。</w:t>
      </w:r>
    </w:p>
    <w:p>
      <w:pPr>
        <w:spacing w:line="360" w:lineRule="auto"/>
        <w:ind w:firstLine="453" w:firstLineChars="189"/>
        <w:rPr>
          <w:rFonts w:hint="eastAsia" w:ascii="宋体" w:hAnsi="宋体" w:eastAsia="宋体" w:cs="宋体"/>
          <w:sz w:val="24"/>
          <w:szCs w:val="24"/>
        </w:rPr>
      </w:pPr>
      <w:r>
        <w:rPr>
          <w:rFonts w:hint="eastAsia" w:ascii="宋体" w:hAnsi="宋体" w:eastAsia="宋体" w:cs="宋体"/>
          <w:sz w:val="24"/>
          <w:szCs w:val="24"/>
        </w:rPr>
        <w:t>5.4买方应在已知道第三方的权利或要求后的一段合理时间内，将此权利或要求的性质通知卖方。</w:t>
      </w:r>
    </w:p>
    <w:p>
      <w:pPr>
        <w:spacing w:line="360" w:lineRule="auto"/>
        <w:ind w:firstLine="453" w:firstLineChars="189"/>
        <w:rPr>
          <w:rFonts w:hint="eastAsia" w:ascii="宋体" w:hAnsi="宋体" w:eastAsia="宋体" w:cs="宋体"/>
          <w:sz w:val="24"/>
          <w:szCs w:val="24"/>
        </w:rPr>
      </w:pPr>
      <w:r>
        <w:rPr>
          <w:rFonts w:hint="eastAsia" w:ascii="宋体" w:hAnsi="宋体" w:eastAsia="宋体" w:cs="宋体"/>
          <w:sz w:val="24"/>
          <w:szCs w:val="24"/>
        </w:rPr>
        <w:t>5.5如卖方需要根据买方提供的技术协议书或图纸进行生产并供货的，根据该技术协议书或图纸所知悉、掌握或改进的任何技术、信息（包括但不限于商标、专利、产品外观或产品生产制造的过程、方法、技术）所涉及的全部知识产权（包括但不限于所有权、使用权、申请权、许可权等）均归买方、买方母公司或母公司其他关联方所有。</w:t>
      </w:r>
    </w:p>
    <w:p>
      <w:pPr>
        <w:pStyle w:val="2"/>
        <w:spacing w:before="240" w:beforeLines="100"/>
        <w:ind w:left="0" w:firstLine="529" w:firstLineChars="189"/>
        <w:jc w:val="both"/>
        <w:rPr>
          <w:rFonts w:ascii="黑体" w:hAnsi="黑体" w:eastAsia="黑体" w:cstheme="minorEastAsia"/>
          <w:b w:val="0"/>
          <w:sz w:val="28"/>
          <w:szCs w:val="28"/>
        </w:rPr>
      </w:pPr>
      <w:bookmarkStart w:id="161" w:name="_Toc14809"/>
      <w:bookmarkStart w:id="162" w:name="_Toc16330023"/>
      <w:bookmarkStart w:id="163" w:name="_Toc11759"/>
      <w:bookmarkStart w:id="164" w:name="_Toc27500"/>
      <w:bookmarkStart w:id="165" w:name="_Toc12889"/>
      <w:r>
        <w:rPr>
          <w:rFonts w:hint="eastAsia" w:ascii="黑体" w:hAnsi="黑体" w:eastAsia="黑体" w:cstheme="minorEastAsia"/>
          <w:b w:val="0"/>
          <w:sz w:val="28"/>
          <w:szCs w:val="28"/>
        </w:rPr>
        <w:t>6 交货</w:t>
      </w:r>
      <w:bookmarkEnd w:id="161"/>
      <w:bookmarkEnd w:id="162"/>
      <w:bookmarkEnd w:id="163"/>
      <w:bookmarkEnd w:id="164"/>
      <w:bookmarkEnd w:id="165"/>
    </w:p>
    <w:p>
      <w:pPr>
        <w:spacing w:line="360" w:lineRule="auto"/>
        <w:ind w:firstLine="453" w:firstLineChars="189"/>
        <w:rPr>
          <w:rFonts w:hint="eastAsia" w:ascii="宋体" w:hAnsi="宋体" w:eastAsia="宋体" w:cs="宋体"/>
          <w:sz w:val="24"/>
          <w:szCs w:val="24"/>
        </w:rPr>
      </w:pPr>
      <w:r>
        <w:rPr>
          <w:rFonts w:hint="eastAsia" w:ascii="宋体" w:hAnsi="宋体" w:eastAsia="宋体" w:cs="宋体"/>
          <w:sz w:val="24"/>
          <w:szCs w:val="24"/>
        </w:rPr>
        <w:t>6.1卖方应在本合同规定的到货时间前传真、邮件等给买方详细交货清单，包括合同号、设备名称、规格、数量、总毛重、总体积（立方米）和每一包装箱的尺寸（长×宽×高）、单价和总价、备妥待运日期，以及设备在运输和仓储中的特殊要求和注意事项。</w:t>
      </w:r>
    </w:p>
    <w:p>
      <w:pPr>
        <w:spacing w:line="360" w:lineRule="auto"/>
        <w:ind w:firstLine="453" w:firstLineChars="189"/>
        <w:rPr>
          <w:rFonts w:hint="eastAsia" w:ascii="宋体" w:hAnsi="宋体" w:eastAsia="宋体" w:cs="宋体"/>
          <w:sz w:val="24"/>
          <w:szCs w:val="24"/>
        </w:rPr>
      </w:pPr>
      <w:r>
        <w:rPr>
          <w:rFonts w:hint="eastAsia" w:ascii="宋体" w:hAnsi="宋体" w:eastAsia="宋体" w:cs="宋体"/>
          <w:sz w:val="24"/>
          <w:szCs w:val="24"/>
        </w:rPr>
        <w:t>6.2卖方应在设备装运完成后当天以传真、邮件等的形式通知买方合同号、设备名称、数量、毛重、体积（立方米）、发票金额、启运日期、预计到达日期。</w:t>
      </w:r>
    </w:p>
    <w:p>
      <w:pPr>
        <w:spacing w:line="360" w:lineRule="auto"/>
        <w:ind w:firstLine="453" w:firstLineChars="189"/>
        <w:rPr>
          <w:rFonts w:hint="eastAsia" w:ascii="宋体" w:hAnsi="宋体" w:eastAsia="宋体" w:cs="宋体"/>
          <w:sz w:val="24"/>
          <w:szCs w:val="24"/>
        </w:rPr>
      </w:pPr>
      <w:r>
        <w:rPr>
          <w:rFonts w:hint="eastAsia" w:ascii="宋体" w:hAnsi="宋体" w:eastAsia="宋体" w:cs="宋体"/>
          <w:sz w:val="24"/>
          <w:szCs w:val="24"/>
        </w:rPr>
        <w:t>6.3技术资料：签订本合同后，卖方应按买方要求免费提供给买方包括但不限于：设备总装图、安装尺寸图、设备基础图、操作手册、使用说明、维修指南、服务手册等买方所需要的、与执行本合同有关的各类资料，如上述资料未按买方要求交付的，买方有权拒绝对合同设备验收（包括预验收和最终验收），并且卖方应赔偿因此给买方造成的一切损失。</w:t>
      </w:r>
    </w:p>
    <w:p>
      <w:pPr>
        <w:spacing w:line="360" w:lineRule="auto"/>
        <w:ind w:firstLine="453" w:firstLineChars="189"/>
        <w:rPr>
          <w:rFonts w:hint="eastAsia" w:ascii="宋体" w:hAnsi="宋体" w:eastAsia="宋体" w:cs="宋体"/>
          <w:i/>
          <w:iCs/>
          <w:sz w:val="24"/>
          <w:szCs w:val="24"/>
          <w:u w:val="double"/>
          <w:lang w:val="en-US" w:eastAsia="zh-CN"/>
        </w:rPr>
      </w:pPr>
      <w:r>
        <w:rPr>
          <w:rFonts w:hint="eastAsia" w:ascii="宋体" w:hAnsi="宋体" w:eastAsia="宋体" w:cs="宋体"/>
          <w:sz w:val="24"/>
          <w:szCs w:val="24"/>
        </w:rPr>
        <w:t>6.4交货方式</w:t>
      </w:r>
      <w:r>
        <w:rPr>
          <w:rFonts w:hint="eastAsia" w:ascii="宋体" w:hAnsi="宋体" w:eastAsia="宋体" w:cs="宋体"/>
          <w:bCs/>
          <w:sz w:val="24"/>
          <w:szCs w:val="24"/>
        </w:rPr>
        <w:t>：</w:t>
      </w:r>
      <w:r>
        <w:rPr>
          <w:rFonts w:hint="eastAsia" w:ascii="宋体" w:hAnsi="宋体" w:eastAsia="宋体" w:cs="宋体"/>
          <w:bCs/>
          <w:sz w:val="24"/>
          <w:szCs w:val="24"/>
          <w:u w:val="single"/>
        </w:rPr>
        <w:t xml:space="preserve">        </w:t>
      </w:r>
      <w:r>
        <w:rPr>
          <w:rFonts w:hint="eastAsia" w:ascii="宋体" w:hAnsi="宋体" w:eastAsia="宋体" w:cs="宋体"/>
          <w:iCs/>
          <w:sz w:val="24"/>
          <w:szCs w:val="24"/>
          <w:u w:val="single"/>
        </w:rPr>
        <w:t>（可选择6.4.1-6.4.3定义的方式或根据实际约定）</w:t>
      </w:r>
    </w:p>
    <w:p>
      <w:pPr>
        <w:spacing w:line="360" w:lineRule="auto"/>
        <w:ind w:firstLine="453" w:firstLineChars="189"/>
        <w:rPr>
          <w:rFonts w:hint="eastAsia" w:ascii="宋体" w:hAnsi="宋体" w:eastAsia="宋体" w:cs="宋体"/>
          <w:sz w:val="24"/>
          <w:szCs w:val="24"/>
        </w:rPr>
      </w:pPr>
      <w:r>
        <w:rPr>
          <w:rFonts w:hint="eastAsia" w:ascii="宋体" w:hAnsi="宋体" w:eastAsia="宋体" w:cs="宋体"/>
          <w:sz w:val="24"/>
          <w:szCs w:val="24"/>
        </w:rPr>
        <w:t>6.4.1交钥匙方式：卖方负责合同设备的设计、制造、运输、定点卸货、安装、调试、培训及售后服务等所有内容，直至买方验收合格并交付使用。</w:t>
      </w:r>
    </w:p>
    <w:p>
      <w:pPr>
        <w:spacing w:line="360" w:lineRule="auto"/>
        <w:ind w:firstLine="453" w:firstLineChars="189"/>
        <w:rPr>
          <w:rFonts w:hint="eastAsia" w:ascii="宋体" w:hAnsi="宋体" w:eastAsia="宋体" w:cs="宋体"/>
          <w:sz w:val="24"/>
          <w:szCs w:val="24"/>
        </w:rPr>
      </w:pPr>
      <w:r>
        <w:rPr>
          <w:rFonts w:hint="eastAsia" w:ascii="宋体" w:hAnsi="宋体" w:eastAsia="宋体" w:cs="宋体"/>
          <w:sz w:val="24"/>
          <w:szCs w:val="24"/>
        </w:rPr>
        <w:t>6.4.2指定地点交货：卖方依照合同约定将合同设备卸载至约定地点，经买方根据合同所约定的数量、型号及配置等内容逐一确认无误后，双方完成交付手续，同时卖方应指导协助买方进行安装调试等工作。</w:t>
      </w:r>
    </w:p>
    <w:p>
      <w:pPr>
        <w:spacing w:line="360" w:lineRule="auto"/>
        <w:ind w:firstLine="453" w:firstLineChars="189"/>
        <w:rPr>
          <w:rFonts w:hint="eastAsia" w:ascii="宋体" w:hAnsi="宋体" w:eastAsia="宋体" w:cs="宋体"/>
          <w:sz w:val="24"/>
          <w:szCs w:val="24"/>
        </w:rPr>
      </w:pPr>
      <w:r>
        <w:rPr>
          <w:rFonts w:hint="eastAsia" w:ascii="宋体" w:hAnsi="宋体" w:eastAsia="宋体" w:cs="宋体"/>
          <w:sz w:val="24"/>
          <w:szCs w:val="24"/>
        </w:rPr>
        <w:t>6.4.3自提：买方依照合同约定到卖方所在地提取合同设备，经买方根据合同所约定的数量、型号及配置等内容逐一确认无误后，双方完成交付手续。</w:t>
      </w:r>
    </w:p>
    <w:p>
      <w:pPr>
        <w:spacing w:line="360" w:lineRule="auto"/>
        <w:ind w:firstLine="453" w:firstLineChars="189"/>
        <w:rPr>
          <w:rFonts w:hint="eastAsia" w:ascii="宋体" w:hAnsi="宋体" w:eastAsia="宋体" w:cs="宋体"/>
          <w:sz w:val="24"/>
          <w:szCs w:val="24"/>
        </w:rPr>
      </w:pPr>
      <w:r>
        <w:rPr>
          <w:rFonts w:hint="eastAsia" w:ascii="宋体" w:hAnsi="宋体" w:eastAsia="宋体" w:cs="宋体"/>
          <w:sz w:val="24"/>
          <w:szCs w:val="24"/>
        </w:rPr>
        <w:t>6.5交货地点：</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pacing w:line="360" w:lineRule="auto"/>
        <w:ind w:firstLine="453" w:firstLineChars="189"/>
        <w:rPr>
          <w:rFonts w:hint="eastAsia" w:ascii="宋体" w:hAnsi="宋体" w:eastAsia="宋体" w:cs="宋体"/>
          <w:sz w:val="24"/>
          <w:szCs w:val="24"/>
        </w:rPr>
      </w:pPr>
      <w:r>
        <w:rPr>
          <w:rFonts w:hint="eastAsia" w:ascii="宋体" w:hAnsi="宋体" w:eastAsia="宋体" w:cs="宋体"/>
          <w:sz w:val="24"/>
          <w:szCs w:val="24"/>
        </w:rPr>
        <w:t>6.6到货时间：</w:t>
      </w:r>
      <w:r>
        <w:rPr>
          <w:rFonts w:hint="eastAsia" w:ascii="宋体" w:hAnsi="宋体" w:eastAsia="宋体" w:cs="宋体"/>
          <w:sz w:val="24"/>
          <w:szCs w:val="24"/>
          <w:u w:val="single"/>
        </w:rPr>
        <w:t>20</w:t>
      </w:r>
      <w:r>
        <w:rPr>
          <w:rFonts w:hint="eastAsia" w:ascii="宋体" w:hAnsi="宋体" w:eastAsia="宋体" w:cs="宋体"/>
          <w:sz w:val="24"/>
          <w:szCs w:val="24"/>
          <w:u w:val="single"/>
          <w:lang w:val="en-US"/>
        </w:rPr>
        <w:t xml:space="preserve">  </w:t>
      </w:r>
      <w:r>
        <w:rPr>
          <w:rFonts w:hint="eastAsia" w:ascii="宋体" w:hAnsi="宋体" w:eastAsia="宋体" w:cs="宋体"/>
          <w:sz w:val="24"/>
          <w:szCs w:val="24"/>
          <w:u w:val="single"/>
        </w:rPr>
        <w:t>年</w:t>
      </w:r>
      <w:r>
        <w:rPr>
          <w:rFonts w:hint="eastAsia" w:ascii="宋体" w:hAnsi="宋体" w:eastAsia="宋体" w:cs="宋体"/>
          <w:sz w:val="24"/>
          <w:szCs w:val="24"/>
          <w:u w:val="single"/>
          <w:lang w:val="en-US"/>
        </w:rPr>
        <w:t xml:space="preserve">  </w:t>
      </w:r>
      <w:r>
        <w:rPr>
          <w:rFonts w:hint="eastAsia" w:ascii="宋体" w:hAnsi="宋体" w:eastAsia="宋体" w:cs="宋体"/>
          <w:sz w:val="24"/>
          <w:szCs w:val="24"/>
          <w:u w:val="single"/>
        </w:rPr>
        <w:t>月</w:t>
      </w:r>
      <w:r>
        <w:rPr>
          <w:rFonts w:hint="eastAsia" w:ascii="宋体" w:hAnsi="宋体" w:eastAsia="宋体" w:cs="宋体"/>
          <w:sz w:val="24"/>
          <w:szCs w:val="24"/>
          <w:u w:val="single"/>
          <w:lang w:val="en-US"/>
        </w:rPr>
        <w:t xml:space="preserve">   </w:t>
      </w:r>
      <w:r>
        <w:rPr>
          <w:rFonts w:hint="eastAsia" w:ascii="宋体" w:hAnsi="宋体" w:eastAsia="宋体" w:cs="宋体"/>
          <w:sz w:val="24"/>
          <w:szCs w:val="24"/>
          <w:u w:val="single"/>
        </w:rPr>
        <w:t>日前</w:t>
      </w:r>
      <w:r>
        <w:rPr>
          <w:rFonts w:hint="eastAsia" w:ascii="宋体" w:hAnsi="宋体" w:eastAsia="宋体" w:cs="宋体"/>
          <w:sz w:val="24"/>
          <w:szCs w:val="24"/>
        </w:rPr>
        <w:t xml:space="preserve">         </w:t>
      </w:r>
    </w:p>
    <w:p>
      <w:pPr>
        <w:spacing w:line="360" w:lineRule="auto"/>
        <w:ind w:firstLine="453" w:firstLineChars="189"/>
        <w:rPr>
          <w:rFonts w:hint="eastAsia" w:ascii="宋体" w:hAnsi="宋体" w:eastAsia="宋体" w:cs="宋体"/>
          <w:sz w:val="24"/>
          <w:szCs w:val="24"/>
        </w:rPr>
      </w:pPr>
      <w:r>
        <w:rPr>
          <w:rFonts w:hint="eastAsia" w:ascii="宋体" w:hAnsi="宋体" w:eastAsia="宋体" w:cs="宋体"/>
          <w:sz w:val="24"/>
          <w:szCs w:val="24"/>
        </w:rPr>
        <w:t>6.7到货后，买卖双方代表办理移交手续，此时的移交不代表卖方合同设备所有权的转移，合同设备的保管责任仍然由卖方承担。移交内容包括：合同设备、硬件、软件、图纸、资料、质量证明文件等。</w:t>
      </w:r>
    </w:p>
    <w:p>
      <w:pPr>
        <w:spacing w:line="360" w:lineRule="auto"/>
        <w:ind w:firstLine="453" w:firstLineChars="189"/>
        <w:rPr>
          <w:rFonts w:hint="eastAsia" w:ascii="宋体" w:hAnsi="宋体" w:eastAsia="宋体" w:cs="宋体"/>
          <w:sz w:val="24"/>
          <w:szCs w:val="24"/>
        </w:rPr>
      </w:pPr>
      <w:r>
        <w:rPr>
          <w:rFonts w:hint="eastAsia" w:ascii="宋体" w:hAnsi="宋体" w:eastAsia="宋体" w:cs="宋体"/>
          <w:sz w:val="24"/>
          <w:szCs w:val="24"/>
        </w:rPr>
        <w:t>6.8如果卖方在规定的日期前交付设备，需经买方书面同意。</w:t>
      </w:r>
    </w:p>
    <w:p>
      <w:pPr>
        <w:spacing w:line="360" w:lineRule="auto"/>
        <w:ind w:firstLine="453" w:firstLineChars="189"/>
        <w:rPr>
          <w:rFonts w:hint="eastAsia" w:ascii="宋体" w:hAnsi="宋体" w:eastAsia="宋体" w:cs="宋体"/>
          <w:sz w:val="24"/>
          <w:szCs w:val="24"/>
        </w:rPr>
      </w:pPr>
      <w:r>
        <w:rPr>
          <w:rFonts w:hint="eastAsia" w:ascii="宋体" w:hAnsi="宋体" w:eastAsia="宋体" w:cs="宋体"/>
          <w:sz w:val="24"/>
          <w:szCs w:val="24"/>
        </w:rPr>
        <w:t>6.9风险的转移：</w:t>
      </w:r>
    </w:p>
    <w:p>
      <w:pPr>
        <w:spacing w:line="360" w:lineRule="auto"/>
        <w:ind w:firstLine="453" w:firstLineChars="189"/>
        <w:rPr>
          <w:rFonts w:hint="eastAsia" w:ascii="宋体" w:hAnsi="宋体" w:eastAsia="宋体" w:cs="宋体"/>
          <w:sz w:val="20"/>
          <w:szCs w:val="20"/>
        </w:rPr>
      </w:pPr>
      <w:r>
        <w:rPr>
          <w:rFonts w:hint="eastAsia" w:ascii="宋体" w:hAnsi="宋体" w:eastAsia="宋体" w:cs="宋体"/>
          <w:sz w:val="24"/>
          <w:szCs w:val="24"/>
        </w:rPr>
        <w:t>设备最终验收合格后，设备所有权由卖方转移至买方。如果在对该设备进行最终验收之前，卖方被解散、破产、收购等，其接收方应无条件承担该合同的所有责任和义务，且卖方应自出现上述事项之日起一个月内书面通知买方，如买方没有在一个月内收到明确责任义务的书面通知，则该设备所有权自动由卖方转移至买方，余款作为该设备的后续质量维护费用，买方无须再支付给卖方。在设备所有权转移之前，设备毁损、灭失等风险由卖方承担。</w:t>
      </w:r>
    </w:p>
    <w:p>
      <w:pPr>
        <w:pStyle w:val="2"/>
        <w:spacing w:before="240" w:beforeLines="100"/>
        <w:ind w:left="0" w:firstLine="529" w:firstLineChars="189"/>
        <w:jc w:val="both"/>
        <w:rPr>
          <w:rFonts w:ascii="黑体" w:hAnsi="黑体" w:eastAsia="黑体" w:cstheme="minorEastAsia"/>
          <w:b w:val="0"/>
          <w:sz w:val="28"/>
          <w:szCs w:val="28"/>
        </w:rPr>
      </w:pPr>
      <w:bookmarkStart w:id="166" w:name="_Toc8024"/>
      <w:bookmarkStart w:id="167" w:name="_Toc23165"/>
      <w:bookmarkStart w:id="168" w:name="_Toc16330024"/>
      <w:bookmarkStart w:id="169" w:name="_Toc2984"/>
      <w:bookmarkStart w:id="170" w:name="_Toc25510"/>
      <w:r>
        <w:rPr>
          <w:rFonts w:hint="eastAsia" w:ascii="黑体" w:hAnsi="黑体" w:eastAsia="黑体" w:cstheme="minorEastAsia"/>
          <w:b w:val="0"/>
          <w:sz w:val="28"/>
          <w:szCs w:val="28"/>
        </w:rPr>
        <w:t>7 安装、调试</w:t>
      </w:r>
      <w:bookmarkEnd w:id="166"/>
      <w:bookmarkEnd w:id="167"/>
      <w:bookmarkEnd w:id="168"/>
      <w:bookmarkEnd w:id="169"/>
      <w:bookmarkEnd w:id="170"/>
    </w:p>
    <w:p>
      <w:pPr>
        <w:pStyle w:val="26"/>
        <w:keepNext w:val="0"/>
        <w:keepLines w:val="0"/>
        <w:pageBreakBefore w:val="0"/>
        <w:widowControl w:val="0"/>
        <w:kinsoku/>
        <w:wordWrap/>
        <w:overflowPunct/>
        <w:topLinePunct w:val="0"/>
        <w:autoSpaceDE/>
        <w:autoSpaceDN/>
        <w:bidi w:val="0"/>
        <w:adjustRightInd/>
        <w:snapToGrid/>
        <w:spacing w:after="0" w:line="360" w:lineRule="auto"/>
        <w:ind w:firstLine="453" w:firstLineChars="189"/>
        <w:textAlignment w:val="auto"/>
        <w:rPr>
          <w:rFonts w:hint="eastAsia" w:ascii="宋体" w:hAnsi="宋体" w:eastAsia="宋体" w:cs="宋体"/>
          <w:sz w:val="24"/>
          <w:szCs w:val="24"/>
        </w:rPr>
      </w:pPr>
      <w:r>
        <w:rPr>
          <w:rFonts w:hint="eastAsia" w:ascii="宋体" w:hAnsi="宋体" w:eastAsia="宋体" w:cs="宋体"/>
          <w:sz w:val="24"/>
          <w:szCs w:val="24"/>
        </w:rPr>
        <w:t>7.1 卖方须在到货后</w:t>
      </w:r>
      <w:r>
        <w:rPr>
          <w:rFonts w:hint="eastAsia" w:ascii="宋体" w:hAnsi="宋体" w:eastAsia="宋体" w:cs="宋体"/>
          <w:sz w:val="24"/>
          <w:szCs w:val="24"/>
          <w:u w:val="single"/>
        </w:rPr>
        <w:t xml:space="preserve">    </w:t>
      </w:r>
      <w:r>
        <w:rPr>
          <w:rFonts w:hint="eastAsia" w:ascii="宋体" w:hAnsi="宋体" w:eastAsia="宋体" w:cs="宋体"/>
          <w:sz w:val="24"/>
          <w:szCs w:val="24"/>
        </w:rPr>
        <w:t>日内安装调试完成。</w:t>
      </w:r>
    </w:p>
    <w:p>
      <w:pPr>
        <w:keepNext w:val="0"/>
        <w:keepLines w:val="0"/>
        <w:pageBreakBefore w:val="0"/>
        <w:widowControl w:val="0"/>
        <w:kinsoku/>
        <w:wordWrap/>
        <w:overflowPunct/>
        <w:topLinePunct w:val="0"/>
        <w:autoSpaceDE/>
        <w:autoSpaceDN/>
        <w:bidi w:val="0"/>
        <w:adjustRightInd/>
        <w:snapToGrid/>
        <w:spacing w:line="360" w:lineRule="auto"/>
        <w:ind w:firstLine="453" w:firstLineChars="189"/>
        <w:textAlignment w:val="auto"/>
        <w:rPr>
          <w:rFonts w:hint="eastAsia" w:ascii="宋体" w:hAnsi="宋体" w:eastAsia="宋体" w:cs="宋体"/>
          <w:sz w:val="24"/>
          <w:szCs w:val="24"/>
        </w:rPr>
      </w:pPr>
      <w:r>
        <w:rPr>
          <w:rFonts w:hint="eastAsia" w:ascii="宋体" w:hAnsi="宋体" w:eastAsia="宋体" w:cs="宋体"/>
          <w:sz w:val="24"/>
          <w:szCs w:val="24"/>
        </w:rPr>
        <w:t>7.2卖方应自带用以安装、调试过程中所需的各种工具、仪器、仪表及易损件。在安装、调试过程中，卖方应自负其工作人员的食宿、交通等费用。</w:t>
      </w:r>
    </w:p>
    <w:p>
      <w:pPr>
        <w:keepNext w:val="0"/>
        <w:keepLines w:val="0"/>
        <w:pageBreakBefore w:val="0"/>
        <w:widowControl w:val="0"/>
        <w:kinsoku/>
        <w:wordWrap/>
        <w:overflowPunct/>
        <w:topLinePunct w:val="0"/>
        <w:autoSpaceDE/>
        <w:autoSpaceDN/>
        <w:bidi w:val="0"/>
        <w:adjustRightInd/>
        <w:snapToGrid/>
        <w:spacing w:line="360" w:lineRule="auto"/>
        <w:ind w:firstLine="453" w:firstLineChars="189"/>
        <w:textAlignment w:val="auto"/>
        <w:rPr>
          <w:rFonts w:hint="eastAsia" w:ascii="宋体" w:hAnsi="宋体" w:eastAsia="宋体" w:cs="宋体"/>
          <w:sz w:val="24"/>
          <w:szCs w:val="24"/>
        </w:rPr>
      </w:pPr>
      <w:r>
        <w:rPr>
          <w:rFonts w:hint="eastAsia" w:ascii="宋体" w:hAnsi="宋体" w:eastAsia="宋体" w:cs="宋体"/>
          <w:sz w:val="24"/>
          <w:szCs w:val="24"/>
        </w:rPr>
        <w:t>7.3在安装、调试过程中，安装场地及施工人员安全，由卖方负责。由于安装、调试等原因造成买方或他人人身损害或财产损失的，由卖方承担赔偿责任。</w:t>
      </w:r>
    </w:p>
    <w:p>
      <w:pPr>
        <w:keepNext w:val="0"/>
        <w:keepLines w:val="0"/>
        <w:pageBreakBefore w:val="0"/>
        <w:widowControl w:val="0"/>
        <w:kinsoku/>
        <w:wordWrap/>
        <w:overflowPunct/>
        <w:topLinePunct w:val="0"/>
        <w:autoSpaceDE/>
        <w:autoSpaceDN/>
        <w:bidi w:val="0"/>
        <w:adjustRightInd/>
        <w:snapToGrid/>
        <w:spacing w:line="360" w:lineRule="auto"/>
        <w:ind w:firstLine="453" w:firstLineChars="189"/>
        <w:textAlignment w:val="auto"/>
        <w:rPr>
          <w:rFonts w:hint="eastAsia" w:ascii="宋体" w:hAnsi="宋体" w:eastAsia="宋体" w:cs="宋体"/>
          <w:sz w:val="24"/>
          <w:szCs w:val="24"/>
        </w:rPr>
      </w:pPr>
      <w:r>
        <w:rPr>
          <w:rFonts w:hint="eastAsia" w:ascii="宋体" w:hAnsi="宋体" w:eastAsia="宋体" w:cs="宋体"/>
          <w:sz w:val="24"/>
          <w:szCs w:val="24"/>
        </w:rPr>
        <w:t>7.4</w:t>
      </w:r>
      <w:r>
        <w:rPr>
          <w:rFonts w:hint="eastAsia" w:ascii="宋体" w:hAnsi="宋体" w:eastAsia="宋体" w:cs="宋体"/>
          <w:bCs/>
          <w:sz w:val="24"/>
          <w:szCs w:val="24"/>
        </w:rPr>
        <w:t xml:space="preserve"> </w:t>
      </w:r>
      <w:r>
        <w:rPr>
          <w:rFonts w:hint="eastAsia" w:ascii="宋体" w:hAnsi="宋体" w:eastAsia="宋体" w:cs="宋体"/>
          <w:sz w:val="24"/>
          <w:szCs w:val="24"/>
        </w:rPr>
        <w:t>卖方须对安装、调试过程中造成的买方或他人人身损害或财产损失承担赔偿责任。</w:t>
      </w:r>
    </w:p>
    <w:p>
      <w:pPr>
        <w:pStyle w:val="2"/>
        <w:spacing w:before="240" w:beforeLines="100"/>
        <w:ind w:left="0" w:firstLine="529" w:firstLineChars="189"/>
        <w:jc w:val="both"/>
        <w:rPr>
          <w:rFonts w:ascii="黑体" w:hAnsi="黑体" w:eastAsia="黑体" w:cstheme="minorEastAsia"/>
          <w:b w:val="0"/>
          <w:sz w:val="28"/>
          <w:szCs w:val="28"/>
        </w:rPr>
      </w:pPr>
      <w:bookmarkStart w:id="171" w:name="_Toc6350"/>
      <w:bookmarkStart w:id="172" w:name="_Toc14098"/>
      <w:bookmarkStart w:id="173" w:name="_Toc16330025"/>
      <w:bookmarkStart w:id="174" w:name="_Toc14260"/>
      <w:bookmarkStart w:id="175" w:name="_Toc25193"/>
      <w:r>
        <w:rPr>
          <w:rFonts w:hint="eastAsia" w:ascii="黑体" w:hAnsi="黑体" w:eastAsia="黑体" w:cstheme="minorEastAsia"/>
          <w:b w:val="0"/>
          <w:sz w:val="28"/>
          <w:szCs w:val="28"/>
        </w:rPr>
        <w:t>8 价款与支付</w:t>
      </w:r>
      <w:bookmarkEnd w:id="171"/>
      <w:bookmarkEnd w:id="172"/>
      <w:bookmarkEnd w:id="173"/>
      <w:bookmarkEnd w:id="174"/>
      <w:bookmarkEnd w:id="175"/>
    </w:p>
    <w:p>
      <w:pPr>
        <w:spacing w:line="360" w:lineRule="auto"/>
        <w:ind w:firstLine="453" w:firstLineChars="189"/>
        <w:rPr>
          <w:rFonts w:hint="eastAsia" w:ascii="宋体" w:hAnsi="宋体" w:eastAsia="宋体" w:cs="宋体"/>
          <w:sz w:val="24"/>
          <w:szCs w:val="24"/>
        </w:rPr>
      </w:pPr>
      <w:r>
        <w:rPr>
          <w:rFonts w:hint="eastAsia" w:ascii="宋体" w:hAnsi="宋体" w:eastAsia="宋体" w:cs="宋体"/>
          <w:sz w:val="24"/>
          <w:szCs w:val="24"/>
        </w:rPr>
        <w:t>8.1本合同不含税总价为人民币¥</w:t>
      </w:r>
      <w:r>
        <w:rPr>
          <w:rFonts w:hint="eastAsia" w:ascii="宋体" w:hAnsi="宋体" w:eastAsia="宋体" w:cs="宋体"/>
          <w:sz w:val="24"/>
          <w:szCs w:val="24"/>
          <w:u w:val="single"/>
        </w:rPr>
        <w:t xml:space="preserve">          </w:t>
      </w:r>
      <w:r>
        <w:rPr>
          <w:rFonts w:hint="eastAsia" w:ascii="宋体" w:hAnsi="宋体" w:eastAsia="宋体" w:cs="宋体"/>
          <w:sz w:val="24"/>
          <w:szCs w:val="24"/>
        </w:rPr>
        <w:t>元（大写：</w:t>
      </w:r>
      <w:r>
        <w:rPr>
          <w:rFonts w:hint="eastAsia" w:ascii="宋体" w:hAnsi="宋体" w:eastAsia="宋体" w:cs="宋体"/>
          <w:sz w:val="24"/>
          <w:szCs w:val="24"/>
          <w:u w:val="single"/>
        </w:rPr>
        <w:t xml:space="preserve">        </w:t>
      </w:r>
      <w:r>
        <w:rPr>
          <w:rFonts w:hint="eastAsia" w:ascii="宋体" w:hAnsi="宋体" w:eastAsia="宋体" w:cs="宋体"/>
          <w:sz w:val="24"/>
          <w:szCs w:val="24"/>
        </w:rPr>
        <w:t>），增值税税率</w:t>
      </w:r>
      <w:r>
        <w:rPr>
          <w:rFonts w:hint="eastAsia" w:ascii="宋体" w:hAnsi="宋体" w:eastAsia="宋体" w:cs="宋体"/>
          <w:sz w:val="24"/>
          <w:szCs w:val="24"/>
          <w:u w:val="single"/>
        </w:rPr>
        <w:t xml:space="preserve">    【】</w:t>
      </w:r>
      <w:r>
        <w:rPr>
          <w:rFonts w:hint="eastAsia" w:ascii="宋体" w:hAnsi="宋体" w:eastAsia="宋体" w:cs="宋体"/>
          <w:sz w:val="24"/>
          <w:szCs w:val="24"/>
        </w:rPr>
        <w:t>%，税额</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元，含税总价</w:t>
      </w:r>
      <w:r>
        <w:rPr>
          <w:rFonts w:hint="eastAsia" w:ascii="宋体" w:hAnsi="宋体" w:eastAsia="宋体" w:cs="宋体"/>
          <w:sz w:val="24"/>
          <w:szCs w:val="24"/>
          <w:u w:val="single"/>
        </w:rPr>
        <w:t xml:space="preserve">       </w:t>
      </w:r>
      <w:r>
        <w:rPr>
          <w:rFonts w:hint="eastAsia" w:ascii="宋体" w:hAnsi="宋体" w:eastAsia="宋体" w:cs="宋体"/>
          <w:sz w:val="24"/>
          <w:szCs w:val="24"/>
        </w:rPr>
        <w:t>元人民币（大写：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），如国家出台新政策对增值税率进行了调整，则不含税价款不变，本合同含税总价在不含税价基础上根据国家最新税法进行相应的调整。</w:t>
      </w:r>
    </w:p>
    <w:p>
      <w:pPr>
        <w:spacing w:line="360" w:lineRule="auto"/>
        <w:ind w:firstLine="453" w:firstLineChars="189"/>
        <w:rPr>
          <w:rFonts w:hint="eastAsia" w:ascii="宋体" w:hAnsi="宋体" w:eastAsia="宋体" w:cs="宋体"/>
          <w:sz w:val="24"/>
          <w:szCs w:val="24"/>
        </w:rPr>
      </w:pPr>
      <w:r>
        <w:rPr>
          <w:rFonts w:hint="eastAsia" w:ascii="宋体" w:hAnsi="宋体" w:eastAsia="宋体" w:cs="宋体"/>
          <w:sz w:val="24"/>
          <w:szCs w:val="24"/>
        </w:rPr>
        <w:t>含税总价包括但不限于全部（全新）产品价、备品备件价、专用工具价、运杂费（包括现场卸车费）、设计、制造、安装（或指导安装）、调试、验收、培训、技术及售后服务费、技术资料费等所有费用的总和。</w:t>
      </w:r>
    </w:p>
    <w:p>
      <w:pPr>
        <w:spacing w:line="360" w:lineRule="auto"/>
        <w:ind w:firstLine="453" w:firstLineChars="189"/>
        <w:rPr>
          <w:rFonts w:hint="eastAsia" w:ascii="宋体" w:hAnsi="宋体" w:eastAsia="宋体" w:cs="宋体"/>
          <w:sz w:val="24"/>
          <w:szCs w:val="24"/>
        </w:rPr>
      </w:pPr>
      <w:r>
        <w:rPr>
          <w:rFonts w:hint="eastAsia" w:ascii="宋体" w:hAnsi="宋体" w:eastAsia="宋体" w:cs="宋体"/>
          <w:sz w:val="24"/>
          <w:szCs w:val="24"/>
        </w:rPr>
        <w:t>8.2合同价款的结算方式：</w:t>
      </w:r>
      <w:r>
        <w:rPr>
          <w:rFonts w:hint="eastAsia" w:ascii="宋体" w:hAnsi="宋体" w:eastAsia="宋体" w:cs="宋体"/>
          <w:sz w:val="24"/>
          <w:szCs w:val="24"/>
          <w:lang w:val="en-US" w:eastAsia="zh-CN"/>
        </w:rPr>
        <w:t>半年期商业汇票（包括银行承兑汇票和商业承兑汇票）</w:t>
      </w:r>
      <w:r>
        <w:rPr>
          <w:rFonts w:hint="eastAsia" w:ascii="宋体" w:hAnsi="宋体" w:eastAsia="宋体" w:cs="宋体"/>
          <w:sz w:val="24"/>
          <w:szCs w:val="24"/>
        </w:rPr>
        <w:t xml:space="preserve">           </w:t>
      </w:r>
    </w:p>
    <w:p>
      <w:pPr>
        <w:spacing w:line="360" w:lineRule="auto"/>
        <w:ind w:firstLine="453" w:firstLineChars="189"/>
        <w:rPr>
          <w:rFonts w:hint="eastAsia" w:ascii="宋体" w:hAnsi="宋体" w:eastAsia="宋体" w:cs="宋体"/>
          <w:sz w:val="24"/>
          <w:szCs w:val="24"/>
        </w:rPr>
      </w:pPr>
      <w:r>
        <w:rPr>
          <w:rFonts w:hint="eastAsia" w:ascii="宋体" w:hAnsi="宋体" w:eastAsia="宋体" w:cs="宋体"/>
          <w:sz w:val="24"/>
          <w:szCs w:val="24"/>
        </w:rPr>
        <w:t>8.3合同价款的支付：（如有不同付款比例，则按照招标文件约定据实填写）</w:t>
      </w:r>
    </w:p>
    <w:p>
      <w:pPr>
        <w:spacing w:line="360" w:lineRule="auto"/>
        <w:ind w:firstLine="453" w:firstLineChars="189"/>
        <w:rPr>
          <w:rFonts w:hint="eastAsia" w:ascii="宋体" w:hAnsi="宋体" w:eastAsia="宋体" w:cs="宋体"/>
          <w:sz w:val="24"/>
          <w:szCs w:val="24"/>
          <w:lang w:val="en-US" w:eastAsia="zh-CN"/>
        </w:rPr>
      </w:pPr>
      <w:r>
        <w:rPr>
          <w:rFonts w:hint="eastAsia" w:ascii="宋体" w:hAnsi="宋体" w:eastAsia="宋体" w:cs="宋体"/>
          <w:kern w:val="2"/>
          <w:sz w:val="24"/>
          <w:szCs w:val="21"/>
          <w:lang w:val="en-US" w:eastAsia="zh-CN" w:bidi="ar-SA"/>
        </w:rPr>
        <w:t>8.3</w:t>
      </w:r>
      <w:r>
        <w:rPr>
          <w:rFonts w:hint="eastAsia" w:ascii="宋体" w:hAnsi="宋体" w:eastAsia="宋体" w:cs="宋体"/>
          <w:sz w:val="24"/>
          <w:szCs w:val="24"/>
          <w:lang w:val="en-US" w:eastAsia="zh-CN"/>
        </w:rPr>
        <w:t>.1合同生效，方案会签完成之后，铸件投入制作之前，卖方提交金额为合同总价款30 %的增值税专用发票（税率13%,正本一份，复印件二份），经买方依照财务制度审核无误后支付。</w:t>
      </w:r>
    </w:p>
    <w:p>
      <w:pPr>
        <w:spacing w:line="360" w:lineRule="auto"/>
        <w:ind w:firstLine="453" w:firstLineChars="18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8.3.2模具预验收合格后，发货前卖方提交金额为合同总价款30 %的增值税专用发票（税率13%,正本一份，复印件二份），经买方依照财务制度审核无误后支付。</w:t>
      </w:r>
    </w:p>
    <w:p>
      <w:pPr>
        <w:spacing w:line="360" w:lineRule="auto"/>
        <w:ind w:firstLine="453" w:firstLineChars="18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8.3.3设备全部到齐无质量问题，经安装、调试最终验收合格后，卖方提交金额为合同总价款的 40%的增值税专用发票（税率13%,正本一份，复印件二份），并附带该套合同设备最终验收报告的原件及其复印件两份，经买方依照财务制度审核无误后支付合同总价款30%的验收款。</w:t>
      </w:r>
    </w:p>
    <w:p>
      <w:pPr>
        <w:spacing w:line="360" w:lineRule="auto"/>
        <w:ind w:firstLine="453" w:firstLineChars="189"/>
        <w:rPr>
          <w:rFonts w:hint="eastAsia" w:ascii="宋体" w:hAnsi="宋体" w:eastAsia="宋体" w:cs="宋体"/>
          <w:sz w:val="20"/>
          <w:szCs w:val="20"/>
        </w:rPr>
      </w:pPr>
      <w:r>
        <w:rPr>
          <w:rFonts w:hint="eastAsia" w:ascii="宋体" w:hAnsi="宋体" w:eastAsia="宋体" w:cs="宋体"/>
          <w:sz w:val="24"/>
          <w:szCs w:val="24"/>
          <w:lang w:val="en-US" w:eastAsia="zh-CN"/>
        </w:rPr>
        <w:t>8.3.4合同总价款的 10 %作为本合同约定设备的质量保证金，质量保证金在质量保证期内不计利息。待每套合同设备质量保证期满后，卖方向买方提交金额为合同总价款10%的收据（正本一份，复印件二份）及设备使用单位或设备管理单位的使用情况说明，经买方依照财务制度审核无误后支付。如有质量问题，质量保证金予以相应扣除。</w:t>
      </w:r>
    </w:p>
    <w:p>
      <w:pPr>
        <w:pStyle w:val="2"/>
        <w:spacing w:before="240" w:beforeLines="100"/>
        <w:ind w:left="0" w:firstLine="529" w:firstLineChars="189"/>
        <w:jc w:val="both"/>
        <w:rPr>
          <w:rFonts w:ascii="黑体" w:hAnsi="黑体" w:eastAsia="黑体" w:cstheme="minorEastAsia"/>
          <w:b w:val="0"/>
          <w:sz w:val="28"/>
          <w:szCs w:val="28"/>
        </w:rPr>
      </w:pPr>
      <w:bookmarkStart w:id="176" w:name="_Toc16330026"/>
      <w:bookmarkStart w:id="177" w:name="_Toc24085"/>
      <w:bookmarkStart w:id="178" w:name="_Toc22028"/>
      <w:bookmarkStart w:id="179" w:name="_Toc6726"/>
      <w:bookmarkStart w:id="180" w:name="_Toc25708"/>
      <w:r>
        <w:rPr>
          <w:rFonts w:hint="eastAsia" w:ascii="黑体" w:hAnsi="黑体" w:eastAsia="黑体" w:cstheme="minorEastAsia"/>
          <w:b w:val="0"/>
          <w:sz w:val="28"/>
          <w:szCs w:val="28"/>
        </w:rPr>
        <w:t>9 质量保证及售后服务</w:t>
      </w:r>
      <w:bookmarkEnd w:id="176"/>
      <w:bookmarkEnd w:id="177"/>
      <w:bookmarkEnd w:id="178"/>
      <w:bookmarkEnd w:id="179"/>
      <w:bookmarkEnd w:id="180"/>
    </w:p>
    <w:p>
      <w:pPr>
        <w:spacing w:line="360" w:lineRule="auto"/>
        <w:ind w:firstLine="453" w:firstLineChars="189"/>
        <w:rPr>
          <w:rFonts w:hint="eastAsia" w:ascii="宋体" w:hAnsi="宋体" w:eastAsia="宋体" w:cs="宋体"/>
          <w:sz w:val="24"/>
          <w:szCs w:val="24"/>
        </w:rPr>
      </w:pPr>
      <w:r>
        <w:rPr>
          <w:rFonts w:hint="eastAsia" w:ascii="宋体" w:hAnsi="宋体" w:eastAsia="宋体" w:cs="宋体"/>
          <w:sz w:val="24"/>
          <w:szCs w:val="24"/>
        </w:rPr>
        <w:t>9.1卖方保证其提供的合同设备是全新的、未使用的、未经改装的、包装完好的、原厂正品，采用最佳材料和一流工艺的，并在各个方面符合本合同规定的质量、规格和性能要求。卖方保证其合同设备经过正确安装、合理操作和维护保养，在合同设备寿命期内运转良好。</w:t>
      </w:r>
    </w:p>
    <w:p>
      <w:pPr>
        <w:spacing w:line="360" w:lineRule="auto"/>
        <w:ind w:firstLine="453" w:firstLineChars="189"/>
        <w:rPr>
          <w:rFonts w:hint="eastAsia" w:ascii="宋体" w:hAnsi="宋体" w:eastAsia="宋体" w:cs="宋体"/>
          <w:sz w:val="24"/>
          <w:szCs w:val="24"/>
        </w:rPr>
      </w:pPr>
      <w:r>
        <w:rPr>
          <w:rFonts w:hint="eastAsia" w:ascii="宋体" w:hAnsi="宋体" w:eastAsia="宋体" w:cs="宋体"/>
          <w:sz w:val="24"/>
          <w:szCs w:val="24"/>
        </w:rPr>
        <w:t>9.2卖方承诺其提供的设备不存在任何产品缺陷，否则因卖方提供的设备存在产品缺陷而给买方造成的一切后果和损失由卖方承担。</w:t>
      </w:r>
    </w:p>
    <w:p>
      <w:pPr>
        <w:spacing w:line="360" w:lineRule="auto"/>
        <w:ind w:firstLine="453" w:firstLineChars="189"/>
        <w:rPr>
          <w:rFonts w:hint="eastAsia" w:ascii="宋体" w:hAnsi="宋体" w:eastAsia="宋体" w:cs="宋体"/>
          <w:sz w:val="24"/>
          <w:szCs w:val="24"/>
        </w:rPr>
      </w:pPr>
      <w:r>
        <w:rPr>
          <w:rFonts w:hint="eastAsia" w:ascii="宋体" w:hAnsi="宋体" w:eastAsia="宋体" w:cs="宋体"/>
          <w:sz w:val="24"/>
          <w:szCs w:val="24"/>
        </w:rPr>
        <w:t>9.3卖方承诺因其提供的设备存在瑕疵或产品缺陷而导致第三方向买方主张权利或提起诉讼的，卖方应积极配合买方进行解决或应诉，因此而发生的一切费用（包括但不限于诉讼费、仲裁费、律师费、交通费、通讯费、住宿费、餐饮费、调查取证费等）由卖方承担。</w:t>
      </w:r>
    </w:p>
    <w:p>
      <w:pPr>
        <w:spacing w:line="360" w:lineRule="auto"/>
        <w:ind w:firstLine="453" w:firstLineChars="189"/>
        <w:rPr>
          <w:rFonts w:hint="eastAsia" w:ascii="宋体" w:hAnsi="宋体" w:eastAsia="宋体" w:cs="宋体"/>
          <w:sz w:val="24"/>
          <w:szCs w:val="24"/>
        </w:rPr>
      </w:pPr>
      <w:r>
        <w:rPr>
          <w:rFonts w:hint="eastAsia" w:ascii="宋体" w:hAnsi="宋体" w:eastAsia="宋体" w:cs="宋体"/>
          <w:sz w:val="24"/>
          <w:szCs w:val="24"/>
        </w:rPr>
        <w:t>9.4本合同约定设备的质量保证期：自最终验收报告签署之日（以签署日期最晚者为准）起</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p>
    <w:p>
      <w:pPr>
        <w:spacing w:line="360" w:lineRule="auto"/>
        <w:ind w:firstLine="453" w:firstLineChars="189"/>
        <w:rPr>
          <w:rFonts w:hint="eastAsia" w:ascii="宋体" w:hAnsi="宋体" w:eastAsia="宋体" w:cs="宋体"/>
          <w:sz w:val="24"/>
          <w:szCs w:val="24"/>
        </w:rPr>
      </w:pPr>
      <w:r>
        <w:rPr>
          <w:rFonts w:hint="eastAsia" w:ascii="宋体" w:hAnsi="宋体" w:eastAsia="宋体" w:cs="宋体"/>
          <w:sz w:val="24"/>
          <w:szCs w:val="24"/>
        </w:rPr>
        <w:t>9.5合同约定的设备在质量保证期届满前，如有质量问题，卖方应在收到买方或设备使用单位通知后2小时内做出回复，如需到现场解决问题，卖方应派工作人员在24小时内到达设备使用现场，并按买方要求的时间免费修复、更换相关部件，将设备修复完成。</w:t>
      </w:r>
    </w:p>
    <w:p>
      <w:pPr>
        <w:spacing w:line="360" w:lineRule="auto"/>
        <w:ind w:firstLine="453" w:firstLineChars="189"/>
        <w:rPr>
          <w:rFonts w:hint="eastAsia" w:ascii="宋体" w:hAnsi="宋体" w:eastAsia="宋体" w:cs="宋体"/>
          <w:sz w:val="24"/>
          <w:szCs w:val="24"/>
        </w:rPr>
      </w:pPr>
      <w:r>
        <w:rPr>
          <w:rFonts w:hint="eastAsia" w:ascii="宋体" w:hAnsi="宋体" w:eastAsia="宋体" w:cs="宋体"/>
          <w:sz w:val="24"/>
          <w:szCs w:val="24"/>
        </w:rPr>
        <w:t>9.6卖方负责在买方指定的地点免费为买方培训操作及维修人员，培训内容包括：基本原理、操作使用、安全操作注意事项以及维修保养等内容。</w:t>
      </w:r>
    </w:p>
    <w:p>
      <w:pPr>
        <w:spacing w:line="360" w:lineRule="auto"/>
        <w:ind w:firstLine="453" w:firstLineChars="189"/>
        <w:rPr>
          <w:rFonts w:hint="eastAsia" w:ascii="宋体" w:hAnsi="宋体" w:eastAsia="宋体" w:cs="宋体"/>
          <w:sz w:val="24"/>
          <w:szCs w:val="24"/>
        </w:rPr>
      </w:pPr>
      <w:r>
        <w:rPr>
          <w:rFonts w:hint="eastAsia" w:ascii="宋体" w:hAnsi="宋体" w:eastAsia="宋体" w:cs="宋体"/>
          <w:sz w:val="24"/>
          <w:szCs w:val="24"/>
        </w:rPr>
        <w:t>9.7质量保证期满后，卖方保证向买方提供及时的、质优的、价格优惠的技术服务和备品备件供应。</w:t>
      </w:r>
    </w:p>
    <w:p>
      <w:pPr>
        <w:spacing w:line="360" w:lineRule="auto"/>
        <w:ind w:firstLine="453" w:firstLineChars="189"/>
        <w:rPr>
          <w:rFonts w:hint="eastAsia" w:ascii="宋体" w:hAnsi="宋体" w:eastAsia="宋体" w:cs="宋体"/>
          <w:sz w:val="24"/>
          <w:szCs w:val="24"/>
        </w:rPr>
      </w:pPr>
      <w:r>
        <w:rPr>
          <w:rFonts w:hint="eastAsia" w:ascii="宋体" w:hAnsi="宋体" w:eastAsia="宋体" w:cs="宋体"/>
          <w:sz w:val="24"/>
          <w:szCs w:val="24"/>
        </w:rPr>
        <w:t>9.8质量保证期满后，如出现质量问题，卖方也应及时修复和更换，且只收取成本费，费用由买方承担，卖方对设备质量问题所负的责任直到设备使用寿命周期结束。</w:t>
      </w:r>
    </w:p>
    <w:p>
      <w:pPr>
        <w:pStyle w:val="2"/>
        <w:spacing w:before="240" w:beforeLines="100"/>
        <w:ind w:left="0" w:firstLine="529" w:firstLineChars="189"/>
        <w:jc w:val="both"/>
        <w:rPr>
          <w:rFonts w:ascii="黑体" w:hAnsi="黑体" w:eastAsia="黑体" w:cstheme="minorEastAsia"/>
          <w:b w:val="0"/>
          <w:sz w:val="28"/>
          <w:szCs w:val="28"/>
        </w:rPr>
      </w:pPr>
      <w:bookmarkStart w:id="181" w:name="_Toc16330027"/>
      <w:bookmarkStart w:id="182" w:name="_Toc12927"/>
      <w:bookmarkStart w:id="183" w:name="_Toc15570"/>
      <w:bookmarkStart w:id="184" w:name="_Toc10359"/>
      <w:bookmarkStart w:id="185" w:name="_Toc29598"/>
      <w:r>
        <w:rPr>
          <w:rFonts w:hint="eastAsia" w:ascii="黑体" w:hAnsi="黑体" w:eastAsia="黑体" w:cstheme="minorEastAsia"/>
          <w:b w:val="0"/>
          <w:sz w:val="28"/>
          <w:szCs w:val="28"/>
        </w:rPr>
        <w:t>10法定责任</w:t>
      </w:r>
      <w:bookmarkEnd w:id="181"/>
      <w:bookmarkEnd w:id="182"/>
      <w:bookmarkEnd w:id="183"/>
      <w:bookmarkEnd w:id="184"/>
      <w:bookmarkEnd w:id="185"/>
    </w:p>
    <w:p>
      <w:pPr>
        <w:spacing w:line="360" w:lineRule="auto"/>
        <w:ind w:firstLine="453" w:firstLineChars="189"/>
        <w:rPr>
          <w:rFonts w:hint="eastAsia" w:ascii="宋体" w:hAnsi="宋体" w:eastAsia="宋体" w:cs="宋体"/>
          <w:sz w:val="24"/>
          <w:szCs w:val="24"/>
        </w:rPr>
      </w:pPr>
      <w:r>
        <w:rPr>
          <w:rFonts w:hint="eastAsia" w:ascii="宋体" w:hAnsi="宋体" w:eastAsia="宋体" w:cs="宋体"/>
          <w:sz w:val="24"/>
          <w:szCs w:val="24"/>
        </w:rPr>
        <w:t>10.1卖方需遵从国家有关的法律、法规，缴纳有关的法定费用和税项。若卖方未按期交纳法定费用、税项，则卖方须补偿买方由此造成的所有费用及损失。</w:t>
      </w:r>
    </w:p>
    <w:p>
      <w:pPr>
        <w:spacing w:line="360" w:lineRule="auto"/>
        <w:ind w:firstLine="453" w:firstLineChars="189"/>
        <w:rPr>
          <w:rFonts w:hint="eastAsia" w:ascii="宋体" w:hAnsi="宋体" w:eastAsia="宋体" w:cs="宋体"/>
          <w:sz w:val="24"/>
          <w:szCs w:val="24"/>
        </w:rPr>
      </w:pPr>
      <w:r>
        <w:rPr>
          <w:rFonts w:hint="eastAsia" w:ascii="宋体" w:hAnsi="宋体" w:eastAsia="宋体" w:cs="宋体"/>
          <w:sz w:val="24"/>
          <w:szCs w:val="24"/>
        </w:rPr>
        <w:t>10.2除非本合同中另有规定或买方同意，卖方不得全部或部分转让本合同项下的权利义务。</w:t>
      </w:r>
    </w:p>
    <w:p>
      <w:pPr>
        <w:spacing w:line="360" w:lineRule="auto"/>
        <w:ind w:firstLine="453" w:firstLineChars="189"/>
        <w:rPr>
          <w:rFonts w:hint="eastAsia" w:ascii="宋体" w:hAnsi="宋体" w:eastAsia="宋体" w:cs="宋体"/>
          <w:sz w:val="24"/>
          <w:szCs w:val="24"/>
        </w:rPr>
      </w:pPr>
      <w:r>
        <w:rPr>
          <w:rFonts w:hint="eastAsia" w:ascii="宋体" w:hAnsi="宋体" w:eastAsia="宋体" w:cs="宋体"/>
          <w:sz w:val="24"/>
          <w:szCs w:val="24"/>
        </w:rPr>
        <w:t>10.3买卖双方同意在履行本合同期间双方之间交换、披露、传递或通信的所有工业和商业信息，任何附加文件或相关文件，应该被视为商业秘密，双方应该按照此处规定仅用于本合同的签订和履行。</w:t>
      </w:r>
    </w:p>
    <w:p>
      <w:pPr>
        <w:spacing w:line="360" w:lineRule="auto"/>
        <w:ind w:firstLine="453" w:firstLineChars="189"/>
        <w:rPr>
          <w:rFonts w:hint="eastAsia" w:ascii="宋体" w:hAnsi="宋体" w:eastAsia="宋体" w:cs="宋体"/>
          <w:sz w:val="24"/>
          <w:szCs w:val="24"/>
        </w:rPr>
      </w:pPr>
      <w:r>
        <w:rPr>
          <w:rFonts w:hint="eastAsia" w:ascii="宋体" w:hAnsi="宋体" w:eastAsia="宋体" w:cs="宋体"/>
          <w:sz w:val="24"/>
          <w:szCs w:val="24"/>
        </w:rPr>
        <w:t>10.4除对方预先书面同意外，任何一方在本合同签订和履行期间或本合同终止后不得向第三方披露在本合同履行过程中知悉的与对方有关的任何商业秘密。</w:t>
      </w:r>
    </w:p>
    <w:p>
      <w:pPr>
        <w:pStyle w:val="2"/>
        <w:spacing w:before="240" w:beforeLines="100"/>
        <w:ind w:left="0" w:firstLine="529" w:firstLineChars="189"/>
        <w:jc w:val="both"/>
        <w:rPr>
          <w:rFonts w:ascii="黑体" w:hAnsi="黑体" w:eastAsia="黑体" w:cstheme="minorEastAsia"/>
          <w:b w:val="0"/>
          <w:sz w:val="28"/>
          <w:szCs w:val="28"/>
        </w:rPr>
      </w:pPr>
      <w:bookmarkStart w:id="186" w:name="_Toc30381"/>
      <w:bookmarkStart w:id="187" w:name="_Toc16330028"/>
      <w:bookmarkStart w:id="188" w:name="_Toc9708"/>
      <w:bookmarkStart w:id="189" w:name="_Toc8550"/>
      <w:bookmarkStart w:id="190" w:name="_Toc27314"/>
      <w:r>
        <w:rPr>
          <w:rFonts w:hint="eastAsia" w:ascii="黑体" w:hAnsi="黑体" w:eastAsia="黑体" w:cstheme="minorEastAsia"/>
          <w:b w:val="0"/>
          <w:sz w:val="28"/>
          <w:szCs w:val="28"/>
        </w:rPr>
        <w:t>11 违约责任</w:t>
      </w:r>
      <w:bookmarkEnd w:id="186"/>
      <w:bookmarkEnd w:id="187"/>
      <w:bookmarkEnd w:id="188"/>
      <w:bookmarkEnd w:id="189"/>
      <w:bookmarkEnd w:id="190"/>
    </w:p>
    <w:p>
      <w:pPr>
        <w:spacing w:line="360" w:lineRule="auto"/>
        <w:ind w:firstLine="453" w:firstLineChars="189"/>
        <w:rPr>
          <w:rFonts w:hint="eastAsia" w:ascii="宋体" w:hAnsi="宋体" w:eastAsia="宋体" w:cs="宋体"/>
          <w:sz w:val="24"/>
          <w:szCs w:val="24"/>
        </w:rPr>
      </w:pPr>
      <w:r>
        <w:rPr>
          <w:rFonts w:hint="eastAsia" w:ascii="宋体" w:hAnsi="宋体" w:eastAsia="宋体" w:cs="宋体"/>
          <w:sz w:val="24"/>
          <w:szCs w:val="24"/>
        </w:rPr>
        <w:t>11.1卖方应承担提供的设备与本合同约定不符的一切责任，买方有权在检验、安装、调试、验收测试期限内、质量保证期内等任何时间提出索赔，买方有权按下述一种或多种方法要求卖方赔偿：</w:t>
      </w:r>
    </w:p>
    <w:p>
      <w:pPr>
        <w:spacing w:line="360" w:lineRule="auto"/>
        <w:ind w:firstLine="453" w:firstLineChars="189"/>
        <w:rPr>
          <w:rFonts w:hint="eastAsia" w:ascii="宋体" w:hAnsi="宋体" w:eastAsia="宋体" w:cs="宋体"/>
          <w:sz w:val="24"/>
          <w:szCs w:val="24"/>
        </w:rPr>
      </w:pPr>
      <w:r>
        <w:rPr>
          <w:rFonts w:hint="eastAsia" w:ascii="宋体" w:hAnsi="宋体" w:eastAsia="宋体" w:cs="宋体"/>
          <w:sz w:val="24"/>
          <w:szCs w:val="24"/>
        </w:rPr>
        <w:t>11.1.1卖方同意买方拒收设备并把被与拒收设备等值的价款在买方要求的时间内以本合同规定的货币付给买方，卖方承担因此而发生的一切损失和费用，包括但不限于同期银行贷款利息、银行费用、运输和保险费、检验费、仓储和装卸费以及为保管和保护被拒绝设备所需要的其他必需的费用，并赔偿因此给买方造成的损失。</w:t>
      </w:r>
    </w:p>
    <w:p>
      <w:pPr>
        <w:spacing w:line="360" w:lineRule="auto"/>
        <w:ind w:firstLine="453" w:firstLineChars="189"/>
        <w:rPr>
          <w:rFonts w:hint="eastAsia" w:ascii="宋体" w:hAnsi="宋体" w:eastAsia="宋体" w:cs="宋体"/>
          <w:sz w:val="24"/>
          <w:szCs w:val="24"/>
        </w:rPr>
      </w:pPr>
      <w:r>
        <w:rPr>
          <w:rFonts w:hint="eastAsia" w:ascii="宋体" w:hAnsi="宋体" w:eastAsia="宋体" w:cs="宋体"/>
          <w:sz w:val="24"/>
          <w:szCs w:val="24"/>
        </w:rPr>
        <w:t>11.1.2根据设备的瑕疵和受损程度以及买方遭受损失的金额，经买方同意降低设备价格。</w:t>
      </w:r>
    </w:p>
    <w:p>
      <w:pPr>
        <w:spacing w:line="360" w:lineRule="auto"/>
        <w:ind w:firstLine="453" w:firstLineChars="189"/>
        <w:rPr>
          <w:rFonts w:hint="eastAsia" w:ascii="宋体" w:hAnsi="宋体" w:eastAsia="宋体" w:cs="宋体"/>
          <w:sz w:val="24"/>
          <w:szCs w:val="24"/>
        </w:rPr>
      </w:pPr>
      <w:r>
        <w:rPr>
          <w:rFonts w:hint="eastAsia" w:ascii="宋体" w:hAnsi="宋体" w:eastAsia="宋体" w:cs="宋体"/>
          <w:sz w:val="24"/>
          <w:szCs w:val="24"/>
        </w:rPr>
        <w:t>11.1.3更换有缺陷的零件、部件、设备或修理缺陷部分，以达到本合同规定的规格、质量和性能，卖方承担一切费用和风险并负担买方遭受的一切损失，同时卖方应相应延长被修理或更换设备的质量保证期。</w:t>
      </w:r>
    </w:p>
    <w:p>
      <w:pPr>
        <w:spacing w:line="360" w:lineRule="auto"/>
        <w:ind w:firstLine="453" w:firstLineChars="189"/>
        <w:rPr>
          <w:rFonts w:hint="eastAsia" w:ascii="宋体" w:hAnsi="宋体" w:eastAsia="宋体" w:cs="宋体"/>
          <w:sz w:val="24"/>
          <w:szCs w:val="24"/>
        </w:rPr>
      </w:pPr>
      <w:r>
        <w:rPr>
          <w:rFonts w:hint="eastAsia" w:ascii="宋体" w:hAnsi="宋体" w:eastAsia="宋体" w:cs="宋体"/>
          <w:sz w:val="24"/>
          <w:szCs w:val="24"/>
        </w:rPr>
        <w:t>11.2如果买方就卖方的设备质量问题提出索赔通知后 10 日内卖方未能予以答复，该索赔视为已被卖方接受。若卖方未能在买方提出索赔通知后 10 日内或买方同意的更长一些的时间内，按买方同意的上述任何一种方式处理索赔事宜，买方将从货款中扣回索赔金额，同时保留进一步要求赔偿的权利。</w:t>
      </w:r>
    </w:p>
    <w:p>
      <w:pPr>
        <w:spacing w:line="360" w:lineRule="auto"/>
        <w:ind w:firstLine="453" w:firstLineChars="189"/>
        <w:rPr>
          <w:rFonts w:hint="eastAsia" w:ascii="宋体" w:hAnsi="宋体" w:eastAsia="宋体" w:cs="宋体"/>
          <w:sz w:val="24"/>
          <w:szCs w:val="24"/>
        </w:rPr>
      </w:pPr>
      <w:r>
        <w:rPr>
          <w:rFonts w:hint="eastAsia" w:ascii="宋体" w:hAnsi="宋体" w:eastAsia="宋体" w:cs="宋体"/>
          <w:sz w:val="24"/>
          <w:szCs w:val="24"/>
        </w:rPr>
        <w:t>11.3如果卖方未能按期到货，卖方应向买方支付违约金，违约金比率为每迟交壹日，按合同总价的10‰计算，但是违约金的金额不得超过合同总价款的 20 %，如果卖方在达到违约金的最高限额后仍不能交货，买方有权就卖方违约而解除本合同，且卖方仍须支付上述违约金，并赔偿由此给买方造成的一切损失。</w:t>
      </w:r>
    </w:p>
    <w:p>
      <w:pPr>
        <w:spacing w:line="360" w:lineRule="auto"/>
        <w:ind w:firstLine="453" w:firstLineChars="189"/>
        <w:rPr>
          <w:rFonts w:hint="eastAsia" w:ascii="宋体" w:hAnsi="宋体" w:eastAsia="宋体" w:cs="宋体"/>
          <w:sz w:val="24"/>
          <w:szCs w:val="24"/>
        </w:rPr>
      </w:pPr>
      <w:r>
        <w:rPr>
          <w:rFonts w:hint="eastAsia" w:ascii="宋体" w:hAnsi="宋体" w:eastAsia="宋体" w:cs="宋体"/>
          <w:sz w:val="24"/>
          <w:szCs w:val="24"/>
        </w:rPr>
        <w:t>11.4如卖方未按7.1条履行义务，从逾期之日起卖方每天按合同总价款的 10 ‰支付给买方作违约金，但是违约金的金额不得超过合同总价的 20 %。如果卖方在达到违约金的最高限额或者不能使设备通过最终验收，买方有权就卖方违约而解除本合同，且卖方仍须支付上述违约金，并返还买方支付的设备款，并赔偿由此给买方造成的一切损失。</w:t>
      </w:r>
    </w:p>
    <w:p>
      <w:pPr>
        <w:spacing w:line="360" w:lineRule="auto"/>
        <w:ind w:firstLine="453" w:firstLineChars="189"/>
        <w:rPr>
          <w:rFonts w:hint="eastAsia" w:ascii="宋体" w:hAnsi="宋体" w:eastAsia="宋体" w:cs="宋体"/>
          <w:sz w:val="24"/>
          <w:szCs w:val="24"/>
        </w:rPr>
      </w:pPr>
      <w:r>
        <w:rPr>
          <w:rFonts w:hint="eastAsia" w:ascii="宋体" w:hAnsi="宋体" w:eastAsia="宋体" w:cs="宋体"/>
          <w:sz w:val="24"/>
          <w:szCs w:val="24"/>
        </w:rPr>
        <w:t>11.5买方延期付款时（有正当拒付理由者除外），每日按延付金额的 3 ‰向卖方偿付延期付款违约金，但违约金总额不超过延付金额的 50 ‰。</w:t>
      </w:r>
    </w:p>
    <w:p>
      <w:pPr>
        <w:spacing w:line="360" w:lineRule="auto"/>
        <w:ind w:firstLine="453" w:firstLineChars="189"/>
        <w:rPr>
          <w:rFonts w:hint="eastAsia" w:ascii="宋体" w:hAnsi="宋体" w:eastAsia="宋体" w:cs="宋体"/>
          <w:sz w:val="24"/>
          <w:szCs w:val="24"/>
        </w:rPr>
      </w:pPr>
      <w:r>
        <w:rPr>
          <w:rFonts w:hint="eastAsia" w:ascii="宋体" w:hAnsi="宋体" w:eastAsia="宋体" w:cs="宋体"/>
          <w:sz w:val="24"/>
          <w:szCs w:val="24"/>
        </w:rPr>
        <w:t>11.6如卖方违反9.5条，则买方有权视情况扣除部分或全部质量保证金作为卖方的违约金，并且卖方应赔偿因此给买方造成的一切损失。卖方不能及时到现场履行质量维修义务，每延迟一天应承担合同价款20 ‰的违约金（合同额不足10万元按照2000元/天计取），且不免除维修的责任。违约金在质保金中扣除。</w:t>
      </w:r>
    </w:p>
    <w:p>
      <w:pPr>
        <w:spacing w:line="360" w:lineRule="auto"/>
        <w:ind w:firstLine="453" w:firstLineChars="189"/>
        <w:rPr>
          <w:rFonts w:hint="eastAsia" w:ascii="宋体" w:hAnsi="宋体" w:eastAsia="宋体" w:cs="宋体"/>
          <w:sz w:val="24"/>
          <w:szCs w:val="24"/>
        </w:rPr>
      </w:pPr>
      <w:r>
        <w:rPr>
          <w:rFonts w:hint="eastAsia" w:ascii="宋体" w:hAnsi="宋体" w:eastAsia="宋体" w:cs="宋体"/>
          <w:sz w:val="24"/>
          <w:szCs w:val="24"/>
        </w:rPr>
        <w:t>11.7如果卖方违反本合同其他约定（包括本合同及所有附件）应赔偿因此给买方造成的一切损失。</w:t>
      </w:r>
    </w:p>
    <w:p>
      <w:pPr>
        <w:pStyle w:val="2"/>
        <w:spacing w:before="240" w:beforeLines="100"/>
        <w:ind w:left="0" w:firstLine="529" w:firstLineChars="189"/>
        <w:jc w:val="both"/>
        <w:rPr>
          <w:rFonts w:ascii="黑体" w:hAnsi="黑体" w:eastAsia="黑体" w:cstheme="minorEastAsia"/>
          <w:b w:val="0"/>
          <w:sz w:val="28"/>
          <w:szCs w:val="28"/>
        </w:rPr>
      </w:pPr>
      <w:bookmarkStart w:id="191" w:name="_Toc31554"/>
      <w:bookmarkStart w:id="192" w:name="_Toc9172"/>
      <w:bookmarkStart w:id="193" w:name="_Toc1827"/>
      <w:bookmarkStart w:id="194" w:name="_Toc16330029"/>
      <w:bookmarkStart w:id="195" w:name="_Toc29891"/>
      <w:r>
        <w:rPr>
          <w:rFonts w:hint="eastAsia" w:ascii="黑体" w:hAnsi="黑体" w:eastAsia="黑体" w:cstheme="minorEastAsia"/>
          <w:b w:val="0"/>
          <w:sz w:val="28"/>
          <w:szCs w:val="28"/>
        </w:rPr>
        <w:t>12 合同的终止与解除</w:t>
      </w:r>
      <w:bookmarkEnd w:id="191"/>
      <w:bookmarkEnd w:id="192"/>
      <w:bookmarkEnd w:id="193"/>
      <w:bookmarkEnd w:id="194"/>
      <w:bookmarkEnd w:id="195"/>
    </w:p>
    <w:p>
      <w:pPr>
        <w:spacing w:line="360" w:lineRule="auto"/>
        <w:ind w:firstLine="453" w:firstLineChars="189"/>
        <w:rPr>
          <w:rFonts w:hint="eastAsia" w:ascii="宋体" w:hAnsi="宋体" w:eastAsia="宋体" w:cs="宋体"/>
          <w:sz w:val="24"/>
          <w:szCs w:val="24"/>
        </w:rPr>
      </w:pPr>
      <w:r>
        <w:rPr>
          <w:rFonts w:hint="eastAsia" w:ascii="宋体" w:hAnsi="宋体" w:eastAsia="宋体" w:cs="宋体"/>
          <w:sz w:val="24"/>
          <w:szCs w:val="24"/>
        </w:rPr>
        <w:t>12.1本合同订立后，卖方由于履行义务的能力或信用有严重缺陷，买方可以终止履行本合同，要求卖方返还已支付的款项并不承担违约责任。</w:t>
      </w:r>
    </w:p>
    <w:p>
      <w:pPr>
        <w:spacing w:line="360" w:lineRule="auto"/>
        <w:ind w:firstLine="453" w:firstLineChars="189"/>
        <w:rPr>
          <w:rFonts w:hint="eastAsia" w:ascii="宋体" w:hAnsi="宋体" w:eastAsia="宋体" w:cs="宋体"/>
          <w:sz w:val="24"/>
          <w:szCs w:val="24"/>
        </w:rPr>
      </w:pPr>
      <w:r>
        <w:rPr>
          <w:rFonts w:hint="eastAsia" w:ascii="宋体" w:hAnsi="宋体" w:eastAsia="宋体" w:cs="宋体"/>
          <w:sz w:val="24"/>
          <w:szCs w:val="24"/>
        </w:rPr>
        <w:t>12.2经双方协商一致，可以解除本合同。</w:t>
      </w:r>
    </w:p>
    <w:p>
      <w:pPr>
        <w:spacing w:line="360" w:lineRule="auto"/>
        <w:ind w:firstLine="453" w:firstLineChars="189"/>
        <w:rPr>
          <w:rFonts w:hint="eastAsia" w:ascii="宋体" w:hAnsi="宋体" w:eastAsia="宋体" w:cs="宋体"/>
          <w:sz w:val="24"/>
          <w:szCs w:val="24"/>
        </w:rPr>
      </w:pPr>
      <w:r>
        <w:rPr>
          <w:rFonts w:hint="eastAsia" w:ascii="宋体" w:hAnsi="宋体" w:eastAsia="宋体" w:cs="宋体"/>
          <w:sz w:val="24"/>
          <w:szCs w:val="24"/>
        </w:rPr>
        <w:t>12.3有下列情形之一的，买方可以解除本合同：</w:t>
      </w:r>
    </w:p>
    <w:p>
      <w:pPr>
        <w:spacing w:line="360" w:lineRule="auto"/>
        <w:ind w:firstLine="453" w:firstLineChars="189"/>
        <w:rPr>
          <w:rFonts w:hint="eastAsia" w:ascii="宋体" w:hAnsi="宋体" w:eastAsia="宋体" w:cs="宋体"/>
          <w:sz w:val="24"/>
          <w:szCs w:val="24"/>
        </w:rPr>
      </w:pPr>
      <w:r>
        <w:rPr>
          <w:rFonts w:hint="eastAsia" w:ascii="宋体" w:hAnsi="宋体" w:eastAsia="宋体" w:cs="宋体"/>
          <w:sz w:val="24"/>
          <w:szCs w:val="24"/>
        </w:rPr>
        <w:t>12.3.1卖方明确表示或者以自己的行为表明不履行主要义务的；</w:t>
      </w:r>
    </w:p>
    <w:p>
      <w:pPr>
        <w:spacing w:line="360" w:lineRule="auto"/>
        <w:ind w:firstLine="453" w:firstLineChars="189"/>
        <w:rPr>
          <w:rFonts w:hint="eastAsia" w:ascii="宋体" w:hAnsi="宋体" w:eastAsia="宋体" w:cs="宋体"/>
          <w:sz w:val="24"/>
          <w:szCs w:val="24"/>
        </w:rPr>
      </w:pPr>
      <w:r>
        <w:rPr>
          <w:rFonts w:hint="eastAsia" w:ascii="宋体" w:hAnsi="宋体" w:eastAsia="宋体" w:cs="宋体"/>
          <w:sz w:val="24"/>
          <w:szCs w:val="24"/>
        </w:rPr>
        <w:t>12.3.2按照本合同第11.3条或第11.4条的规定，达到违约金的最高限额；</w:t>
      </w:r>
    </w:p>
    <w:p>
      <w:pPr>
        <w:spacing w:line="360" w:lineRule="auto"/>
        <w:ind w:firstLine="453" w:firstLineChars="189"/>
        <w:rPr>
          <w:rFonts w:hint="eastAsia" w:ascii="宋体" w:hAnsi="宋体" w:eastAsia="宋体" w:cs="宋体"/>
          <w:sz w:val="24"/>
          <w:szCs w:val="24"/>
        </w:rPr>
      </w:pPr>
      <w:r>
        <w:rPr>
          <w:rFonts w:hint="eastAsia" w:ascii="宋体" w:hAnsi="宋体" w:eastAsia="宋体" w:cs="宋体"/>
          <w:sz w:val="24"/>
          <w:szCs w:val="24"/>
        </w:rPr>
        <w:t>12.3.3卖方所提交的设备不符合本合同的规定；</w:t>
      </w:r>
    </w:p>
    <w:p>
      <w:pPr>
        <w:spacing w:line="360" w:lineRule="auto"/>
        <w:ind w:firstLine="453" w:firstLineChars="189"/>
        <w:rPr>
          <w:rFonts w:hint="eastAsia" w:ascii="宋体" w:hAnsi="宋体" w:eastAsia="宋体" w:cs="宋体"/>
          <w:sz w:val="24"/>
          <w:szCs w:val="24"/>
        </w:rPr>
      </w:pPr>
      <w:r>
        <w:rPr>
          <w:rFonts w:hint="eastAsia" w:ascii="宋体" w:hAnsi="宋体" w:eastAsia="宋体" w:cs="宋体"/>
          <w:sz w:val="24"/>
          <w:szCs w:val="24"/>
        </w:rPr>
        <w:t>12.3.4卖方有其他违约行为。</w:t>
      </w:r>
    </w:p>
    <w:p>
      <w:pPr>
        <w:spacing w:line="360" w:lineRule="auto"/>
        <w:ind w:firstLine="453" w:firstLineChars="189"/>
        <w:rPr>
          <w:rFonts w:hint="eastAsia" w:ascii="宋体" w:hAnsi="宋体" w:eastAsia="宋体" w:cs="宋体"/>
          <w:sz w:val="24"/>
          <w:szCs w:val="24"/>
        </w:rPr>
      </w:pPr>
      <w:r>
        <w:rPr>
          <w:rFonts w:hint="eastAsia" w:ascii="宋体" w:hAnsi="宋体" w:eastAsia="宋体" w:cs="宋体"/>
          <w:sz w:val="24"/>
          <w:szCs w:val="24"/>
        </w:rPr>
        <w:t>12.4卖方分批交付设备的，卖方对其中一批设备不交付或者交付不符合约定，致使该批设备不能实现本合同目的的，买方可以就该批设备解除合同。</w:t>
      </w:r>
    </w:p>
    <w:p>
      <w:pPr>
        <w:spacing w:line="360" w:lineRule="auto"/>
        <w:ind w:firstLine="453" w:firstLineChars="189"/>
        <w:rPr>
          <w:rFonts w:hint="eastAsia" w:ascii="宋体" w:hAnsi="宋体" w:eastAsia="宋体" w:cs="宋体"/>
          <w:sz w:val="24"/>
          <w:szCs w:val="24"/>
        </w:rPr>
      </w:pPr>
      <w:r>
        <w:rPr>
          <w:rFonts w:hint="eastAsia" w:ascii="宋体" w:hAnsi="宋体" w:eastAsia="宋体" w:cs="宋体"/>
          <w:sz w:val="24"/>
          <w:szCs w:val="24"/>
        </w:rPr>
        <w:t>12.5卖方不交付其中一批设备或者交付不符合约定，致使今后其他各批设备的交付不能实现本合同目的的，买方可以就该批以及今后其他各批设备解除合同。</w:t>
      </w:r>
    </w:p>
    <w:p>
      <w:pPr>
        <w:spacing w:line="360" w:lineRule="auto"/>
        <w:ind w:firstLine="453" w:firstLineChars="189"/>
        <w:rPr>
          <w:rFonts w:hint="eastAsia" w:ascii="宋体" w:hAnsi="宋体" w:eastAsia="宋体" w:cs="宋体"/>
          <w:sz w:val="24"/>
          <w:szCs w:val="24"/>
        </w:rPr>
      </w:pPr>
      <w:r>
        <w:rPr>
          <w:rFonts w:hint="eastAsia" w:ascii="宋体" w:hAnsi="宋体" w:eastAsia="宋体" w:cs="宋体"/>
          <w:sz w:val="24"/>
          <w:szCs w:val="24"/>
        </w:rPr>
        <w:t>12.6买方如果就其中一批设备解除合同，该批设备与其他各批设备相互依存的，可以就已经交付和未交付的各批设备解除合同。</w:t>
      </w:r>
    </w:p>
    <w:p>
      <w:pPr>
        <w:spacing w:line="360" w:lineRule="auto"/>
        <w:ind w:firstLine="453" w:firstLineChars="189"/>
        <w:rPr>
          <w:rFonts w:hint="eastAsia" w:ascii="宋体" w:hAnsi="宋体" w:eastAsia="宋体" w:cs="宋体"/>
          <w:sz w:val="24"/>
          <w:szCs w:val="24"/>
        </w:rPr>
      </w:pPr>
      <w:r>
        <w:rPr>
          <w:rFonts w:hint="eastAsia" w:ascii="宋体" w:hAnsi="宋体" w:eastAsia="宋体" w:cs="宋体"/>
          <w:sz w:val="24"/>
          <w:szCs w:val="24"/>
        </w:rPr>
        <w:t>12.7因为卖方违约导致买方解除合同的，卖方应赔偿买方因此所遭受的一切损失。</w:t>
      </w:r>
    </w:p>
    <w:p>
      <w:pPr>
        <w:pStyle w:val="2"/>
        <w:spacing w:before="240" w:beforeLines="100"/>
        <w:ind w:left="0" w:firstLine="529" w:firstLineChars="189"/>
        <w:jc w:val="both"/>
        <w:rPr>
          <w:rFonts w:ascii="黑体" w:hAnsi="黑体" w:eastAsia="黑体" w:cstheme="minorEastAsia"/>
          <w:b w:val="0"/>
          <w:sz w:val="28"/>
          <w:szCs w:val="28"/>
        </w:rPr>
      </w:pPr>
      <w:bookmarkStart w:id="196" w:name="_Toc8620"/>
      <w:bookmarkStart w:id="197" w:name="_Toc16330030"/>
      <w:bookmarkStart w:id="198" w:name="_Toc31945"/>
      <w:bookmarkStart w:id="199" w:name="_Toc13671"/>
      <w:bookmarkStart w:id="200" w:name="_Toc21501"/>
      <w:r>
        <w:rPr>
          <w:rFonts w:hint="eastAsia" w:ascii="黑体" w:hAnsi="黑体" w:eastAsia="黑体" w:cstheme="minorEastAsia"/>
          <w:b w:val="0"/>
          <w:sz w:val="28"/>
          <w:szCs w:val="28"/>
        </w:rPr>
        <w:t>13 不可抗力</w:t>
      </w:r>
      <w:bookmarkEnd w:id="196"/>
      <w:bookmarkEnd w:id="197"/>
      <w:bookmarkEnd w:id="198"/>
      <w:bookmarkEnd w:id="199"/>
      <w:bookmarkEnd w:id="200"/>
    </w:p>
    <w:p>
      <w:pPr>
        <w:spacing w:line="360" w:lineRule="auto"/>
        <w:ind w:firstLine="453" w:firstLineChars="189"/>
        <w:rPr>
          <w:rFonts w:hint="eastAsia" w:ascii="宋体" w:hAnsi="宋体" w:eastAsia="宋体" w:cs="宋体"/>
          <w:sz w:val="24"/>
          <w:szCs w:val="24"/>
        </w:rPr>
      </w:pPr>
      <w:r>
        <w:rPr>
          <w:rFonts w:hint="eastAsia" w:ascii="宋体" w:hAnsi="宋体" w:eastAsia="宋体" w:cs="宋体"/>
          <w:sz w:val="24"/>
          <w:szCs w:val="24"/>
        </w:rPr>
        <w:t>13.1如果本合同的任何一方因不可抗力导致履行本合同义务受阻，并且不可抗力的发生和后果无法阻止和不可避免，在受阻方有能力发出通知的前提下，受阻方应在知道或应当知道不可抗力发生后十五日内通知对方，并在此后提供事件详细信息和由相关政府部门出具的有效证明文件说明其不能履行或推迟履行本合同全部或部分内容的理由。</w:t>
      </w:r>
    </w:p>
    <w:p>
      <w:pPr>
        <w:spacing w:line="360" w:lineRule="auto"/>
        <w:ind w:firstLine="453" w:firstLineChars="189"/>
        <w:rPr>
          <w:rFonts w:hint="eastAsia" w:ascii="宋体" w:hAnsi="宋体" w:eastAsia="宋体" w:cs="宋体"/>
          <w:sz w:val="24"/>
          <w:szCs w:val="24"/>
        </w:rPr>
      </w:pPr>
      <w:r>
        <w:rPr>
          <w:rFonts w:hint="eastAsia" w:ascii="宋体" w:hAnsi="宋体" w:eastAsia="宋体" w:cs="宋体"/>
          <w:sz w:val="24"/>
          <w:szCs w:val="24"/>
        </w:rPr>
        <w:t>13.2各方应该通过协商决定是否终止本合同，或推迟全部或部分本合同的履行或免除对方全部或部分相关履行义务。</w:t>
      </w:r>
    </w:p>
    <w:p>
      <w:pPr>
        <w:pStyle w:val="2"/>
        <w:spacing w:before="240" w:beforeLines="100"/>
        <w:ind w:left="0" w:firstLine="529" w:firstLineChars="189"/>
        <w:jc w:val="both"/>
        <w:rPr>
          <w:rFonts w:ascii="黑体" w:hAnsi="黑体" w:eastAsia="黑体" w:cstheme="minorEastAsia"/>
          <w:b w:val="0"/>
          <w:sz w:val="28"/>
          <w:szCs w:val="28"/>
        </w:rPr>
      </w:pPr>
      <w:bookmarkStart w:id="201" w:name="_Toc16330031"/>
      <w:bookmarkStart w:id="202" w:name="_Toc31243"/>
      <w:bookmarkStart w:id="203" w:name="_Toc30389"/>
      <w:bookmarkStart w:id="204" w:name="_Toc637"/>
      <w:bookmarkStart w:id="205" w:name="_Toc7181"/>
      <w:r>
        <w:rPr>
          <w:rFonts w:hint="eastAsia" w:ascii="黑体" w:hAnsi="黑体" w:eastAsia="黑体" w:cstheme="minorEastAsia"/>
          <w:b w:val="0"/>
          <w:sz w:val="28"/>
          <w:szCs w:val="28"/>
        </w:rPr>
        <w:t>14 通讯</w:t>
      </w:r>
      <w:bookmarkEnd w:id="201"/>
      <w:bookmarkEnd w:id="202"/>
      <w:bookmarkEnd w:id="203"/>
      <w:bookmarkEnd w:id="204"/>
      <w:bookmarkEnd w:id="205"/>
    </w:p>
    <w:p>
      <w:pPr>
        <w:spacing w:line="360" w:lineRule="auto"/>
        <w:ind w:firstLine="453" w:firstLineChars="189"/>
        <w:rPr>
          <w:rFonts w:hint="eastAsia" w:ascii="宋体" w:hAnsi="宋体" w:eastAsia="宋体" w:cs="宋体"/>
          <w:sz w:val="24"/>
          <w:szCs w:val="24"/>
        </w:rPr>
      </w:pPr>
      <w:r>
        <w:rPr>
          <w:rFonts w:hint="eastAsia" w:ascii="宋体" w:hAnsi="宋体" w:eastAsia="宋体" w:cs="宋体"/>
          <w:sz w:val="24"/>
          <w:szCs w:val="24"/>
        </w:rPr>
        <w:t>14.1通讯地址：</w:t>
      </w:r>
    </w:p>
    <w:p>
      <w:pPr>
        <w:spacing w:line="360" w:lineRule="auto"/>
        <w:ind w:firstLine="453" w:firstLineChars="189"/>
        <w:rPr>
          <w:rFonts w:hint="eastAsia" w:ascii="宋体" w:hAnsi="宋体" w:eastAsia="宋体" w:cs="宋体"/>
          <w:sz w:val="24"/>
          <w:szCs w:val="24"/>
        </w:rPr>
      </w:pPr>
      <w:r>
        <w:rPr>
          <w:rFonts w:hint="eastAsia" w:ascii="宋体" w:hAnsi="宋体" w:eastAsia="宋体" w:cs="宋体"/>
          <w:sz w:val="24"/>
          <w:szCs w:val="24"/>
        </w:rPr>
        <w:t>本合同下的任何通讯按照本合同双方提供的信息，以书信、传真、电子通讯方式或电话作出。</w:t>
      </w:r>
    </w:p>
    <w:p>
      <w:pPr>
        <w:spacing w:line="360" w:lineRule="auto"/>
        <w:ind w:firstLine="453" w:firstLineChars="189"/>
        <w:rPr>
          <w:rFonts w:hint="eastAsia" w:ascii="宋体" w:hAnsi="宋体" w:eastAsia="宋体" w:cs="宋体"/>
          <w:sz w:val="24"/>
          <w:szCs w:val="24"/>
        </w:rPr>
      </w:pPr>
      <w:r>
        <w:rPr>
          <w:rFonts w:hint="eastAsia" w:ascii="宋体" w:hAnsi="宋体" w:eastAsia="宋体" w:cs="宋体"/>
          <w:sz w:val="24"/>
          <w:szCs w:val="24"/>
        </w:rPr>
        <w:t>14.2生效</w:t>
      </w:r>
    </w:p>
    <w:p>
      <w:pPr>
        <w:spacing w:line="360" w:lineRule="auto"/>
        <w:ind w:firstLine="453" w:firstLineChars="189"/>
        <w:rPr>
          <w:rFonts w:hint="eastAsia" w:ascii="宋体" w:hAnsi="宋体" w:eastAsia="宋体" w:cs="宋体"/>
          <w:sz w:val="24"/>
          <w:szCs w:val="24"/>
        </w:rPr>
      </w:pPr>
      <w:r>
        <w:rPr>
          <w:rFonts w:hint="eastAsia" w:ascii="宋体" w:hAnsi="宋体" w:eastAsia="宋体" w:cs="宋体"/>
          <w:sz w:val="24"/>
          <w:szCs w:val="24"/>
        </w:rPr>
        <w:t>14.2.1书信。书信为送达时生效；</w:t>
      </w:r>
    </w:p>
    <w:p>
      <w:pPr>
        <w:spacing w:line="360" w:lineRule="auto"/>
        <w:ind w:firstLine="453" w:firstLineChars="189"/>
        <w:rPr>
          <w:rFonts w:hint="eastAsia" w:ascii="宋体" w:hAnsi="宋体" w:eastAsia="宋体" w:cs="宋体"/>
          <w:sz w:val="24"/>
          <w:szCs w:val="24"/>
        </w:rPr>
      </w:pPr>
      <w:r>
        <w:rPr>
          <w:rFonts w:hint="eastAsia" w:ascii="宋体" w:hAnsi="宋体" w:eastAsia="宋体" w:cs="宋体"/>
          <w:sz w:val="24"/>
          <w:szCs w:val="24"/>
        </w:rPr>
        <w:t>14.2.2传真。发送人取得成功传输的信息时生效；</w:t>
      </w:r>
    </w:p>
    <w:p>
      <w:pPr>
        <w:spacing w:line="360" w:lineRule="auto"/>
        <w:ind w:firstLine="453" w:firstLineChars="189"/>
        <w:rPr>
          <w:rFonts w:hint="eastAsia" w:ascii="宋体" w:hAnsi="宋体" w:eastAsia="宋体" w:cs="宋体"/>
          <w:sz w:val="24"/>
          <w:szCs w:val="24"/>
        </w:rPr>
      </w:pPr>
      <w:r>
        <w:rPr>
          <w:rFonts w:hint="eastAsia" w:ascii="宋体" w:hAnsi="宋体" w:eastAsia="宋体" w:cs="宋体"/>
          <w:sz w:val="24"/>
          <w:szCs w:val="24"/>
        </w:rPr>
        <w:t>14.2.3电子邮件。电子邮件于发送之时生效，前提是寄件者于该邮件发送后24小时内没有收到发送失败通知；</w:t>
      </w:r>
    </w:p>
    <w:p>
      <w:pPr>
        <w:spacing w:line="360" w:lineRule="auto"/>
        <w:ind w:firstLine="453" w:firstLineChars="189"/>
        <w:rPr>
          <w:rFonts w:hint="eastAsia" w:ascii="宋体" w:hAnsi="宋体" w:eastAsia="宋体" w:cs="宋体"/>
          <w:sz w:val="24"/>
          <w:szCs w:val="24"/>
        </w:rPr>
      </w:pPr>
      <w:r>
        <w:rPr>
          <w:rFonts w:hint="eastAsia" w:ascii="宋体" w:hAnsi="宋体" w:eastAsia="宋体" w:cs="宋体"/>
          <w:sz w:val="24"/>
          <w:szCs w:val="24"/>
        </w:rPr>
        <w:t>14.2.4电话。电话于打出时生效，以电话作出的任何通讯必须以书信、传真或电子邮件确认，如果没有发送或者接收该确认不会使原有通讯失效。</w:t>
      </w:r>
    </w:p>
    <w:p>
      <w:pPr>
        <w:spacing w:line="360" w:lineRule="auto"/>
        <w:ind w:firstLine="453" w:firstLineChars="189"/>
        <w:rPr>
          <w:rFonts w:hint="eastAsia" w:ascii="宋体" w:hAnsi="宋体" w:eastAsia="宋体" w:cs="宋体"/>
          <w:sz w:val="24"/>
          <w:szCs w:val="24"/>
        </w:rPr>
      </w:pPr>
      <w:r>
        <w:rPr>
          <w:rFonts w:hint="eastAsia" w:ascii="宋体" w:hAnsi="宋体" w:eastAsia="宋体" w:cs="宋体"/>
          <w:sz w:val="24"/>
          <w:szCs w:val="24"/>
        </w:rPr>
        <w:t>14.3书面法律证据。根据本合同以书信、传真或电子邮件方式送达任何订约方的任何通讯，将作为书面法律证据。</w:t>
      </w:r>
    </w:p>
    <w:p>
      <w:pPr>
        <w:pStyle w:val="2"/>
        <w:spacing w:before="240" w:beforeLines="100"/>
        <w:jc w:val="both"/>
        <w:rPr>
          <w:rFonts w:ascii="黑体" w:hAnsi="黑体" w:eastAsia="黑体" w:cstheme="minorEastAsia"/>
          <w:b w:val="0"/>
          <w:sz w:val="28"/>
          <w:szCs w:val="28"/>
        </w:rPr>
      </w:pPr>
      <w:bookmarkStart w:id="206" w:name="_Toc16330032"/>
      <w:bookmarkStart w:id="207" w:name="_Toc11290"/>
      <w:bookmarkStart w:id="208" w:name="_Toc32147"/>
      <w:bookmarkStart w:id="209" w:name="_Toc9915"/>
      <w:bookmarkStart w:id="210" w:name="_Toc12984"/>
      <w:r>
        <w:rPr>
          <w:rFonts w:hint="eastAsia" w:ascii="黑体" w:hAnsi="黑体" w:eastAsia="黑体" w:cstheme="minorEastAsia"/>
          <w:b w:val="0"/>
          <w:sz w:val="28"/>
          <w:szCs w:val="28"/>
        </w:rPr>
        <w:t>15 适用法律及争议解决</w:t>
      </w:r>
      <w:bookmarkEnd w:id="206"/>
      <w:bookmarkEnd w:id="207"/>
      <w:bookmarkEnd w:id="208"/>
      <w:bookmarkEnd w:id="209"/>
      <w:bookmarkEnd w:id="210"/>
    </w:p>
    <w:p>
      <w:pPr>
        <w:spacing w:line="360" w:lineRule="auto"/>
        <w:ind w:firstLine="453" w:firstLineChars="189"/>
        <w:rPr>
          <w:rFonts w:hint="eastAsia" w:ascii="宋体" w:hAnsi="宋体" w:eastAsia="宋体" w:cs="宋体"/>
          <w:sz w:val="24"/>
          <w:szCs w:val="24"/>
        </w:rPr>
      </w:pPr>
      <w:r>
        <w:rPr>
          <w:rFonts w:hint="eastAsia" w:ascii="宋体" w:hAnsi="宋体" w:eastAsia="宋体" w:cs="宋体"/>
          <w:sz w:val="24"/>
          <w:szCs w:val="24"/>
        </w:rPr>
        <w:t>15.1本合同条款的效力和解释适用中华人民共和国法律。</w:t>
      </w:r>
    </w:p>
    <w:p>
      <w:pPr>
        <w:spacing w:line="360" w:lineRule="auto"/>
        <w:ind w:firstLine="453" w:firstLineChars="189"/>
        <w:rPr>
          <w:rFonts w:hint="eastAsia" w:ascii="宋体" w:hAnsi="宋体" w:eastAsia="宋体" w:cs="宋体"/>
          <w:sz w:val="24"/>
          <w:szCs w:val="24"/>
        </w:rPr>
      </w:pPr>
      <w:r>
        <w:rPr>
          <w:rFonts w:hint="eastAsia" w:ascii="宋体" w:hAnsi="宋体" w:eastAsia="宋体" w:cs="宋体"/>
          <w:sz w:val="24"/>
          <w:szCs w:val="24"/>
        </w:rPr>
        <w:t>15.2双方同意将本着诚信的态度协商解决本合同履行过程中产生的任何争议。如果争议事项不能通过双方协商解决，本合同双方同意采用向买方所在地人民法院提起诉讼的方式解决。</w:t>
      </w:r>
    </w:p>
    <w:p>
      <w:pPr>
        <w:pStyle w:val="2"/>
        <w:spacing w:before="240" w:beforeLines="100"/>
        <w:ind w:left="0" w:firstLine="529" w:firstLineChars="189"/>
        <w:jc w:val="both"/>
        <w:rPr>
          <w:rFonts w:ascii="黑体" w:hAnsi="黑体" w:eastAsia="黑体" w:cstheme="minorEastAsia"/>
          <w:b w:val="0"/>
          <w:sz w:val="28"/>
          <w:szCs w:val="28"/>
        </w:rPr>
      </w:pPr>
      <w:bookmarkStart w:id="211" w:name="_Toc16330033"/>
      <w:bookmarkStart w:id="212" w:name="_Toc23906"/>
      <w:bookmarkStart w:id="213" w:name="_Toc23765"/>
      <w:bookmarkStart w:id="214" w:name="_Toc11023"/>
      <w:bookmarkStart w:id="215" w:name="_Toc18207"/>
      <w:r>
        <w:rPr>
          <w:rFonts w:hint="eastAsia" w:ascii="黑体" w:hAnsi="黑体" w:eastAsia="黑体" w:cstheme="minorEastAsia"/>
          <w:b w:val="0"/>
          <w:sz w:val="28"/>
          <w:szCs w:val="28"/>
        </w:rPr>
        <w:t>16 附件</w:t>
      </w:r>
      <w:bookmarkEnd w:id="211"/>
      <w:bookmarkEnd w:id="212"/>
      <w:bookmarkEnd w:id="213"/>
      <w:bookmarkEnd w:id="214"/>
      <w:bookmarkEnd w:id="215"/>
    </w:p>
    <w:p>
      <w:pPr>
        <w:spacing w:line="360" w:lineRule="auto"/>
        <w:ind w:firstLine="453" w:firstLineChars="189"/>
        <w:rPr>
          <w:rFonts w:hint="eastAsia" w:ascii="宋体" w:hAnsi="宋体" w:eastAsia="宋体" w:cs="宋体"/>
          <w:sz w:val="24"/>
          <w:szCs w:val="24"/>
        </w:rPr>
      </w:pPr>
      <w:r>
        <w:rPr>
          <w:rFonts w:hint="eastAsia" w:ascii="宋体" w:hAnsi="宋体" w:eastAsia="宋体" w:cs="宋体"/>
          <w:sz w:val="24"/>
          <w:szCs w:val="24"/>
        </w:rPr>
        <w:t>本合同及其附件构成双方关于本合同标的之全部协议，包括但不限于下列文件：</w:t>
      </w:r>
    </w:p>
    <w:p>
      <w:pPr>
        <w:spacing w:line="360" w:lineRule="auto"/>
        <w:ind w:firstLine="453" w:firstLineChars="189"/>
        <w:rPr>
          <w:rFonts w:hint="eastAsia" w:ascii="宋体" w:hAnsi="宋体" w:eastAsia="宋体" w:cs="宋体"/>
          <w:sz w:val="24"/>
          <w:szCs w:val="24"/>
        </w:rPr>
      </w:pPr>
      <w:r>
        <w:rPr>
          <w:rFonts w:hint="eastAsia" w:ascii="宋体" w:hAnsi="宋体" w:eastAsia="宋体" w:cs="宋体"/>
          <w:sz w:val="24"/>
          <w:szCs w:val="24"/>
        </w:rPr>
        <w:t>16.1技术协议书；</w:t>
      </w:r>
    </w:p>
    <w:p>
      <w:pPr>
        <w:spacing w:line="360" w:lineRule="auto"/>
        <w:ind w:firstLine="453" w:firstLineChars="189"/>
        <w:rPr>
          <w:rFonts w:hint="eastAsia" w:ascii="宋体" w:hAnsi="宋体" w:eastAsia="宋体" w:cs="宋体"/>
          <w:sz w:val="24"/>
          <w:szCs w:val="24"/>
        </w:rPr>
      </w:pPr>
      <w:r>
        <w:rPr>
          <w:rFonts w:hint="eastAsia" w:ascii="宋体" w:hAnsi="宋体" w:eastAsia="宋体" w:cs="宋体"/>
          <w:sz w:val="24"/>
          <w:szCs w:val="24"/>
        </w:rPr>
        <w:t>16.2合同设备一览表；</w:t>
      </w:r>
    </w:p>
    <w:p>
      <w:pPr>
        <w:spacing w:line="360" w:lineRule="auto"/>
        <w:ind w:firstLine="453" w:firstLineChars="189"/>
        <w:rPr>
          <w:rFonts w:hint="eastAsia" w:ascii="宋体" w:hAnsi="宋体" w:eastAsia="宋体" w:cs="宋体"/>
          <w:sz w:val="24"/>
          <w:szCs w:val="24"/>
        </w:rPr>
      </w:pPr>
      <w:r>
        <w:rPr>
          <w:rFonts w:hint="eastAsia" w:ascii="宋体" w:hAnsi="宋体" w:eastAsia="宋体" w:cs="宋体"/>
          <w:sz w:val="24"/>
          <w:szCs w:val="24"/>
        </w:rPr>
        <w:t>16.3卖方中标的设备投标书以及一切书面承诺；</w:t>
      </w:r>
    </w:p>
    <w:p>
      <w:pPr>
        <w:spacing w:line="360" w:lineRule="auto"/>
        <w:ind w:firstLine="453" w:firstLineChars="189"/>
        <w:rPr>
          <w:rFonts w:hint="eastAsia" w:ascii="宋体" w:hAnsi="宋体" w:eastAsia="宋体" w:cs="宋体"/>
          <w:sz w:val="24"/>
          <w:szCs w:val="24"/>
        </w:rPr>
      </w:pPr>
      <w:r>
        <w:rPr>
          <w:rFonts w:hint="eastAsia" w:ascii="宋体" w:hAnsi="宋体" w:eastAsia="宋体" w:cs="宋体"/>
          <w:sz w:val="24"/>
          <w:szCs w:val="24"/>
        </w:rPr>
        <w:t>16.4招标文件。</w:t>
      </w:r>
    </w:p>
    <w:p>
      <w:pPr>
        <w:spacing w:line="360" w:lineRule="auto"/>
        <w:ind w:firstLine="453" w:firstLineChars="189"/>
        <w:rPr>
          <w:rFonts w:hint="eastAsia" w:ascii="宋体" w:hAnsi="宋体" w:eastAsia="宋体" w:cs="宋体"/>
          <w:sz w:val="24"/>
          <w:szCs w:val="24"/>
        </w:rPr>
      </w:pPr>
      <w:r>
        <w:rPr>
          <w:rFonts w:hint="eastAsia" w:ascii="宋体" w:hAnsi="宋体" w:eastAsia="宋体" w:cs="宋体"/>
          <w:sz w:val="24"/>
          <w:szCs w:val="24"/>
        </w:rPr>
        <w:t>上述附件内容与本合同约定有冲突的，以本合同约定为准。</w:t>
      </w:r>
    </w:p>
    <w:p>
      <w:pPr>
        <w:pStyle w:val="2"/>
        <w:spacing w:before="240" w:beforeLines="100"/>
        <w:ind w:left="0" w:firstLine="529" w:firstLineChars="189"/>
        <w:jc w:val="both"/>
        <w:rPr>
          <w:rFonts w:ascii="黑体" w:hAnsi="黑体" w:eastAsia="黑体" w:cstheme="minorEastAsia"/>
          <w:b w:val="0"/>
          <w:sz w:val="28"/>
          <w:szCs w:val="28"/>
        </w:rPr>
      </w:pPr>
      <w:bookmarkStart w:id="216" w:name="_Toc27202"/>
      <w:bookmarkStart w:id="217" w:name="_Toc31331"/>
      <w:bookmarkStart w:id="218" w:name="_Toc17656"/>
      <w:bookmarkStart w:id="219" w:name="_Toc28386"/>
      <w:bookmarkStart w:id="220" w:name="_Toc16330034"/>
      <w:r>
        <w:rPr>
          <w:rFonts w:hint="eastAsia" w:ascii="黑体" w:hAnsi="黑体" w:eastAsia="黑体" w:cstheme="minorEastAsia"/>
          <w:b w:val="0"/>
          <w:sz w:val="28"/>
          <w:szCs w:val="28"/>
        </w:rPr>
        <w:t>17 其他规定</w:t>
      </w:r>
      <w:bookmarkEnd w:id="216"/>
      <w:bookmarkEnd w:id="217"/>
      <w:bookmarkEnd w:id="218"/>
      <w:bookmarkEnd w:id="219"/>
      <w:bookmarkEnd w:id="220"/>
    </w:p>
    <w:p>
      <w:pPr>
        <w:spacing w:line="360" w:lineRule="auto"/>
        <w:ind w:firstLine="453" w:firstLineChars="189"/>
        <w:rPr>
          <w:rFonts w:hint="eastAsia" w:ascii="宋体" w:hAnsi="宋体" w:eastAsia="宋体" w:cs="宋体"/>
          <w:sz w:val="24"/>
          <w:szCs w:val="24"/>
        </w:rPr>
      </w:pPr>
      <w:r>
        <w:rPr>
          <w:rFonts w:hint="eastAsia" w:ascii="宋体" w:hAnsi="宋体" w:eastAsia="宋体" w:cs="宋体"/>
          <w:sz w:val="24"/>
          <w:szCs w:val="24"/>
        </w:rPr>
        <w:t>17.1本合同及其附件构成了双方就本合同所含交易而达成的全部合同，并取代双方先前与该等交易有关的全部口头和书面合同。</w:t>
      </w:r>
    </w:p>
    <w:p>
      <w:pPr>
        <w:spacing w:line="360" w:lineRule="auto"/>
        <w:ind w:firstLine="453" w:firstLineChars="189"/>
        <w:rPr>
          <w:rFonts w:hint="eastAsia" w:ascii="宋体" w:hAnsi="宋体" w:eastAsia="宋体" w:cs="宋体"/>
          <w:sz w:val="24"/>
          <w:szCs w:val="24"/>
        </w:rPr>
      </w:pPr>
      <w:r>
        <w:rPr>
          <w:rFonts w:hint="eastAsia" w:ascii="宋体" w:hAnsi="宋体" w:eastAsia="宋体" w:cs="宋体"/>
          <w:sz w:val="24"/>
          <w:szCs w:val="24"/>
        </w:rPr>
        <w:t>17.2如果本合同的任何条款和条件在任何时间成为非法、无效或不可强制执行的，则其他条款不应受其影响。</w:t>
      </w:r>
    </w:p>
    <w:p>
      <w:pPr>
        <w:spacing w:line="360" w:lineRule="auto"/>
        <w:ind w:firstLine="453" w:firstLineChars="189"/>
        <w:rPr>
          <w:rFonts w:hint="eastAsia" w:ascii="宋体" w:hAnsi="宋体" w:eastAsia="宋体" w:cs="宋体"/>
          <w:sz w:val="24"/>
          <w:szCs w:val="24"/>
        </w:rPr>
      </w:pPr>
      <w:r>
        <w:rPr>
          <w:rFonts w:hint="eastAsia" w:ascii="宋体" w:hAnsi="宋体" w:eastAsia="宋体" w:cs="宋体"/>
          <w:sz w:val="24"/>
          <w:szCs w:val="24"/>
        </w:rPr>
        <w:t>17.3除非另有规定，一方未行使或迟延行使本合同项下的权利、权力或特权并不构成放弃这些权利、权力和特权，而单一或部分行使这些权利、权力和特权并不排斥行使任何其他权利、权力和特权。</w:t>
      </w:r>
    </w:p>
    <w:p>
      <w:pPr>
        <w:spacing w:line="360" w:lineRule="auto"/>
        <w:ind w:firstLine="453" w:firstLineChars="189"/>
        <w:rPr>
          <w:rFonts w:hint="eastAsia" w:ascii="宋体" w:hAnsi="宋体" w:eastAsia="宋体" w:cs="宋体"/>
          <w:sz w:val="24"/>
          <w:szCs w:val="24"/>
        </w:rPr>
      </w:pPr>
      <w:bookmarkStart w:id="221" w:name="_Toc17952"/>
      <w:bookmarkStart w:id="222" w:name="_Toc29136"/>
      <w:bookmarkStart w:id="223" w:name="_Toc16330035"/>
      <w:bookmarkStart w:id="224" w:name="_Toc19077"/>
      <w:r>
        <w:rPr>
          <w:rFonts w:hint="eastAsia" w:ascii="宋体" w:hAnsi="宋体" w:eastAsia="宋体" w:cs="宋体"/>
          <w:sz w:val="24"/>
          <w:szCs w:val="24"/>
        </w:rPr>
        <w:t>17.4监造，在合同设备的制造过程中，买方有权派出代表对合同设备制造过程中的关键工序进行质量监督，卖方有配合买方监造的义务。</w:t>
      </w:r>
    </w:p>
    <w:p>
      <w:pPr>
        <w:spacing w:line="360" w:lineRule="auto"/>
        <w:ind w:firstLine="453" w:firstLineChars="189"/>
        <w:rPr>
          <w:rFonts w:hint="eastAsia" w:ascii="宋体" w:hAnsi="宋体" w:eastAsia="宋体" w:cs="宋体"/>
          <w:sz w:val="24"/>
          <w:szCs w:val="24"/>
        </w:rPr>
      </w:pPr>
      <w:r>
        <w:rPr>
          <w:rFonts w:hint="eastAsia" w:ascii="宋体" w:hAnsi="宋体" w:eastAsia="宋体" w:cs="宋体"/>
          <w:sz w:val="24"/>
          <w:szCs w:val="24"/>
        </w:rPr>
        <w:t>17.5非因买方原因，卖方不能向其分包商或外购材料设备供货商及时付款等原因造成了分包商或外购材料设备供货商对买方发生了围堵上访、法律诉讼等不利的影响，卖方须承担违约责任及对买方造成的一切损失，同时买方有权直接向分包商或其外购材料设备供货商直接付款，该笔款项将直接从卖方的合同款项中扣除。</w:t>
      </w:r>
    </w:p>
    <w:p>
      <w:pPr>
        <w:pStyle w:val="2"/>
        <w:spacing w:before="240" w:beforeLines="100"/>
        <w:ind w:left="0" w:firstLine="529" w:firstLineChars="189"/>
        <w:jc w:val="both"/>
        <w:rPr>
          <w:rFonts w:ascii="黑体" w:hAnsi="黑体" w:eastAsia="黑体" w:cstheme="minorEastAsia"/>
          <w:b w:val="0"/>
          <w:sz w:val="28"/>
          <w:szCs w:val="28"/>
        </w:rPr>
      </w:pPr>
      <w:bookmarkStart w:id="225" w:name="_Toc14149"/>
      <w:r>
        <w:rPr>
          <w:rFonts w:hint="eastAsia" w:ascii="黑体" w:hAnsi="黑体" w:eastAsia="黑体" w:cstheme="minorEastAsia"/>
          <w:b w:val="0"/>
          <w:sz w:val="28"/>
          <w:szCs w:val="28"/>
        </w:rPr>
        <w:t>18 签署事项</w:t>
      </w:r>
      <w:bookmarkEnd w:id="221"/>
      <w:bookmarkEnd w:id="222"/>
      <w:bookmarkEnd w:id="223"/>
      <w:bookmarkEnd w:id="224"/>
      <w:bookmarkEnd w:id="225"/>
    </w:p>
    <w:p>
      <w:pPr>
        <w:spacing w:line="360" w:lineRule="auto"/>
        <w:ind w:firstLine="453" w:firstLineChars="189"/>
        <w:rPr>
          <w:rFonts w:hint="eastAsia" w:ascii="宋体" w:hAnsi="宋体" w:eastAsia="宋体" w:cs="宋体"/>
          <w:sz w:val="24"/>
          <w:szCs w:val="24"/>
        </w:rPr>
      </w:pPr>
      <w:r>
        <w:rPr>
          <w:rFonts w:hint="eastAsia" w:ascii="宋体" w:hAnsi="宋体" w:eastAsia="宋体" w:cs="宋体"/>
          <w:sz w:val="24"/>
          <w:szCs w:val="24"/>
        </w:rPr>
        <w:t>本合同一式</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份，买方持</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份，卖方持</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份；本合同经双方签署后生效。</w:t>
      </w:r>
    </w:p>
    <w:p>
      <w:pPr>
        <w:spacing w:line="360" w:lineRule="auto"/>
        <w:ind w:firstLine="453" w:firstLineChars="189"/>
        <w:rPr>
          <w:rFonts w:hint="eastAsia" w:ascii="宋体" w:hAnsi="宋体" w:eastAsia="宋体" w:cs="宋体"/>
          <w:sz w:val="24"/>
          <w:szCs w:val="24"/>
        </w:rPr>
      </w:pPr>
      <w:r>
        <w:rPr>
          <w:rFonts w:hint="eastAsia" w:ascii="宋体" w:hAnsi="宋体" w:eastAsia="宋体" w:cs="宋体"/>
          <w:sz w:val="24"/>
          <w:szCs w:val="24"/>
        </w:rPr>
        <w:t>（以下无正文）</w:t>
      </w:r>
    </w:p>
    <w:p>
      <w:pPr>
        <w:spacing w:line="360" w:lineRule="auto"/>
        <w:ind w:firstLine="420" w:firstLineChars="200"/>
        <w:rPr>
          <w:rFonts w:asciiTheme="minorEastAsia" w:hAnsiTheme="minorEastAsia" w:eastAsiaTheme="minorEastAsia" w:cstheme="minorEastAsia"/>
          <w:sz w:val="20"/>
          <w:szCs w:val="20"/>
        </w:rPr>
      </w:pPr>
      <w:r>
        <w:rPr>
          <w:rFonts w:hint="eastAsia"/>
        </w:rPr>
        <w:t xml:space="preserve">    </w:t>
      </w:r>
    </w:p>
    <w:p>
      <w:pPr>
        <w:spacing w:line="360" w:lineRule="auto"/>
        <w:rPr>
          <w:rFonts w:ascii="宋体" w:hAnsi="宋体"/>
          <w:snapToGrid w:val="0"/>
          <w:kern w:val="0"/>
          <w:sz w:val="20"/>
          <w:szCs w:val="20"/>
          <w:lang w:eastAsia="zh-Hans"/>
        </w:rPr>
      </w:pPr>
    </w:p>
    <w:p>
      <w:pPr>
        <w:widowControl/>
        <w:adjustRightInd w:val="0"/>
        <w:snapToGrid w:val="0"/>
        <w:spacing w:line="360" w:lineRule="auto"/>
        <w:jc w:val="left"/>
        <w:rPr>
          <w:rFonts w:hint="eastAsia" w:ascii="宋体" w:hAnsi="宋体" w:eastAsia="宋体" w:cs="宋体"/>
          <w:snapToGrid w:val="0"/>
          <w:kern w:val="0"/>
          <w:sz w:val="24"/>
          <w:szCs w:val="24"/>
          <w:lang w:eastAsia="zh-Hans"/>
        </w:rPr>
      </w:pPr>
      <w:r>
        <w:rPr>
          <w:rFonts w:hint="eastAsia" w:ascii="宋体" w:hAnsi="宋体" w:eastAsia="宋体" w:cs="宋体"/>
          <w:snapToGrid w:val="0"/>
          <w:kern w:val="0"/>
          <w:sz w:val="24"/>
          <w:szCs w:val="24"/>
          <w:lang w:eastAsia="zh-Hans"/>
        </w:rPr>
        <w:t>甲方</w:t>
      </w:r>
      <w:r>
        <w:rPr>
          <w:rFonts w:hint="eastAsia" w:ascii="宋体" w:hAnsi="宋体" w:eastAsia="宋体" w:cs="宋体"/>
          <w:snapToGrid w:val="0"/>
          <w:kern w:val="0"/>
          <w:sz w:val="24"/>
          <w:szCs w:val="24"/>
        </w:rPr>
        <w:t>（盖章）</w:t>
      </w:r>
      <w:r>
        <w:rPr>
          <w:rFonts w:hint="eastAsia" w:ascii="宋体" w:hAnsi="宋体" w:eastAsia="宋体" w:cs="宋体"/>
          <w:snapToGrid w:val="0"/>
          <w:kern w:val="0"/>
          <w:sz w:val="24"/>
          <w:szCs w:val="24"/>
          <w:lang w:eastAsia="zh-Hans"/>
        </w:rPr>
        <w:t xml:space="preserve">：                    </w:t>
      </w:r>
      <w:r>
        <w:rPr>
          <w:rFonts w:hint="eastAsia" w:ascii="宋体" w:hAnsi="宋体" w:eastAsia="宋体" w:cs="宋体"/>
          <w:snapToGrid w:val="0"/>
          <w:kern w:val="0"/>
          <w:sz w:val="24"/>
          <w:szCs w:val="24"/>
        </w:rPr>
        <w:t xml:space="preserve">           </w:t>
      </w:r>
      <w:r>
        <w:rPr>
          <w:rFonts w:hint="eastAsia" w:ascii="宋体" w:hAnsi="宋体" w:eastAsia="宋体" w:cs="宋体"/>
          <w:snapToGrid w:val="0"/>
          <w:kern w:val="0"/>
          <w:sz w:val="24"/>
          <w:szCs w:val="24"/>
          <w:lang w:eastAsia="zh-Hans"/>
        </w:rPr>
        <w:t>乙方</w:t>
      </w:r>
      <w:r>
        <w:rPr>
          <w:rFonts w:hint="eastAsia" w:ascii="宋体" w:hAnsi="宋体" w:eastAsia="宋体" w:cs="宋体"/>
          <w:snapToGrid w:val="0"/>
          <w:kern w:val="0"/>
          <w:sz w:val="24"/>
          <w:szCs w:val="24"/>
        </w:rPr>
        <w:t>（盖章）</w:t>
      </w:r>
      <w:r>
        <w:rPr>
          <w:rFonts w:hint="eastAsia" w:ascii="宋体" w:hAnsi="宋体" w:eastAsia="宋体" w:cs="宋体"/>
          <w:snapToGrid w:val="0"/>
          <w:kern w:val="0"/>
          <w:sz w:val="24"/>
          <w:szCs w:val="24"/>
          <w:lang w:eastAsia="zh-Hans"/>
        </w:rPr>
        <w:t>：</w:t>
      </w:r>
    </w:p>
    <w:p>
      <w:pPr>
        <w:widowControl/>
        <w:adjustRightInd w:val="0"/>
        <w:snapToGrid w:val="0"/>
        <w:spacing w:line="360" w:lineRule="auto"/>
        <w:jc w:val="left"/>
        <w:rPr>
          <w:rFonts w:hint="eastAsia" w:ascii="宋体" w:hAnsi="宋体" w:eastAsia="宋体" w:cs="宋体"/>
          <w:snapToGrid w:val="0"/>
          <w:color w:val="000000"/>
          <w:kern w:val="0"/>
          <w:sz w:val="24"/>
          <w:szCs w:val="24"/>
          <w:lang w:eastAsia="zh-Hans"/>
        </w:rPr>
      </w:pPr>
      <w:r>
        <w:rPr>
          <w:rFonts w:hint="eastAsia" w:ascii="宋体" w:hAnsi="宋体" w:eastAsia="宋体" w:cs="宋体"/>
          <w:snapToGrid w:val="0"/>
          <w:color w:val="000000"/>
          <w:kern w:val="0"/>
          <w:sz w:val="24"/>
          <w:szCs w:val="24"/>
          <w:lang w:eastAsia="zh-Hans"/>
        </w:rPr>
        <w:t xml:space="preserve">法定代表人或代理人（签字）：         </w:t>
      </w:r>
      <w:r>
        <w:rPr>
          <w:rFonts w:hint="eastAsia" w:ascii="宋体" w:hAnsi="宋体" w:eastAsia="宋体" w:cs="宋体"/>
          <w:snapToGrid w:val="0"/>
          <w:kern w:val="0"/>
          <w:sz w:val="24"/>
          <w:szCs w:val="24"/>
          <w:lang w:eastAsia="zh-Hans"/>
        </w:rPr>
        <w:t xml:space="preserve">       </w:t>
      </w:r>
      <w:r>
        <w:rPr>
          <w:rFonts w:hint="eastAsia" w:ascii="宋体" w:hAnsi="宋体" w:eastAsia="宋体" w:cs="宋体"/>
          <w:snapToGrid w:val="0"/>
          <w:color w:val="000000"/>
          <w:kern w:val="0"/>
          <w:sz w:val="24"/>
          <w:szCs w:val="24"/>
          <w:lang w:eastAsia="zh-Hans"/>
        </w:rPr>
        <w:t xml:space="preserve"> 法定代表人或代理人（签字）：</w:t>
      </w:r>
    </w:p>
    <w:p>
      <w:pPr>
        <w:widowControl/>
        <w:adjustRightInd w:val="0"/>
        <w:snapToGrid w:val="0"/>
        <w:spacing w:line="360" w:lineRule="auto"/>
        <w:jc w:val="left"/>
        <w:rPr>
          <w:rFonts w:hint="eastAsia" w:ascii="宋体" w:hAnsi="宋体" w:eastAsia="宋体" w:cs="宋体"/>
          <w:snapToGrid w:val="0"/>
          <w:color w:val="000000"/>
          <w:kern w:val="0"/>
          <w:sz w:val="24"/>
          <w:szCs w:val="24"/>
          <w:lang w:eastAsia="zh-Hans"/>
        </w:rPr>
      </w:pPr>
      <w:r>
        <w:rPr>
          <w:rFonts w:hint="eastAsia" w:ascii="宋体" w:hAnsi="宋体" w:eastAsia="宋体" w:cs="宋体"/>
          <w:snapToGrid w:val="0"/>
          <w:color w:val="000000"/>
          <w:kern w:val="0"/>
          <w:sz w:val="24"/>
          <w:szCs w:val="24"/>
          <w:lang w:eastAsia="zh-Hans"/>
        </w:rPr>
        <w:t xml:space="preserve">地  址：                             </w:t>
      </w:r>
      <w:r>
        <w:rPr>
          <w:rFonts w:hint="eastAsia" w:ascii="宋体" w:hAnsi="宋体" w:eastAsia="宋体" w:cs="宋体"/>
          <w:snapToGrid w:val="0"/>
          <w:kern w:val="0"/>
          <w:sz w:val="24"/>
          <w:szCs w:val="24"/>
          <w:lang w:eastAsia="zh-Hans"/>
        </w:rPr>
        <w:t xml:space="preserve">        </w:t>
      </w:r>
      <w:r>
        <w:rPr>
          <w:rFonts w:hint="eastAsia" w:ascii="宋体" w:hAnsi="宋体" w:eastAsia="宋体" w:cs="宋体"/>
          <w:snapToGrid w:val="0"/>
          <w:color w:val="000000"/>
          <w:kern w:val="0"/>
          <w:sz w:val="24"/>
          <w:szCs w:val="24"/>
          <w:lang w:eastAsia="zh-Hans"/>
        </w:rPr>
        <w:t xml:space="preserve">地  址： </w:t>
      </w:r>
    </w:p>
    <w:p>
      <w:pPr>
        <w:widowControl/>
        <w:adjustRightInd w:val="0"/>
        <w:snapToGrid w:val="0"/>
        <w:spacing w:line="360" w:lineRule="auto"/>
        <w:jc w:val="left"/>
        <w:rPr>
          <w:rFonts w:hint="eastAsia" w:ascii="宋体" w:hAnsi="宋体" w:eastAsia="宋体" w:cs="宋体"/>
          <w:snapToGrid w:val="0"/>
          <w:kern w:val="0"/>
          <w:sz w:val="24"/>
          <w:szCs w:val="24"/>
          <w:lang w:eastAsia="zh-Hans"/>
        </w:rPr>
      </w:pPr>
      <w:r>
        <w:rPr>
          <w:rFonts w:hint="eastAsia" w:ascii="宋体" w:hAnsi="宋体" w:eastAsia="宋体" w:cs="宋体"/>
          <w:snapToGrid w:val="0"/>
          <w:kern w:val="0"/>
          <w:sz w:val="24"/>
          <w:szCs w:val="24"/>
          <w:lang w:eastAsia="zh-Hans"/>
        </w:rPr>
        <w:t xml:space="preserve">电话：                                       电话： </w:t>
      </w:r>
    </w:p>
    <w:p>
      <w:pPr>
        <w:widowControl/>
        <w:adjustRightInd w:val="0"/>
        <w:snapToGrid w:val="0"/>
        <w:spacing w:line="360" w:lineRule="auto"/>
        <w:jc w:val="left"/>
        <w:rPr>
          <w:rFonts w:hint="eastAsia" w:ascii="宋体" w:hAnsi="宋体" w:eastAsia="宋体" w:cs="宋体"/>
          <w:snapToGrid w:val="0"/>
          <w:kern w:val="0"/>
          <w:sz w:val="24"/>
          <w:szCs w:val="24"/>
          <w:lang w:eastAsia="zh-Hans"/>
        </w:rPr>
      </w:pPr>
      <w:r>
        <w:rPr>
          <w:rFonts w:hint="eastAsia" w:ascii="宋体" w:hAnsi="宋体" w:eastAsia="宋体" w:cs="宋体"/>
          <w:snapToGrid w:val="0"/>
          <w:kern w:val="0"/>
          <w:sz w:val="24"/>
          <w:szCs w:val="24"/>
          <w:lang w:eastAsia="zh-Hans"/>
        </w:rPr>
        <w:t xml:space="preserve">传真：                                       传真： </w:t>
      </w:r>
    </w:p>
    <w:p>
      <w:pPr>
        <w:widowControl/>
        <w:adjustRightInd w:val="0"/>
        <w:snapToGrid w:val="0"/>
        <w:spacing w:line="360" w:lineRule="auto"/>
        <w:jc w:val="left"/>
        <w:rPr>
          <w:rFonts w:hint="eastAsia" w:ascii="宋体" w:hAnsi="宋体" w:eastAsia="宋体" w:cs="宋体"/>
          <w:snapToGrid w:val="0"/>
          <w:color w:val="000000"/>
          <w:kern w:val="0"/>
          <w:sz w:val="24"/>
          <w:szCs w:val="24"/>
          <w:lang w:eastAsia="zh-Hans"/>
        </w:rPr>
      </w:pPr>
      <w:r>
        <w:rPr>
          <w:rFonts w:hint="eastAsia" w:ascii="宋体" w:hAnsi="宋体" w:eastAsia="宋体" w:cs="宋体"/>
          <w:snapToGrid w:val="0"/>
          <w:color w:val="000000"/>
          <w:kern w:val="0"/>
          <w:sz w:val="24"/>
          <w:szCs w:val="24"/>
          <w:lang w:eastAsia="zh-Hans"/>
        </w:rPr>
        <w:t xml:space="preserve">开户银行：                          </w:t>
      </w:r>
      <w:r>
        <w:rPr>
          <w:rFonts w:hint="eastAsia" w:ascii="宋体" w:hAnsi="宋体" w:eastAsia="宋体" w:cs="宋体"/>
          <w:snapToGrid w:val="0"/>
          <w:kern w:val="0"/>
          <w:sz w:val="24"/>
          <w:szCs w:val="24"/>
          <w:lang w:eastAsia="zh-Hans"/>
        </w:rPr>
        <w:t xml:space="preserve">        </w:t>
      </w:r>
      <w:r>
        <w:rPr>
          <w:rFonts w:hint="eastAsia" w:ascii="宋体" w:hAnsi="宋体" w:eastAsia="宋体" w:cs="宋体"/>
          <w:snapToGrid w:val="0"/>
          <w:color w:val="000000"/>
          <w:kern w:val="0"/>
          <w:sz w:val="24"/>
          <w:szCs w:val="24"/>
          <w:lang w:eastAsia="zh-Hans"/>
        </w:rPr>
        <w:t xml:space="preserve"> 开户银行：   </w:t>
      </w:r>
    </w:p>
    <w:p>
      <w:pPr>
        <w:widowControl/>
        <w:adjustRightInd w:val="0"/>
        <w:snapToGrid w:val="0"/>
        <w:spacing w:line="360" w:lineRule="auto"/>
        <w:jc w:val="left"/>
        <w:rPr>
          <w:rFonts w:hint="eastAsia" w:ascii="宋体" w:hAnsi="宋体" w:eastAsia="宋体" w:cs="宋体"/>
          <w:snapToGrid w:val="0"/>
          <w:kern w:val="0"/>
          <w:sz w:val="24"/>
          <w:szCs w:val="24"/>
        </w:rPr>
      </w:pPr>
      <w:r>
        <w:rPr>
          <w:rFonts w:hint="eastAsia" w:ascii="宋体" w:hAnsi="宋体" w:eastAsia="宋体" w:cs="宋体"/>
          <w:snapToGrid w:val="0"/>
          <w:color w:val="000000"/>
          <w:kern w:val="0"/>
          <w:sz w:val="24"/>
          <w:szCs w:val="24"/>
          <w:lang w:eastAsia="zh-Hans"/>
        </w:rPr>
        <w:t xml:space="preserve">账  号：                            </w:t>
      </w:r>
      <w:r>
        <w:rPr>
          <w:rFonts w:hint="eastAsia" w:ascii="宋体" w:hAnsi="宋体" w:eastAsia="宋体" w:cs="宋体"/>
          <w:snapToGrid w:val="0"/>
          <w:kern w:val="0"/>
          <w:sz w:val="24"/>
          <w:szCs w:val="24"/>
          <w:lang w:eastAsia="zh-Hans"/>
        </w:rPr>
        <w:t xml:space="preserve">        </w:t>
      </w:r>
      <w:r>
        <w:rPr>
          <w:rFonts w:hint="eastAsia" w:ascii="宋体" w:hAnsi="宋体" w:eastAsia="宋体" w:cs="宋体"/>
          <w:snapToGrid w:val="0"/>
          <w:color w:val="000000"/>
          <w:kern w:val="0"/>
          <w:sz w:val="24"/>
          <w:szCs w:val="24"/>
          <w:lang w:eastAsia="zh-Hans"/>
        </w:rPr>
        <w:t xml:space="preserve"> 账 号： </w:t>
      </w:r>
    </w:p>
    <w:p>
      <w:pPr>
        <w:rPr>
          <w:sz w:val="24"/>
          <w:szCs w:val="24"/>
        </w:rPr>
      </w:pPr>
    </w:p>
    <w:p>
      <w:pPr>
        <w:pStyle w:val="2"/>
        <w:ind w:left="0"/>
        <w:jc w:val="both"/>
        <w:rPr>
          <w:rFonts w:ascii="黑体" w:hAnsi="黑体" w:eastAsia="黑体" w:cstheme="minorEastAsia"/>
          <w:b w:val="0"/>
          <w:sz w:val="28"/>
          <w:szCs w:val="28"/>
        </w:rPr>
      </w:pPr>
      <w:bookmarkStart w:id="226" w:name="_Toc30839"/>
      <w:r>
        <w:rPr>
          <w:rFonts w:hint="eastAsia" w:ascii="黑体" w:hAnsi="黑体" w:eastAsia="黑体" w:cstheme="minorEastAsia"/>
          <w:b w:val="0"/>
          <w:sz w:val="28"/>
          <w:szCs w:val="28"/>
        </w:rPr>
        <w:t>附件一：设备清单明细表</w:t>
      </w:r>
      <w:bookmarkEnd w:id="226"/>
    </w:p>
    <w:p/>
    <w:tbl>
      <w:tblPr>
        <w:tblStyle w:val="7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9"/>
        <w:gridCol w:w="1541"/>
        <w:gridCol w:w="2126"/>
        <w:gridCol w:w="748"/>
        <w:gridCol w:w="812"/>
        <w:gridCol w:w="708"/>
        <w:gridCol w:w="708"/>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989" w:type="dxa"/>
            <w:vAlign w:val="center"/>
          </w:tcPr>
          <w:p>
            <w:pPr>
              <w:pStyle w:val="57"/>
              <w:spacing w:line="360" w:lineRule="auto"/>
              <w:ind w:left="480" w:hanging="480"/>
              <w:jc w:val="center"/>
              <w:rPr>
                <w:rFonts w:ascii="仿宋_GB2312" w:eastAsia="仿宋_GB2312" w:hAnsiTheme="minorEastAsia" w:cstheme="minorEastAsia"/>
                <w:sz w:val="24"/>
                <w:szCs w:val="24"/>
              </w:rPr>
            </w:pPr>
            <w:r>
              <w:rPr>
                <w:rFonts w:hint="eastAsia" w:ascii="仿宋_GB2312" w:eastAsia="仿宋_GB2312" w:hAnsiTheme="minorEastAsia" w:cstheme="minorEastAsia"/>
                <w:sz w:val="24"/>
                <w:szCs w:val="24"/>
              </w:rPr>
              <w:t>序号</w:t>
            </w:r>
          </w:p>
        </w:tc>
        <w:tc>
          <w:tcPr>
            <w:tcW w:w="1541" w:type="dxa"/>
            <w:vAlign w:val="center"/>
          </w:tcPr>
          <w:p>
            <w:pPr>
              <w:pStyle w:val="57"/>
              <w:spacing w:line="360" w:lineRule="auto"/>
              <w:ind w:left="480" w:hanging="480"/>
              <w:jc w:val="left"/>
              <w:rPr>
                <w:rFonts w:ascii="仿宋_GB2312" w:eastAsia="仿宋_GB2312" w:hAnsiTheme="minorEastAsia" w:cstheme="minorEastAsia"/>
                <w:sz w:val="24"/>
                <w:szCs w:val="24"/>
              </w:rPr>
            </w:pPr>
            <w:r>
              <w:rPr>
                <w:rFonts w:hint="eastAsia" w:ascii="仿宋_GB2312" w:eastAsia="仿宋_GB2312" w:hAnsiTheme="minorEastAsia" w:cstheme="minorEastAsia"/>
                <w:sz w:val="24"/>
                <w:szCs w:val="24"/>
              </w:rPr>
              <w:t>产品及部件名称</w:t>
            </w:r>
          </w:p>
        </w:tc>
        <w:tc>
          <w:tcPr>
            <w:tcW w:w="2126" w:type="dxa"/>
            <w:vAlign w:val="center"/>
          </w:tcPr>
          <w:p>
            <w:pPr>
              <w:pStyle w:val="57"/>
              <w:spacing w:line="360" w:lineRule="auto"/>
              <w:ind w:left="480" w:hanging="480"/>
              <w:jc w:val="center"/>
              <w:rPr>
                <w:rFonts w:ascii="仿宋_GB2312" w:eastAsia="仿宋_GB2312" w:hAnsiTheme="minorEastAsia" w:cstheme="minorEastAsia"/>
                <w:sz w:val="24"/>
                <w:szCs w:val="24"/>
              </w:rPr>
            </w:pPr>
            <w:r>
              <w:rPr>
                <w:rFonts w:hint="eastAsia" w:ascii="仿宋_GB2312" w:eastAsia="仿宋_GB2312" w:hAnsiTheme="minorEastAsia" w:cstheme="minorEastAsia"/>
                <w:sz w:val="24"/>
                <w:szCs w:val="24"/>
              </w:rPr>
              <w:t>规格型号及</w:t>
            </w:r>
          </w:p>
          <w:p>
            <w:pPr>
              <w:pStyle w:val="57"/>
              <w:spacing w:line="360" w:lineRule="auto"/>
              <w:ind w:left="480" w:hanging="480"/>
              <w:jc w:val="center"/>
              <w:rPr>
                <w:rFonts w:ascii="仿宋_GB2312" w:eastAsia="仿宋_GB2312" w:hAnsiTheme="minorEastAsia" w:cstheme="minorEastAsia"/>
                <w:sz w:val="24"/>
                <w:szCs w:val="24"/>
              </w:rPr>
            </w:pPr>
            <w:r>
              <w:rPr>
                <w:rFonts w:hint="eastAsia" w:ascii="仿宋_GB2312" w:eastAsia="仿宋_GB2312" w:hAnsiTheme="minorEastAsia" w:cstheme="minorEastAsia"/>
                <w:sz w:val="24"/>
                <w:szCs w:val="24"/>
              </w:rPr>
              <w:t>技术参数</w:t>
            </w:r>
          </w:p>
        </w:tc>
        <w:tc>
          <w:tcPr>
            <w:tcW w:w="748" w:type="dxa"/>
            <w:vAlign w:val="center"/>
          </w:tcPr>
          <w:p>
            <w:pPr>
              <w:pStyle w:val="57"/>
              <w:spacing w:line="360" w:lineRule="auto"/>
              <w:ind w:left="480" w:hanging="480"/>
              <w:jc w:val="center"/>
              <w:rPr>
                <w:rFonts w:ascii="仿宋_GB2312" w:eastAsia="仿宋_GB2312" w:hAnsiTheme="minorEastAsia" w:cstheme="minorEastAsia"/>
                <w:sz w:val="24"/>
                <w:szCs w:val="24"/>
              </w:rPr>
            </w:pPr>
            <w:r>
              <w:rPr>
                <w:rFonts w:hint="eastAsia" w:ascii="仿宋_GB2312" w:eastAsia="仿宋_GB2312" w:hAnsiTheme="minorEastAsia" w:cstheme="minorEastAsia"/>
                <w:sz w:val="24"/>
                <w:szCs w:val="24"/>
              </w:rPr>
              <w:t>单位</w:t>
            </w:r>
          </w:p>
        </w:tc>
        <w:tc>
          <w:tcPr>
            <w:tcW w:w="812" w:type="dxa"/>
            <w:vAlign w:val="center"/>
          </w:tcPr>
          <w:p>
            <w:pPr>
              <w:pStyle w:val="57"/>
              <w:spacing w:line="360" w:lineRule="auto"/>
              <w:ind w:left="480" w:hanging="480"/>
              <w:jc w:val="center"/>
              <w:rPr>
                <w:rFonts w:ascii="仿宋_GB2312" w:eastAsia="仿宋_GB2312" w:hAnsiTheme="minorEastAsia" w:cstheme="minorEastAsia"/>
                <w:sz w:val="24"/>
                <w:szCs w:val="24"/>
              </w:rPr>
            </w:pPr>
            <w:r>
              <w:rPr>
                <w:rFonts w:hint="eastAsia" w:ascii="仿宋_GB2312" w:eastAsia="仿宋_GB2312" w:hAnsiTheme="minorEastAsia" w:cstheme="minorEastAsia"/>
                <w:sz w:val="24"/>
                <w:szCs w:val="24"/>
              </w:rPr>
              <w:t>数量</w:t>
            </w:r>
          </w:p>
        </w:tc>
        <w:tc>
          <w:tcPr>
            <w:tcW w:w="708" w:type="dxa"/>
            <w:vAlign w:val="center"/>
          </w:tcPr>
          <w:p>
            <w:pPr>
              <w:pStyle w:val="57"/>
              <w:spacing w:line="360" w:lineRule="auto"/>
              <w:ind w:left="480" w:hanging="480"/>
              <w:jc w:val="center"/>
              <w:rPr>
                <w:rFonts w:ascii="仿宋_GB2312" w:eastAsia="仿宋_GB2312" w:hAnsiTheme="minorEastAsia" w:cstheme="minorEastAsia"/>
                <w:sz w:val="24"/>
                <w:szCs w:val="24"/>
              </w:rPr>
            </w:pPr>
            <w:r>
              <w:rPr>
                <w:rFonts w:hint="eastAsia" w:ascii="仿宋_GB2312" w:eastAsia="仿宋_GB2312" w:hAnsiTheme="minorEastAsia" w:cstheme="minorEastAsia"/>
                <w:sz w:val="24"/>
                <w:szCs w:val="24"/>
              </w:rPr>
              <w:t>单价</w:t>
            </w:r>
          </w:p>
        </w:tc>
        <w:tc>
          <w:tcPr>
            <w:tcW w:w="708" w:type="dxa"/>
            <w:vAlign w:val="center"/>
          </w:tcPr>
          <w:p>
            <w:pPr>
              <w:pStyle w:val="57"/>
              <w:spacing w:line="360" w:lineRule="auto"/>
              <w:ind w:left="480" w:hanging="480"/>
              <w:jc w:val="center"/>
              <w:rPr>
                <w:rFonts w:ascii="仿宋_GB2312" w:eastAsia="仿宋_GB2312" w:hAnsiTheme="minorEastAsia" w:cstheme="minorEastAsia"/>
                <w:sz w:val="24"/>
                <w:szCs w:val="24"/>
              </w:rPr>
            </w:pPr>
            <w:r>
              <w:rPr>
                <w:rFonts w:hint="eastAsia" w:ascii="仿宋_GB2312" w:eastAsia="仿宋_GB2312" w:hAnsiTheme="minorEastAsia" w:cstheme="minorEastAsia"/>
                <w:sz w:val="24"/>
                <w:szCs w:val="24"/>
              </w:rPr>
              <w:t>总价</w:t>
            </w:r>
          </w:p>
        </w:tc>
        <w:tc>
          <w:tcPr>
            <w:tcW w:w="708" w:type="dxa"/>
            <w:vAlign w:val="center"/>
          </w:tcPr>
          <w:p>
            <w:pPr>
              <w:pStyle w:val="57"/>
              <w:spacing w:line="360" w:lineRule="auto"/>
              <w:ind w:left="480" w:hanging="480"/>
              <w:jc w:val="center"/>
              <w:rPr>
                <w:rFonts w:ascii="仿宋_GB2312" w:eastAsia="仿宋_GB2312" w:hAnsiTheme="minorEastAsia" w:cstheme="minorEastAsia"/>
                <w:sz w:val="24"/>
                <w:szCs w:val="24"/>
              </w:rPr>
            </w:pPr>
            <w:r>
              <w:rPr>
                <w:rFonts w:hint="eastAsia" w:ascii="仿宋_GB2312" w:eastAsia="仿宋_GB2312" w:hAnsiTheme="minorEastAsia" w:cstheme="minorEastAsia"/>
                <w:sz w:val="24"/>
                <w:szCs w:val="24"/>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89" w:type="dxa"/>
            <w:vAlign w:val="center"/>
          </w:tcPr>
          <w:p>
            <w:pPr>
              <w:pStyle w:val="57"/>
              <w:spacing w:line="360" w:lineRule="auto"/>
              <w:ind w:left="480" w:hanging="480"/>
              <w:jc w:val="center"/>
              <w:rPr>
                <w:rFonts w:ascii="仿宋_GB2312" w:eastAsia="仿宋_GB2312" w:hAnsiTheme="minorEastAsia" w:cstheme="minorEastAsia"/>
                <w:sz w:val="24"/>
                <w:szCs w:val="24"/>
              </w:rPr>
            </w:pPr>
            <w:r>
              <w:rPr>
                <w:rFonts w:hint="eastAsia" w:ascii="仿宋_GB2312" w:eastAsia="仿宋_GB2312" w:hAnsiTheme="minorEastAsia" w:cstheme="minorEastAsia"/>
                <w:sz w:val="24"/>
                <w:szCs w:val="24"/>
              </w:rPr>
              <w:t>1</w:t>
            </w:r>
          </w:p>
        </w:tc>
        <w:tc>
          <w:tcPr>
            <w:tcW w:w="1541" w:type="dxa"/>
            <w:vAlign w:val="center"/>
          </w:tcPr>
          <w:p>
            <w:pPr>
              <w:pStyle w:val="57"/>
              <w:spacing w:line="360" w:lineRule="auto"/>
              <w:ind w:left="480" w:hanging="480"/>
              <w:jc w:val="center"/>
              <w:rPr>
                <w:rFonts w:ascii="仿宋_GB2312" w:eastAsia="仿宋_GB2312" w:hAnsiTheme="minorEastAsia" w:cstheme="minorEastAsia"/>
                <w:sz w:val="24"/>
                <w:szCs w:val="24"/>
              </w:rPr>
            </w:pPr>
          </w:p>
        </w:tc>
        <w:tc>
          <w:tcPr>
            <w:tcW w:w="2126" w:type="dxa"/>
            <w:vAlign w:val="center"/>
          </w:tcPr>
          <w:p>
            <w:pPr>
              <w:pStyle w:val="57"/>
              <w:spacing w:line="360" w:lineRule="auto"/>
              <w:ind w:left="480" w:hanging="480"/>
              <w:jc w:val="center"/>
              <w:rPr>
                <w:rFonts w:ascii="仿宋_GB2312" w:eastAsia="仿宋_GB2312" w:hAnsiTheme="minorEastAsia" w:cstheme="minorEastAsia"/>
                <w:sz w:val="24"/>
                <w:szCs w:val="24"/>
              </w:rPr>
            </w:pPr>
          </w:p>
        </w:tc>
        <w:tc>
          <w:tcPr>
            <w:tcW w:w="748" w:type="dxa"/>
            <w:vAlign w:val="center"/>
          </w:tcPr>
          <w:p>
            <w:pPr>
              <w:pStyle w:val="57"/>
              <w:spacing w:line="360" w:lineRule="auto"/>
              <w:ind w:left="480" w:hanging="480"/>
              <w:jc w:val="center"/>
              <w:rPr>
                <w:rFonts w:ascii="仿宋_GB2312" w:eastAsia="仿宋_GB2312" w:hAnsiTheme="minorEastAsia" w:cstheme="minorEastAsia"/>
                <w:sz w:val="24"/>
                <w:szCs w:val="24"/>
              </w:rPr>
            </w:pPr>
          </w:p>
        </w:tc>
        <w:tc>
          <w:tcPr>
            <w:tcW w:w="812" w:type="dxa"/>
            <w:vAlign w:val="center"/>
          </w:tcPr>
          <w:p>
            <w:pPr>
              <w:pStyle w:val="57"/>
              <w:spacing w:line="360" w:lineRule="auto"/>
              <w:ind w:left="480" w:hanging="480"/>
              <w:jc w:val="center"/>
              <w:rPr>
                <w:rFonts w:ascii="仿宋_GB2312" w:eastAsia="仿宋_GB2312" w:hAnsiTheme="minorEastAsia" w:cstheme="minorEastAsia"/>
                <w:sz w:val="24"/>
                <w:szCs w:val="24"/>
              </w:rPr>
            </w:pPr>
          </w:p>
        </w:tc>
        <w:tc>
          <w:tcPr>
            <w:tcW w:w="708" w:type="dxa"/>
            <w:vAlign w:val="center"/>
          </w:tcPr>
          <w:p>
            <w:pPr>
              <w:pStyle w:val="57"/>
              <w:spacing w:line="360" w:lineRule="auto"/>
              <w:ind w:left="480" w:hanging="480"/>
              <w:jc w:val="center"/>
              <w:rPr>
                <w:rFonts w:ascii="仿宋_GB2312" w:eastAsia="仿宋_GB2312" w:hAnsiTheme="minorEastAsia" w:cstheme="minorEastAsia"/>
                <w:sz w:val="24"/>
                <w:szCs w:val="24"/>
              </w:rPr>
            </w:pPr>
          </w:p>
        </w:tc>
        <w:tc>
          <w:tcPr>
            <w:tcW w:w="708" w:type="dxa"/>
            <w:vAlign w:val="center"/>
          </w:tcPr>
          <w:p>
            <w:pPr>
              <w:pStyle w:val="57"/>
              <w:spacing w:line="360" w:lineRule="auto"/>
              <w:ind w:left="480" w:hanging="480"/>
              <w:jc w:val="center"/>
              <w:rPr>
                <w:rFonts w:ascii="仿宋_GB2312" w:eastAsia="仿宋_GB2312" w:hAnsiTheme="minorEastAsia" w:cstheme="minorEastAsia"/>
                <w:sz w:val="24"/>
                <w:szCs w:val="24"/>
              </w:rPr>
            </w:pPr>
          </w:p>
        </w:tc>
        <w:tc>
          <w:tcPr>
            <w:tcW w:w="708" w:type="dxa"/>
            <w:vAlign w:val="center"/>
          </w:tcPr>
          <w:p>
            <w:pPr>
              <w:pStyle w:val="57"/>
              <w:spacing w:line="360" w:lineRule="auto"/>
              <w:ind w:left="480" w:hanging="480"/>
              <w:jc w:val="center"/>
              <w:rPr>
                <w:rFonts w:ascii="仿宋_GB2312" w:eastAsia="仿宋_GB2312"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89" w:type="dxa"/>
            <w:vAlign w:val="center"/>
          </w:tcPr>
          <w:p>
            <w:pPr>
              <w:pStyle w:val="57"/>
              <w:spacing w:line="360" w:lineRule="auto"/>
              <w:ind w:left="480" w:hanging="480"/>
              <w:jc w:val="center"/>
              <w:rPr>
                <w:rFonts w:ascii="仿宋_GB2312" w:eastAsia="仿宋_GB2312" w:hAnsiTheme="minorEastAsia" w:cstheme="minorEastAsia"/>
                <w:sz w:val="24"/>
                <w:szCs w:val="24"/>
              </w:rPr>
            </w:pPr>
            <w:r>
              <w:rPr>
                <w:rFonts w:hint="eastAsia" w:ascii="仿宋_GB2312" w:eastAsia="仿宋_GB2312" w:hAnsiTheme="minorEastAsia" w:cstheme="minorEastAsia"/>
                <w:sz w:val="24"/>
                <w:szCs w:val="24"/>
              </w:rPr>
              <w:t>2</w:t>
            </w:r>
          </w:p>
        </w:tc>
        <w:tc>
          <w:tcPr>
            <w:tcW w:w="1541" w:type="dxa"/>
            <w:vAlign w:val="center"/>
          </w:tcPr>
          <w:p>
            <w:pPr>
              <w:pStyle w:val="57"/>
              <w:spacing w:line="360" w:lineRule="auto"/>
              <w:ind w:left="480" w:hanging="480"/>
              <w:jc w:val="center"/>
              <w:rPr>
                <w:rFonts w:ascii="仿宋_GB2312" w:eastAsia="仿宋_GB2312" w:hAnsiTheme="minorEastAsia" w:cstheme="minorEastAsia"/>
                <w:sz w:val="24"/>
                <w:szCs w:val="24"/>
              </w:rPr>
            </w:pPr>
          </w:p>
        </w:tc>
        <w:tc>
          <w:tcPr>
            <w:tcW w:w="2126" w:type="dxa"/>
            <w:vAlign w:val="center"/>
          </w:tcPr>
          <w:p>
            <w:pPr>
              <w:pStyle w:val="57"/>
              <w:spacing w:line="360" w:lineRule="auto"/>
              <w:ind w:left="480" w:hanging="480"/>
              <w:jc w:val="center"/>
              <w:rPr>
                <w:rFonts w:ascii="仿宋_GB2312" w:eastAsia="仿宋_GB2312" w:hAnsiTheme="minorEastAsia" w:cstheme="minorEastAsia"/>
                <w:sz w:val="24"/>
                <w:szCs w:val="24"/>
              </w:rPr>
            </w:pPr>
          </w:p>
        </w:tc>
        <w:tc>
          <w:tcPr>
            <w:tcW w:w="748" w:type="dxa"/>
            <w:vAlign w:val="center"/>
          </w:tcPr>
          <w:p>
            <w:pPr>
              <w:pStyle w:val="57"/>
              <w:spacing w:line="360" w:lineRule="auto"/>
              <w:ind w:left="480" w:hanging="480"/>
              <w:jc w:val="center"/>
              <w:rPr>
                <w:rFonts w:ascii="仿宋_GB2312" w:eastAsia="仿宋_GB2312" w:hAnsiTheme="minorEastAsia" w:cstheme="minorEastAsia"/>
                <w:sz w:val="24"/>
                <w:szCs w:val="24"/>
              </w:rPr>
            </w:pPr>
          </w:p>
        </w:tc>
        <w:tc>
          <w:tcPr>
            <w:tcW w:w="812" w:type="dxa"/>
            <w:vAlign w:val="center"/>
          </w:tcPr>
          <w:p>
            <w:pPr>
              <w:pStyle w:val="57"/>
              <w:spacing w:line="360" w:lineRule="auto"/>
              <w:ind w:left="480" w:hanging="480"/>
              <w:jc w:val="center"/>
              <w:rPr>
                <w:rFonts w:ascii="仿宋_GB2312" w:eastAsia="仿宋_GB2312" w:hAnsiTheme="minorEastAsia" w:cstheme="minorEastAsia"/>
                <w:sz w:val="24"/>
                <w:szCs w:val="24"/>
              </w:rPr>
            </w:pPr>
          </w:p>
        </w:tc>
        <w:tc>
          <w:tcPr>
            <w:tcW w:w="708" w:type="dxa"/>
            <w:vAlign w:val="center"/>
          </w:tcPr>
          <w:p>
            <w:pPr>
              <w:pStyle w:val="57"/>
              <w:spacing w:line="360" w:lineRule="auto"/>
              <w:ind w:left="480" w:hanging="480"/>
              <w:jc w:val="center"/>
              <w:rPr>
                <w:rFonts w:ascii="仿宋_GB2312" w:eastAsia="仿宋_GB2312" w:hAnsiTheme="minorEastAsia" w:cstheme="minorEastAsia"/>
                <w:sz w:val="24"/>
                <w:szCs w:val="24"/>
              </w:rPr>
            </w:pPr>
          </w:p>
        </w:tc>
        <w:tc>
          <w:tcPr>
            <w:tcW w:w="708" w:type="dxa"/>
            <w:vAlign w:val="center"/>
          </w:tcPr>
          <w:p>
            <w:pPr>
              <w:pStyle w:val="57"/>
              <w:spacing w:line="360" w:lineRule="auto"/>
              <w:ind w:left="480" w:hanging="480"/>
              <w:jc w:val="center"/>
              <w:rPr>
                <w:rFonts w:ascii="仿宋_GB2312" w:eastAsia="仿宋_GB2312" w:hAnsiTheme="minorEastAsia" w:cstheme="minorEastAsia"/>
                <w:sz w:val="24"/>
                <w:szCs w:val="24"/>
              </w:rPr>
            </w:pPr>
          </w:p>
        </w:tc>
        <w:tc>
          <w:tcPr>
            <w:tcW w:w="708" w:type="dxa"/>
            <w:vAlign w:val="center"/>
          </w:tcPr>
          <w:p>
            <w:pPr>
              <w:pStyle w:val="57"/>
              <w:spacing w:line="360" w:lineRule="auto"/>
              <w:ind w:left="480" w:hanging="480"/>
              <w:jc w:val="center"/>
              <w:rPr>
                <w:rFonts w:ascii="仿宋_GB2312" w:eastAsia="仿宋_GB2312"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89" w:type="dxa"/>
            <w:vAlign w:val="center"/>
          </w:tcPr>
          <w:p>
            <w:pPr>
              <w:pStyle w:val="57"/>
              <w:spacing w:line="360" w:lineRule="auto"/>
              <w:ind w:left="480" w:hanging="480"/>
              <w:jc w:val="center"/>
              <w:rPr>
                <w:rFonts w:ascii="仿宋_GB2312" w:eastAsia="仿宋_GB2312" w:hAnsiTheme="minorEastAsia" w:cstheme="minorEastAsia"/>
                <w:sz w:val="24"/>
                <w:szCs w:val="24"/>
              </w:rPr>
            </w:pPr>
            <w:r>
              <w:rPr>
                <w:rFonts w:hint="eastAsia" w:ascii="仿宋_GB2312" w:eastAsia="仿宋_GB2312" w:hAnsiTheme="minorEastAsia" w:cstheme="minorEastAsia"/>
                <w:sz w:val="24"/>
                <w:szCs w:val="24"/>
              </w:rPr>
              <w:t>…</w:t>
            </w:r>
          </w:p>
        </w:tc>
        <w:tc>
          <w:tcPr>
            <w:tcW w:w="1541" w:type="dxa"/>
            <w:vAlign w:val="center"/>
          </w:tcPr>
          <w:p>
            <w:pPr>
              <w:pStyle w:val="57"/>
              <w:spacing w:line="360" w:lineRule="auto"/>
              <w:ind w:left="480" w:hanging="480"/>
              <w:jc w:val="center"/>
              <w:rPr>
                <w:rFonts w:ascii="仿宋_GB2312" w:eastAsia="仿宋_GB2312" w:hAnsiTheme="minorEastAsia" w:cstheme="minorEastAsia"/>
                <w:sz w:val="24"/>
                <w:szCs w:val="24"/>
              </w:rPr>
            </w:pPr>
          </w:p>
        </w:tc>
        <w:tc>
          <w:tcPr>
            <w:tcW w:w="2126" w:type="dxa"/>
            <w:vAlign w:val="center"/>
          </w:tcPr>
          <w:p>
            <w:pPr>
              <w:pStyle w:val="57"/>
              <w:spacing w:line="360" w:lineRule="auto"/>
              <w:ind w:left="480" w:hanging="480"/>
              <w:jc w:val="center"/>
              <w:rPr>
                <w:rFonts w:ascii="仿宋_GB2312" w:eastAsia="仿宋_GB2312" w:hAnsiTheme="minorEastAsia" w:cstheme="minorEastAsia"/>
                <w:sz w:val="24"/>
                <w:szCs w:val="24"/>
              </w:rPr>
            </w:pPr>
          </w:p>
        </w:tc>
        <w:tc>
          <w:tcPr>
            <w:tcW w:w="748" w:type="dxa"/>
            <w:vAlign w:val="center"/>
          </w:tcPr>
          <w:p>
            <w:pPr>
              <w:pStyle w:val="57"/>
              <w:spacing w:line="360" w:lineRule="auto"/>
              <w:ind w:left="480" w:hanging="480"/>
              <w:jc w:val="center"/>
              <w:rPr>
                <w:rFonts w:ascii="仿宋_GB2312" w:eastAsia="仿宋_GB2312" w:hAnsiTheme="minorEastAsia" w:cstheme="minorEastAsia"/>
                <w:sz w:val="24"/>
                <w:szCs w:val="24"/>
              </w:rPr>
            </w:pPr>
          </w:p>
        </w:tc>
        <w:tc>
          <w:tcPr>
            <w:tcW w:w="812" w:type="dxa"/>
            <w:vAlign w:val="center"/>
          </w:tcPr>
          <w:p>
            <w:pPr>
              <w:pStyle w:val="57"/>
              <w:spacing w:line="360" w:lineRule="auto"/>
              <w:ind w:left="480" w:hanging="480"/>
              <w:jc w:val="center"/>
              <w:rPr>
                <w:rFonts w:ascii="仿宋_GB2312" w:eastAsia="仿宋_GB2312" w:hAnsiTheme="minorEastAsia" w:cstheme="minorEastAsia"/>
                <w:sz w:val="24"/>
                <w:szCs w:val="24"/>
              </w:rPr>
            </w:pPr>
          </w:p>
        </w:tc>
        <w:tc>
          <w:tcPr>
            <w:tcW w:w="708" w:type="dxa"/>
            <w:vAlign w:val="center"/>
          </w:tcPr>
          <w:p>
            <w:pPr>
              <w:pStyle w:val="57"/>
              <w:spacing w:line="360" w:lineRule="auto"/>
              <w:ind w:left="480" w:hanging="480"/>
              <w:jc w:val="center"/>
              <w:rPr>
                <w:rFonts w:ascii="仿宋_GB2312" w:eastAsia="仿宋_GB2312" w:hAnsiTheme="minorEastAsia" w:cstheme="minorEastAsia"/>
                <w:sz w:val="24"/>
                <w:szCs w:val="24"/>
              </w:rPr>
            </w:pPr>
          </w:p>
        </w:tc>
        <w:tc>
          <w:tcPr>
            <w:tcW w:w="708" w:type="dxa"/>
            <w:vAlign w:val="center"/>
          </w:tcPr>
          <w:p>
            <w:pPr>
              <w:pStyle w:val="57"/>
              <w:spacing w:line="360" w:lineRule="auto"/>
              <w:ind w:left="480" w:hanging="480"/>
              <w:jc w:val="center"/>
              <w:rPr>
                <w:rFonts w:ascii="仿宋_GB2312" w:eastAsia="仿宋_GB2312" w:hAnsiTheme="minorEastAsia" w:cstheme="minorEastAsia"/>
                <w:sz w:val="24"/>
                <w:szCs w:val="24"/>
              </w:rPr>
            </w:pPr>
          </w:p>
        </w:tc>
        <w:tc>
          <w:tcPr>
            <w:tcW w:w="708" w:type="dxa"/>
            <w:vAlign w:val="center"/>
          </w:tcPr>
          <w:p>
            <w:pPr>
              <w:pStyle w:val="57"/>
              <w:spacing w:line="360" w:lineRule="auto"/>
              <w:ind w:left="480" w:hanging="480"/>
              <w:jc w:val="center"/>
              <w:rPr>
                <w:rFonts w:ascii="仿宋_GB2312" w:eastAsia="仿宋_GB2312"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89" w:type="dxa"/>
            <w:vAlign w:val="center"/>
          </w:tcPr>
          <w:p>
            <w:pPr>
              <w:pStyle w:val="57"/>
              <w:spacing w:line="360" w:lineRule="auto"/>
              <w:ind w:left="480" w:hanging="480"/>
              <w:jc w:val="center"/>
              <w:rPr>
                <w:rFonts w:ascii="仿宋_GB2312" w:eastAsia="仿宋_GB2312" w:hAnsiTheme="minorEastAsia" w:cstheme="minorEastAsia"/>
                <w:sz w:val="24"/>
                <w:szCs w:val="24"/>
              </w:rPr>
            </w:pPr>
            <w:r>
              <w:rPr>
                <w:rFonts w:hint="eastAsia" w:ascii="仿宋_GB2312" w:eastAsia="仿宋_GB2312" w:hAnsiTheme="minorEastAsia" w:cstheme="minorEastAsia"/>
                <w:sz w:val="24"/>
                <w:szCs w:val="24"/>
              </w:rPr>
              <w:t>合计</w:t>
            </w:r>
          </w:p>
        </w:tc>
        <w:tc>
          <w:tcPr>
            <w:tcW w:w="1541" w:type="dxa"/>
            <w:vAlign w:val="center"/>
          </w:tcPr>
          <w:p>
            <w:pPr>
              <w:pStyle w:val="57"/>
              <w:spacing w:line="360" w:lineRule="auto"/>
              <w:ind w:left="480" w:hanging="480"/>
              <w:jc w:val="center"/>
              <w:rPr>
                <w:rFonts w:ascii="仿宋_GB2312" w:eastAsia="仿宋_GB2312" w:hAnsiTheme="minorEastAsia" w:cstheme="minorEastAsia"/>
                <w:sz w:val="24"/>
                <w:szCs w:val="24"/>
              </w:rPr>
            </w:pPr>
          </w:p>
        </w:tc>
        <w:tc>
          <w:tcPr>
            <w:tcW w:w="2126" w:type="dxa"/>
            <w:vAlign w:val="center"/>
          </w:tcPr>
          <w:p>
            <w:pPr>
              <w:pStyle w:val="57"/>
              <w:spacing w:line="360" w:lineRule="auto"/>
              <w:ind w:left="480" w:hanging="480"/>
              <w:jc w:val="center"/>
              <w:rPr>
                <w:rFonts w:ascii="仿宋_GB2312" w:eastAsia="仿宋_GB2312" w:hAnsiTheme="minorEastAsia" w:cstheme="minorEastAsia"/>
                <w:sz w:val="24"/>
                <w:szCs w:val="24"/>
              </w:rPr>
            </w:pPr>
          </w:p>
        </w:tc>
        <w:tc>
          <w:tcPr>
            <w:tcW w:w="748" w:type="dxa"/>
            <w:vAlign w:val="center"/>
          </w:tcPr>
          <w:p>
            <w:pPr>
              <w:pStyle w:val="57"/>
              <w:spacing w:line="360" w:lineRule="auto"/>
              <w:ind w:left="480" w:hanging="480"/>
              <w:jc w:val="center"/>
              <w:rPr>
                <w:rFonts w:ascii="仿宋_GB2312" w:eastAsia="仿宋_GB2312" w:hAnsiTheme="minorEastAsia" w:cstheme="minorEastAsia"/>
                <w:sz w:val="24"/>
                <w:szCs w:val="24"/>
              </w:rPr>
            </w:pPr>
          </w:p>
        </w:tc>
        <w:tc>
          <w:tcPr>
            <w:tcW w:w="812" w:type="dxa"/>
            <w:vAlign w:val="center"/>
          </w:tcPr>
          <w:p>
            <w:pPr>
              <w:pStyle w:val="57"/>
              <w:spacing w:line="360" w:lineRule="auto"/>
              <w:ind w:left="480" w:hanging="480"/>
              <w:jc w:val="center"/>
              <w:rPr>
                <w:rFonts w:ascii="仿宋_GB2312" w:eastAsia="仿宋_GB2312" w:hAnsiTheme="minorEastAsia" w:cstheme="minorEastAsia"/>
                <w:sz w:val="24"/>
                <w:szCs w:val="24"/>
              </w:rPr>
            </w:pPr>
          </w:p>
        </w:tc>
        <w:tc>
          <w:tcPr>
            <w:tcW w:w="708" w:type="dxa"/>
            <w:vAlign w:val="center"/>
          </w:tcPr>
          <w:p>
            <w:pPr>
              <w:spacing w:line="360" w:lineRule="auto"/>
              <w:jc w:val="center"/>
              <w:rPr>
                <w:rFonts w:ascii="仿宋_GB2312" w:eastAsia="仿宋_GB2312" w:hAnsiTheme="minorEastAsia" w:cstheme="minorEastAsia"/>
                <w:sz w:val="24"/>
                <w:szCs w:val="24"/>
              </w:rPr>
            </w:pPr>
          </w:p>
        </w:tc>
        <w:tc>
          <w:tcPr>
            <w:tcW w:w="708" w:type="dxa"/>
            <w:vAlign w:val="center"/>
          </w:tcPr>
          <w:p>
            <w:pPr>
              <w:spacing w:line="360" w:lineRule="auto"/>
              <w:jc w:val="center"/>
              <w:rPr>
                <w:rFonts w:ascii="仿宋_GB2312" w:eastAsia="仿宋_GB2312" w:hAnsiTheme="minorEastAsia" w:cstheme="minorEastAsia"/>
                <w:sz w:val="24"/>
                <w:szCs w:val="24"/>
              </w:rPr>
            </w:pPr>
          </w:p>
        </w:tc>
        <w:tc>
          <w:tcPr>
            <w:tcW w:w="708" w:type="dxa"/>
            <w:vAlign w:val="center"/>
          </w:tcPr>
          <w:p>
            <w:pPr>
              <w:spacing w:line="360" w:lineRule="auto"/>
              <w:jc w:val="center"/>
              <w:rPr>
                <w:rFonts w:ascii="仿宋_GB2312" w:eastAsia="仿宋_GB2312" w:hAnsiTheme="minorEastAsia" w:cstheme="minorEastAsia"/>
                <w:sz w:val="24"/>
                <w:szCs w:val="24"/>
              </w:rPr>
            </w:pPr>
          </w:p>
        </w:tc>
      </w:tr>
    </w:tbl>
    <w:p>
      <w:pPr>
        <w:pStyle w:val="2"/>
        <w:ind w:left="0"/>
        <w:jc w:val="both"/>
        <w:rPr>
          <w:rFonts w:asciiTheme="minorEastAsia" w:hAnsiTheme="minorEastAsia" w:eastAsiaTheme="minorEastAsia" w:cstheme="minorEastAsia"/>
          <w:sz w:val="20"/>
        </w:rPr>
      </w:pPr>
      <w:bookmarkStart w:id="227" w:name="_Toc25120"/>
      <w:bookmarkStart w:id="228" w:name="_Toc5379"/>
      <w:bookmarkStart w:id="229" w:name="_Toc16330037"/>
      <w:bookmarkStart w:id="230" w:name="_Toc24623"/>
      <w:bookmarkStart w:id="231" w:name="_Toc3778"/>
    </w:p>
    <w:p>
      <w:pPr>
        <w:jc w:val="both"/>
        <w:rPr>
          <w:rFonts w:hint="eastAsia" w:ascii="黑体" w:hAnsi="黑体" w:eastAsia="黑体" w:cstheme="minorEastAsia"/>
          <w:b w:val="0"/>
          <w:sz w:val="28"/>
          <w:szCs w:val="28"/>
        </w:rPr>
      </w:pPr>
      <w:r>
        <w:rPr>
          <w:rFonts w:hint="eastAsia" w:ascii="黑体" w:hAnsi="黑体" w:eastAsia="黑体" w:cstheme="minorEastAsia"/>
          <w:b w:val="0"/>
          <w:sz w:val="28"/>
          <w:szCs w:val="28"/>
        </w:rPr>
        <w:t xml:space="preserve">附件二 </w:t>
      </w:r>
      <w:bookmarkEnd w:id="227"/>
      <w:bookmarkEnd w:id="228"/>
      <w:bookmarkEnd w:id="229"/>
      <w:bookmarkEnd w:id="230"/>
      <w:bookmarkEnd w:id="231"/>
      <w:r>
        <w:rPr>
          <w:rFonts w:hint="eastAsia" w:ascii="黑体" w:hAnsi="黑体" w:eastAsia="黑体" w:cstheme="minorEastAsia"/>
          <w:b w:val="0"/>
          <w:sz w:val="28"/>
          <w:szCs w:val="28"/>
        </w:rPr>
        <w:t>技术协议书</w:t>
      </w:r>
    </w:p>
    <w:p>
      <w:pPr>
        <w:jc w:val="center"/>
        <w:rPr>
          <w:rFonts w:ascii="宋体" w:hAnsi="宋体"/>
          <w:b/>
          <w:iCs/>
          <w:sz w:val="36"/>
          <w:szCs w:val="36"/>
        </w:rPr>
      </w:pPr>
      <w:r>
        <w:rPr>
          <w:rFonts w:hint="eastAsia" w:ascii="宋体" w:hAnsi="宋体" w:cs="宋体"/>
          <w:sz w:val="20"/>
          <w:szCs w:val="20"/>
        </w:rPr>
        <w:br w:type="page"/>
      </w:r>
      <w:bookmarkEnd w:id="135"/>
      <w:r>
        <w:rPr>
          <w:rFonts w:hint="eastAsia" w:ascii="宋体" w:hAnsi="宋体"/>
          <w:b/>
          <w:sz w:val="36"/>
          <w:szCs w:val="36"/>
        </w:rPr>
        <w:t>第六章</w:t>
      </w:r>
      <w:r>
        <w:rPr>
          <w:rFonts w:hint="eastAsia" w:ascii="宋体" w:hAnsi="宋体"/>
          <w:b/>
          <w:sz w:val="36"/>
          <w:szCs w:val="36"/>
          <w:lang w:val="en-US" w:eastAsia="zh-CN"/>
        </w:rPr>
        <w:t xml:space="preserve">  </w:t>
      </w:r>
      <w:r>
        <w:rPr>
          <w:rFonts w:hint="eastAsia" w:ascii="宋体" w:hAnsi="宋体"/>
          <w:b/>
          <w:sz w:val="36"/>
          <w:szCs w:val="36"/>
        </w:rPr>
        <w:t>附件</w:t>
      </w:r>
    </w:p>
    <w:p>
      <w:pPr>
        <w:pStyle w:val="62"/>
        <w:ind w:right="210"/>
        <w:rPr>
          <w:rFonts w:ascii="宋体" w:hAnsi="宋体"/>
        </w:rPr>
      </w:pPr>
    </w:p>
    <w:p>
      <w:pPr>
        <w:pStyle w:val="62"/>
        <w:ind w:right="210"/>
        <w:rPr>
          <w:rFonts w:ascii="宋体" w:hAnsi="宋体"/>
        </w:rPr>
      </w:pPr>
      <w:r>
        <w:rPr>
          <w:rFonts w:hint="eastAsia" w:ascii="宋体" w:hAnsi="宋体"/>
        </w:rPr>
        <w:t>说明：</w:t>
      </w:r>
    </w:p>
    <w:p>
      <w:pPr>
        <w:spacing w:line="560" w:lineRule="exact"/>
        <w:ind w:firstLine="480" w:firstLineChars="200"/>
        <w:rPr>
          <w:rFonts w:ascii="宋体" w:hAnsi="宋体"/>
          <w:sz w:val="24"/>
        </w:rPr>
      </w:pPr>
      <w:r>
        <w:rPr>
          <w:rFonts w:hint="eastAsia" w:ascii="宋体" w:hAnsi="宋体"/>
          <w:sz w:val="24"/>
        </w:rPr>
        <w:t>1、投标方须认真填写和提交本部分中的附件文件；</w:t>
      </w:r>
    </w:p>
    <w:p>
      <w:pPr>
        <w:spacing w:line="560" w:lineRule="exact"/>
        <w:ind w:firstLine="480" w:firstLineChars="200"/>
        <w:rPr>
          <w:rFonts w:ascii="宋体" w:hAnsi="宋体"/>
          <w:sz w:val="24"/>
        </w:rPr>
      </w:pPr>
      <w:r>
        <w:rPr>
          <w:rFonts w:hint="eastAsia" w:ascii="宋体" w:hAnsi="宋体"/>
          <w:sz w:val="24"/>
        </w:rPr>
        <w:t>2、对附件文件中所要求的内容应给予明确的答复；</w:t>
      </w:r>
    </w:p>
    <w:p>
      <w:pPr>
        <w:spacing w:line="560" w:lineRule="exact"/>
        <w:ind w:firstLine="480" w:firstLineChars="200"/>
        <w:rPr>
          <w:rFonts w:ascii="宋体" w:hAnsi="宋体"/>
          <w:sz w:val="24"/>
        </w:rPr>
      </w:pPr>
      <w:r>
        <w:rPr>
          <w:rFonts w:hint="eastAsia" w:ascii="宋体" w:hAnsi="宋体"/>
          <w:sz w:val="24"/>
        </w:rPr>
        <w:t>3、附件文件的签字人应保证其对一切问题的答复、所做的声明及出具的资格资质文件、资料等具有真实性和准确性；</w:t>
      </w:r>
    </w:p>
    <w:p>
      <w:pPr>
        <w:spacing w:line="560" w:lineRule="exact"/>
        <w:ind w:firstLine="480" w:firstLineChars="200"/>
        <w:rPr>
          <w:rFonts w:ascii="宋体" w:hAnsi="宋体"/>
          <w:sz w:val="24"/>
        </w:rPr>
      </w:pPr>
      <w:r>
        <w:rPr>
          <w:rFonts w:hint="eastAsia" w:ascii="宋体" w:hAnsi="宋体"/>
          <w:sz w:val="24"/>
        </w:rPr>
        <w:t>4、招标方将对投标方提交的文件、资料等内容予以保密，但不退还；</w:t>
      </w:r>
    </w:p>
    <w:p>
      <w:pPr>
        <w:spacing w:line="560" w:lineRule="exact"/>
        <w:ind w:firstLine="480" w:firstLineChars="200"/>
        <w:rPr>
          <w:rFonts w:ascii="宋体" w:hAnsi="宋体"/>
          <w:sz w:val="24"/>
        </w:rPr>
      </w:pPr>
      <w:r>
        <w:rPr>
          <w:rFonts w:hint="eastAsia" w:ascii="宋体" w:hAnsi="宋体"/>
          <w:sz w:val="24"/>
        </w:rPr>
        <w:t>5、所有附件文件应以中文书写，作为投标文件的组成部分。</w:t>
      </w:r>
    </w:p>
    <w:p/>
    <w:p/>
    <w:p/>
    <w:p>
      <w:pPr>
        <w:pStyle w:val="5"/>
        <w:spacing w:before="120" w:after="120" w:line="560" w:lineRule="exact"/>
        <w:rPr>
          <w:rFonts w:ascii="宋体" w:hAnsi="宋体" w:cs="宋体"/>
          <w:b w:val="0"/>
          <w:bCs w:val="0"/>
          <w:sz w:val="24"/>
          <w:szCs w:val="24"/>
        </w:rPr>
        <w:sectPr>
          <w:headerReference r:id="rId5" w:type="default"/>
          <w:footerReference r:id="rId6" w:type="default"/>
          <w:pgSz w:w="11907" w:h="16840"/>
          <w:pgMar w:top="1702" w:right="1418" w:bottom="1418" w:left="1418" w:header="851" w:footer="822" w:gutter="0"/>
          <w:cols w:space="720" w:num="1"/>
          <w:docGrid w:linePitch="290" w:charSpace="-3931"/>
        </w:sectPr>
      </w:pPr>
    </w:p>
    <w:p>
      <w:pPr>
        <w:pStyle w:val="5"/>
        <w:spacing w:before="120" w:after="120" w:line="560" w:lineRule="exact"/>
        <w:rPr>
          <w:rFonts w:ascii="宋体" w:hAnsi="宋体" w:cs="宋体"/>
          <w:b w:val="0"/>
          <w:bCs w:val="0"/>
          <w:sz w:val="24"/>
          <w:szCs w:val="24"/>
        </w:rPr>
      </w:pPr>
      <w:bookmarkStart w:id="232" w:name="_Toc9218"/>
      <w:r>
        <w:rPr>
          <w:rFonts w:hint="eastAsia" w:ascii="宋体" w:hAnsi="宋体" w:cs="宋体"/>
          <w:b w:val="0"/>
          <w:bCs w:val="0"/>
          <w:sz w:val="24"/>
          <w:szCs w:val="24"/>
        </w:rPr>
        <w:t>附件一：投标函</w:t>
      </w:r>
      <w:bookmarkEnd w:id="232"/>
    </w:p>
    <w:p>
      <w:pPr>
        <w:jc w:val="center"/>
        <w:rPr>
          <w:rFonts w:ascii="宋体" w:hAnsi="宋体"/>
          <w:b/>
          <w:bCs/>
          <w:sz w:val="36"/>
          <w:szCs w:val="36"/>
        </w:rPr>
      </w:pPr>
      <w:r>
        <w:rPr>
          <w:rFonts w:hint="eastAsia" w:ascii="宋体" w:hAnsi="宋体"/>
          <w:b/>
          <w:bCs/>
          <w:sz w:val="36"/>
          <w:szCs w:val="36"/>
        </w:rPr>
        <w:t>投标函</w:t>
      </w:r>
    </w:p>
    <w:p>
      <w:pPr>
        <w:pStyle w:val="44"/>
        <w:adjustRightInd w:val="0"/>
        <w:snapToGrid w:val="0"/>
        <w:spacing w:before="72" w:beforeLines="30" w:line="460" w:lineRule="exact"/>
        <w:ind w:left="0" w:leftChars="0"/>
        <w:rPr>
          <w:rFonts w:ascii="宋体" w:hAnsi="宋体"/>
          <w:i/>
          <w:iCs/>
          <w:sz w:val="24"/>
        </w:rPr>
      </w:pPr>
      <w:r>
        <w:rPr>
          <w:rFonts w:hint="eastAsia" w:ascii="宋体" w:hAnsi="宋体"/>
          <w:sz w:val="24"/>
          <w:u w:val="single"/>
        </w:rPr>
        <w:t>中国重汽集团济南商用车有限公司</w:t>
      </w:r>
      <w:r>
        <w:rPr>
          <w:rFonts w:hint="eastAsia" w:ascii="宋体" w:hAnsi="宋体"/>
          <w:kern w:val="2"/>
          <w:sz w:val="24"/>
        </w:rPr>
        <w:t>：</w:t>
      </w:r>
    </w:p>
    <w:p>
      <w:pPr>
        <w:spacing w:before="30" w:line="460" w:lineRule="exact"/>
        <w:ind w:firstLine="480" w:firstLineChars="200"/>
        <w:rPr>
          <w:rFonts w:ascii="宋体" w:hAnsi="宋体"/>
          <w:sz w:val="24"/>
        </w:rPr>
      </w:pPr>
      <w:r>
        <w:rPr>
          <w:rFonts w:hint="eastAsia" w:ascii="宋体" w:hAnsi="宋体"/>
          <w:sz w:val="24"/>
        </w:rPr>
        <w:t>按照《中华人民共和国招标投标法》等有关法律规定，我们根据项目名称为招标文件的要求，对</w:t>
      </w:r>
      <w:r>
        <w:rPr>
          <w:rFonts w:hint="eastAsia" w:ascii="宋体" w:hAnsi="宋体"/>
          <w:sz w:val="24"/>
          <w:u w:val="single"/>
        </w:rPr>
        <w:t xml:space="preserve">                 （</w:t>
      </w:r>
      <w:r>
        <w:rPr>
          <w:rFonts w:hint="eastAsia" w:ascii="宋体" w:hAnsi="宋体"/>
          <w:sz w:val="24"/>
        </w:rPr>
        <w:t>项目名称）（设备名称）进行投标。由投标方（全称）正式委托全权代表（姓名、职务）提交投标文件正本一份，副本四份，并保证所提供的全部资料的真实性、准确性。</w:t>
      </w:r>
    </w:p>
    <w:p>
      <w:pPr>
        <w:tabs>
          <w:tab w:val="left" w:pos="105"/>
        </w:tabs>
        <w:adjustRightInd w:val="0"/>
        <w:snapToGrid w:val="0"/>
        <w:spacing w:before="72" w:beforeLines="30" w:line="460" w:lineRule="exact"/>
        <w:ind w:firstLine="480" w:firstLineChars="200"/>
        <w:rPr>
          <w:rFonts w:ascii="宋体" w:hAnsi="宋体"/>
          <w:bCs/>
          <w:sz w:val="24"/>
        </w:rPr>
      </w:pPr>
      <w:r>
        <w:rPr>
          <w:rFonts w:hint="eastAsia" w:ascii="宋体" w:hAnsi="宋体"/>
          <w:bCs/>
          <w:sz w:val="24"/>
        </w:rPr>
        <w:t>（1）</w:t>
      </w:r>
      <w:r>
        <w:rPr>
          <w:rFonts w:hint="eastAsia" w:ascii="宋体" w:hAnsi="宋体"/>
          <w:sz w:val="24"/>
        </w:rPr>
        <w:t>如果我方的投标文件被接受，我方将履行招标文件中规定的每一项要求，并按我方投标文件中的承诺按期、保质、保量提供货物。</w:t>
      </w:r>
    </w:p>
    <w:p>
      <w:pPr>
        <w:tabs>
          <w:tab w:val="left" w:pos="105"/>
        </w:tabs>
        <w:adjustRightInd w:val="0"/>
        <w:snapToGrid w:val="0"/>
        <w:spacing w:before="72" w:beforeLines="30" w:line="460" w:lineRule="exact"/>
        <w:ind w:firstLine="480" w:firstLineChars="200"/>
        <w:rPr>
          <w:rFonts w:ascii="宋体" w:hAnsi="宋体"/>
          <w:bCs/>
          <w:sz w:val="24"/>
        </w:rPr>
      </w:pPr>
      <w:r>
        <w:rPr>
          <w:rFonts w:hint="eastAsia" w:ascii="宋体" w:hAnsi="宋体"/>
          <w:bCs/>
          <w:sz w:val="24"/>
        </w:rPr>
        <w:t>（2）</w:t>
      </w:r>
      <w:r>
        <w:rPr>
          <w:rFonts w:hint="eastAsia" w:ascii="宋体" w:hAnsi="宋体"/>
          <w:sz w:val="24"/>
        </w:rPr>
        <w:t>我方理解，最低报价不是中标的唯一条件，你们有选择中标人的权利。</w:t>
      </w:r>
    </w:p>
    <w:p>
      <w:pPr>
        <w:adjustRightInd w:val="0"/>
        <w:snapToGrid w:val="0"/>
        <w:spacing w:before="72" w:beforeLines="30" w:line="460" w:lineRule="exact"/>
        <w:ind w:firstLine="480" w:firstLineChars="200"/>
        <w:rPr>
          <w:rFonts w:ascii="宋体" w:hAnsi="宋体"/>
          <w:sz w:val="24"/>
        </w:rPr>
      </w:pPr>
      <w:r>
        <w:rPr>
          <w:rFonts w:hint="eastAsia" w:ascii="宋体" w:hAnsi="宋体"/>
          <w:sz w:val="24"/>
        </w:rPr>
        <w:t>（3）我方已详细检查所有招标文件、附件以及所提供的参考文件等，因模糊和误解产生的一切后果，由我方自负。</w:t>
      </w:r>
    </w:p>
    <w:p>
      <w:pPr>
        <w:adjustRightInd w:val="0"/>
        <w:snapToGrid w:val="0"/>
        <w:spacing w:before="72" w:beforeLines="30" w:line="460" w:lineRule="exact"/>
        <w:ind w:firstLine="480" w:firstLineChars="200"/>
        <w:rPr>
          <w:rFonts w:ascii="宋体" w:hAnsi="宋体"/>
          <w:sz w:val="24"/>
        </w:rPr>
      </w:pPr>
      <w:r>
        <w:rPr>
          <w:rFonts w:hint="eastAsia" w:ascii="宋体" w:hAnsi="宋体"/>
          <w:sz w:val="24"/>
        </w:rPr>
        <w:t>（4）投标文件在公开报价后90天内有效。如果我方在规定公开报价后的有效期内撤回递交投标文件，将被没收投标保证金。</w:t>
      </w:r>
    </w:p>
    <w:p>
      <w:pPr>
        <w:adjustRightInd w:val="0"/>
        <w:snapToGrid w:val="0"/>
        <w:spacing w:before="72" w:beforeLines="30" w:line="460" w:lineRule="exact"/>
        <w:ind w:firstLine="480" w:firstLineChars="200"/>
        <w:rPr>
          <w:rFonts w:ascii="宋体" w:hAnsi="宋体"/>
          <w:sz w:val="24"/>
        </w:rPr>
      </w:pPr>
      <w:r>
        <w:rPr>
          <w:rFonts w:hint="eastAsia" w:ascii="宋体" w:hAnsi="宋体"/>
          <w:sz w:val="24"/>
        </w:rPr>
        <w:t>（5）我方同意招标方的要求，提供与递交投标文件有关的其他数据和资料。</w:t>
      </w:r>
    </w:p>
    <w:p>
      <w:pPr>
        <w:adjustRightInd w:val="0"/>
        <w:snapToGrid w:val="0"/>
        <w:spacing w:before="72" w:beforeLines="30" w:line="460" w:lineRule="exact"/>
        <w:ind w:firstLine="480" w:firstLineChars="200"/>
        <w:rPr>
          <w:rFonts w:ascii="宋体" w:hAnsi="宋体"/>
          <w:sz w:val="24"/>
        </w:rPr>
      </w:pPr>
      <w:r>
        <w:rPr>
          <w:rFonts w:hint="eastAsia" w:ascii="宋体" w:hAnsi="宋体"/>
          <w:bCs/>
          <w:sz w:val="24"/>
        </w:rPr>
        <w:t>（6）我方愿按《中华人民共和国合同法》履行自己的全部责任。</w:t>
      </w:r>
    </w:p>
    <w:p>
      <w:pPr>
        <w:adjustRightInd w:val="0"/>
        <w:snapToGrid w:val="0"/>
        <w:spacing w:before="72" w:beforeLines="30" w:line="460" w:lineRule="exact"/>
        <w:ind w:firstLine="480" w:firstLineChars="200"/>
        <w:rPr>
          <w:rFonts w:ascii="宋体" w:hAnsi="宋体"/>
          <w:sz w:val="24"/>
        </w:rPr>
      </w:pPr>
      <w:r>
        <w:rPr>
          <w:rFonts w:hint="eastAsia" w:ascii="宋体" w:hAnsi="宋体"/>
          <w:sz w:val="24"/>
        </w:rPr>
        <w:t>（7）我方若未</w:t>
      </w:r>
      <w:r>
        <w:rPr>
          <w:rFonts w:hint="eastAsia" w:ascii="宋体" w:hAnsi="宋体"/>
          <w:bCs/>
          <w:sz w:val="24"/>
        </w:rPr>
        <w:t>成为中标人</w:t>
      </w:r>
      <w:r>
        <w:rPr>
          <w:rFonts w:hint="eastAsia" w:ascii="宋体" w:hAnsi="宋体"/>
          <w:sz w:val="24"/>
        </w:rPr>
        <w:t>，招标方有权不做任何解释。</w:t>
      </w:r>
    </w:p>
    <w:p>
      <w:pPr>
        <w:adjustRightInd w:val="0"/>
        <w:snapToGrid w:val="0"/>
        <w:spacing w:before="72" w:beforeLines="30" w:line="460" w:lineRule="exact"/>
        <w:ind w:firstLine="480" w:firstLineChars="200"/>
        <w:rPr>
          <w:rFonts w:ascii="宋体" w:hAnsi="宋体"/>
          <w:sz w:val="24"/>
        </w:rPr>
      </w:pPr>
      <w:r>
        <w:rPr>
          <w:rFonts w:hint="eastAsia" w:ascii="宋体" w:hAnsi="宋体"/>
          <w:sz w:val="24"/>
        </w:rPr>
        <w:t>（8）我方同意按招标文件规定交纳投标保证金、中标服务费，遵守贵机构有关招标的各项规定。</w:t>
      </w:r>
    </w:p>
    <w:p>
      <w:pPr>
        <w:pStyle w:val="31"/>
        <w:spacing w:after="0" w:line="460" w:lineRule="exact"/>
        <w:ind w:left="-2" w:firstLine="480"/>
        <w:rPr>
          <w:rFonts w:ascii="宋体" w:hAnsi="宋体"/>
          <w:sz w:val="24"/>
        </w:rPr>
      </w:pPr>
      <w:r>
        <w:rPr>
          <w:rFonts w:hint="eastAsia" w:ascii="宋体" w:hAnsi="宋体"/>
          <w:sz w:val="24"/>
        </w:rPr>
        <w:t>（9）与本报价有关的所有往来信函，应按下列地址进行：</w:t>
      </w:r>
    </w:p>
    <w:p>
      <w:pPr>
        <w:tabs>
          <w:tab w:val="left" w:pos="6660"/>
        </w:tabs>
        <w:adjustRightInd w:val="0"/>
        <w:snapToGrid w:val="0"/>
        <w:spacing w:before="72" w:beforeLines="30"/>
        <w:ind w:firstLine="1200" w:firstLineChars="500"/>
        <w:rPr>
          <w:rFonts w:ascii="宋体" w:hAnsi="宋体"/>
          <w:sz w:val="24"/>
        </w:rPr>
      </w:pPr>
    </w:p>
    <w:p>
      <w:pPr>
        <w:tabs>
          <w:tab w:val="left" w:pos="6660"/>
        </w:tabs>
        <w:adjustRightInd w:val="0"/>
        <w:snapToGrid w:val="0"/>
        <w:spacing w:before="72" w:beforeLines="30"/>
        <w:ind w:firstLine="720" w:firstLineChars="300"/>
        <w:rPr>
          <w:rFonts w:ascii="宋体" w:hAnsi="宋体"/>
          <w:sz w:val="24"/>
        </w:rPr>
      </w:pPr>
      <w:r>
        <w:rPr>
          <w:rFonts w:hint="eastAsia" w:ascii="宋体" w:hAnsi="宋体"/>
          <w:sz w:val="24"/>
        </w:rPr>
        <w:t>地址：                           邮政编码：</w:t>
      </w:r>
    </w:p>
    <w:p>
      <w:pPr>
        <w:tabs>
          <w:tab w:val="left" w:pos="6660"/>
        </w:tabs>
        <w:adjustRightInd w:val="0"/>
        <w:snapToGrid w:val="0"/>
        <w:spacing w:before="72" w:beforeLines="30"/>
        <w:ind w:firstLine="720" w:firstLineChars="300"/>
        <w:rPr>
          <w:rFonts w:ascii="宋体" w:hAnsi="宋体"/>
          <w:sz w:val="24"/>
        </w:rPr>
      </w:pPr>
      <w:r>
        <w:rPr>
          <w:rFonts w:hint="eastAsia" w:ascii="宋体" w:hAnsi="宋体"/>
          <w:sz w:val="24"/>
        </w:rPr>
        <w:t>电话：                           传真：</w:t>
      </w:r>
    </w:p>
    <w:p>
      <w:pPr>
        <w:tabs>
          <w:tab w:val="left" w:pos="6660"/>
        </w:tabs>
        <w:adjustRightInd w:val="0"/>
        <w:snapToGrid w:val="0"/>
        <w:spacing w:before="72" w:beforeLines="30"/>
        <w:ind w:firstLine="720" w:firstLineChars="300"/>
        <w:rPr>
          <w:rFonts w:ascii="宋体" w:hAnsi="宋体"/>
          <w:sz w:val="24"/>
        </w:rPr>
      </w:pPr>
      <w:r>
        <w:rPr>
          <w:rFonts w:hint="eastAsia" w:ascii="宋体" w:hAnsi="宋体"/>
          <w:sz w:val="24"/>
        </w:rPr>
        <w:t>电子信箱：</w:t>
      </w:r>
    </w:p>
    <w:p>
      <w:pPr>
        <w:tabs>
          <w:tab w:val="left" w:pos="6660"/>
        </w:tabs>
        <w:adjustRightInd w:val="0"/>
        <w:snapToGrid w:val="0"/>
        <w:spacing w:before="72" w:beforeLines="30"/>
        <w:ind w:firstLine="720" w:firstLineChars="300"/>
        <w:rPr>
          <w:rFonts w:ascii="宋体" w:hAnsi="宋体"/>
          <w:sz w:val="24"/>
        </w:rPr>
      </w:pPr>
      <w:r>
        <w:rPr>
          <w:rFonts w:hint="eastAsia" w:ascii="宋体" w:hAnsi="宋体"/>
          <w:sz w:val="24"/>
        </w:rPr>
        <w:t>投标方全称：                     开户银行名称：</w:t>
      </w:r>
    </w:p>
    <w:p>
      <w:pPr>
        <w:tabs>
          <w:tab w:val="left" w:pos="6660"/>
        </w:tabs>
        <w:adjustRightInd w:val="0"/>
        <w:snapToGrid w:val="0"/>
        <w:spacing w:before="72" w:beforeLines="30"/>
        <w:ind w:firstLine="720" w:firstLineChars="300"/>
        <w:rPr>
          <w:rFonts w:ascii="宋体" w:hAnsi="宋体"/>
          <w:sz w:val="24"/>
        </w:rPr>
      </w:pPr>
      <w:r>
        <w:rPr>
          <w:rFonts w:hint="eastAsia" w:ascii="宋体" w:hAnsi="宋体"/>
          <w:sz w:val="24"/>
        </w:rPr>
        <w:t>公章：                           银行帐号：</w:t>
      </w:r>
    </w:p>
    <w:p>
      <w:pPr>
        <w:tabs>
          <w:tab w:val="left" w:pos="6660"/>
        </w:tabs>
        <w:adjustRightInd w:val="0"/>
        <w:snapToGrid w:val="0"/>
        <w:spacing w:before="72" w:beforeLines="30"/>
        <w:ind w:firstLine="720" w:firstLineChars="300"/>
        <w:rPr>
          <w:rFonts w:ascii="宋体" w:hAnsi="宋体"/>
          <w:sz w:val="24"/>
        </w:rPr>
      </w:pPr>
      <w:r>
        <w:rPr>
          <w:rFonts w:hint="eastAsia" w:ascii="宋体" w:hAnsi="宋体"/>
          <w:sz w:val="24"/>
        </w:rPr>
        <w:t>法人代表签字：                   开户行地址：</w:t>
      </w:r>
    </w:p>
    <w:p>
      <w:pPr>
        <w:pStyle w:val="31"/>
        <w:adjustRightInd w:val="0"/>
        <w:snapToGrid w:val="0"/>
        <w:spacing w:after="0"/>
        <w:ind w:left="571" w:leftChars="272" w:firstLine="480"/>
        <w:jc w:val="right"/>
        <w:rPr>
          <w:rFonts w:ascii="宋体" w:hAnsi="宋体"/>
          <w:sz w:val="24"/>
        </w:rPr>
      </w:pPr>
    </w:p>
    <w:p>
      <w:pPr>
        <w:spacing w:line="360" w:lineRule="auto"/>
        <w:ind w:left="795" w:firstLine="6960" w:firstLineChars="2900"/>
        <w:rPr>
          <w:sz w:val="24"/>
          <w:szCs w:val="24"/>
        </w:rPr>
      </w:pPr>
      <w:r>
        <w:rPr>
          <w:rFonts w:hint="eastAsia" w:ascii="宋体" w:hAnsi="宋体"/>
          <w:sz w:val="24"/>
        </w:rPr>
        <w:t>年  月  日</w:t>
      </w:r>
    </w:p>
    <w:p>
      <w:pPr>
        <w:pStyle w:val="5"/>
        <w:spacing w:before="120" w:after="120" w:line="360" w:lineRule="exact"/>
        <w:rPr>
          <w:rFonts w:ascii="宋体" w:hAnsi="宋体"/>
          <w:b w:val="0"/>
          <w:bCs w:val="0"/>
          <w:sz w:val="24"/>
          <w:szCs w:val="24"/>
        </w:rPr>
      </w:pPr>
      <w:r>
        <w:rPr>
          <w:rFonts w:ascii="宋体" w:hAnsi="宋体"/>
          <w:sz w:val="24"/>
          <w:szCs w:val="24"/>
        </w:rPr>
        <w:br w:type="page"/>
      </w:r>
      <w:bookmarkStart w:id="233" w:name="_Toc22891"/>
      <w:bookmarkStart w:id="234" w:name="_Toc453709582"/>
      <w:r>
        <w:rPr>
          <w:rFonts w:hint="eastAsia" w:ascii="宋体" w:hAnsi="宋体" w:cs="宋体"/>
          <w:b w:val="0"/>
          <w:bCs w:val="0"/>
          <w:sz w:val="24"/>
          <w:szCs w:val="24"/>
        </w:rPr>
        <w:t>附件二：授权委托书</w:t>
      </w:r>
      <w:bookmarkEnd w:id="233"/>
      <w:bookmarkEnd w:id="234"/>
    </w:p>
    <w:p>
      <w:pPr>
        <w:pStyle w:val="31"/>
        <w:spacing w:after="0"/>
        <w:rPr>
          <w:rFonts w:ascii="宋体" w:hAnsi="宋体"/>
        </w:rPr>
      </w:pPr>
    </w:p>
    <w:p>
      <w:pPr>
        <w:pStyle w:val="31"/>
        <w:spacing w:after="0" w:line="460" w:lineRule="exact"/>
        <w:jc w:val="center"/>
        <w:rPr>
          <w:rFonts w:ascii="宋体" w:hAnsi="宋体"/>
          <w:b/>
          <w:bCs/>
          <w:sz w:val="32"/>
          <w:szCs w:val="32"/>
        </w:rPr>
      </w:pPr>
      <w:r>
        <w:rPr>
          <w:rFonts w:hint="eastAsia" w:ascii="宋体" w:hAnsi="宋体" w:cs="宋体"/>
          <w:b/>
          <w:bCs/>
          <w:sz w:val="32"/>
          <w:szCs w:val="32"/>
        </w:rPr>
        <w:t>法定代表人授权委托书</w:t>
      </w:r>
    </w:p>
    <w:p>
      <w:pPr>
        <w:pStyle w:val="31"/>
        <w:spacing w:after="0" w:line="460" w:lineRule="exact"/>
        <w:jc w:val="center"/>
        <w:rPr>
          <w:rFonts w:ascii="宋体" w:hAnsi="宋体"/>
          <w:b/>
          <w:bCs/>
          <w:sz w:val="32"/>
          <w:szCs w:val="32"/>
        </w:rPr>
      </w:pPr>
    </w:p>
    <w:p>
      <w:pPr>
        <w:pStyle w:val="31"/>
        <w:spacing w:after="0" w:line="560" w:lineRule="exact"/>
        <w:rPr>
          <w:rFonts w:ascii="宋体" w:hAnsi="宋体"/>
          <w:sz w:val="24"/>
          <w:szCs w:val="24"/>
          <w:u w:val="single"/>
        </w:rPr>
      </w:pPr>
      <w:r>
        <w:rPr>
          <w:rFonts w:hint="eastAsia" w:ascii="宋体" w:hAnsi="宋体" w:cs="宋体"/>
          <w:sz w:val="24"/>
          <w:szCs w:val="24"/>
          <w:u w:val="single"/>
        </w:rPr>
        <w:t>中国重汽集团济南商用车有限公司 ：</w:t>
      </w:r>
    </w:p>
    <w:p>
      <w:pPr>
        <w:pStyle w:val="31"/>
        <w:spacing w:after="0" w:line="560" w:lineRule="exact"/>
        <w:ind w:firstLine="480"/>
        <w:rPr>
          <w:rFonts w:ascii="宋体" w:hAnsi="宋体"/>
          <w:sz w:val="24"/>
          <w:szCs w:val="24"/>
        </w:rPr>
      </w:pPr>
      <w:r>
        <w:rPr>
          <w:rFonts w:hint="eastAsia" w:ascii="宋体" w:hAnsi="宋体" w:cs="宋体"/>
          <w:sz w:val="24"/>
          <w:szCs w:val="24"/>
        </w:rPr>
        <w:t>（投标方名称）法定代表人授权我公司（职务或职称）（姓名）为我单位本次投标授权代理人，全权处理此次招标项目投标活动等一切事宜。</w:t>
      </w:r>
    </w:p>
    <w:p>
      <w:pPr>
        <w:adjustRightInd w:val="0"/>
        <w:snapToGrid w:val="0"/>
        <w:spacing w:before="72" w:beforeLines="30" w:line="360" w:lineRule="auto"/>
        <w:ind w:firstLine="480" w:firstLineChars="200"/>
        <w:rPr>
          <w:rFonts w:ascii="宋体" w:hAnsi="宋体"/>
          <w:sz w:val="24"/>
        </w:rPr>
      </w:pPr>
      <w:r>
        <w:rPr>
          <w:rFonts w:hint="eastAsia" w:ascii="宋体" w:hAnsi="宋体"/>
          <w:sz w:val="24"/>
        </w:rPr>
        <w:t>委托期限：</w:t>
      </w:r>
    </w:p>
    <w:p>
      <w:pPr>
        <w:adjustRightInd w:val="0"/>
        <w:snapToGrid w:val="0"/>
        <w:spacing w:before="72" w:beforeLines="30" w:line="312" w:lineRule="auto"/>
        <w:ind w:firstLine="480" w:firstLineChars="200"/>
        <w:rPr>
          <w:rFonts w:ascii="宋体" w:hAnsi="宋体"/>
          <w:sz w:val="24"/>
        </w:rPr>
      </w:pPr>
      <w:r>
        <w:rPr>
          <w:rFonts w:hint="eastAsia" w:ascii="宋体" w:hAnsi="宋体"/>
          <w:sz w:val="24"/>
        </w:rPr>
        <w:t>全权代表无转委权。特此委托。</w:t>
      </w:r>
      <w:r>
        <w:pict>
          <v:rect id="_x0000_s1026" o:spid="_x0000_s1026" o:spt="1" style="position:absolute;left:0pt;margin-left:25.45pt;margin-top:19.35pt;height:122.25pt;width:209.25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">
            <v:path arrowok="t"/>
            <v:fill focussize="0,0"/>
            <v:stroke/>
            <v:imagedata o:title=""/>
            <o:lock v:ext="edit"/>
            <v:textbox>
              <w:txbxContent>
                <w:p>
                  <w:pPr>
                    <w:jc w:val="center"/>
                  </w:pPr>
                </w:p>
                <w:p>
                  <w:pPr>
                    <w:jc w:val="center"/>
                  </w:pPr>
                </w:p>
                <w:p>
                  <w:pPr>
                    <w:jc w:val="center"/>
                  </w:pPr>
                </w:p>
                <w:p>
                  <w:pPr>
                    <w:jc w:val="center"/>
                  </w:pPr>
                  <w:r>
                    <w:rPr>
                      <w:rFonts w:hint="eastAsia"/>
                    </w:rPr>
                    <w:t>法定代表人身份证复印件（正面）</w:t>
                  </w:r>
                </w:p>
                <w:p>
                  <w:pPr>
                    <w:jc w:val="center"/>
                  </w:pPr>
                </w:p>
                <w:p>
                  <w:pPr>
                    <w:jc w:val="center"/>
                  </w:pPr>
                </w:p>
              </w:txbxContent>
            </v:textbox>
          </v:rect>
        </w:pict>
      </w:r>
      <w:r>
        <w:pict>
          <v:rect id="矩形 4" o:spid="_x0000_s1027" o:spt="1" style="position:absolute;left:0pt;margin-left:25.45pt;margin-top:145.35pt;height:122.25pt;width:209.25pt;z-index:25166131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">
            <v:path arrowok="t"/>
            <v:fill focussize="0,0"/>
            <v:stroke/>
            <v:imagedata o:title=""/>
            <o:lock v:ext="edit"/>
            <v:textbox>
              <w:txbxContent>
                <w:p>
                  <w:pPr>
                    <w:jc w:val="center"/>
                  </w:pPr>
                  <w:r>
                    <w:rPr>
                      <w:rFonts w:hint="eastAsia"/>
                    </w:rPr>
                    <w:t>授权代理人身份证复印件（正面）</w:t>
                  </w:r>
                </w:p>
              </w:txbxContent>
            </v:textbox>
          </v:rect>
        </w:pict>
      </w:r>
      <w:r>
        <w:pict>
          <v:rect id="矩形 3" o:spid="_x0000_s1028" o:spt="1" style="position:absolute;left:0pt;margin-left:245.95pt;margin-top:19.35pt;height:122.25pt;width:198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">
            <v:path arrowok="t"/>
            <v:fill focussize="0,0"/>
            <v:stroke/>
            <v:imagedata o:title=""/>
            <o:lock v:ext="edit"/>
            <v:textbox>
              <w:txbxContent>
                <w:p>
                  <w:pPr>
                    <w:jc w:val="center"/>
                  </w:pPr>
                </w:p>
                <w:p>
                  <w:pPr>
                    <w:jc w:val="center"/>
                  </w:pPr>
                </w:p>
                <w:p>
                  <w:pPr>
                    <w:jc w:val="center"/>
                  </w:pPr>
                </w:p>
                <w:p>
                  <w:pPr>
                    <w:jc w:val="center"/>
                  </w:pPr>
                  <w:r>
                    <w:rPr>
                      <w:rFonts w:hint="eastAsia"/>
                    </w:rPr>
                    <w:t>法定代表人身份证复印件（反面）</w:t>
                  </w:r>
                </w:p>
                <w:p>
                  <w:pPr>
                    <w:jc w:val="center"/>
                  </w:pPr>
                </w:p>
              </w:txbxContent>
            </v:textbox>
          </v:rect>
        </w:pict>
      </w:r>
      <w:r>
        <w:pict>
          <v:rect id="_x0000_s1029" o:spid="_x0000_s1029" o:spt="1" style="position:absolute;left:0pt;margin-left:245.95pt;margin-top:144.6pt;height:122.25pt;width:198pt;z-index:25166233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">
            <v:path arrowok="t"/>
            <v:fill focussize="0,0"/>
            <v:stroke/>
            <v:imagedata o:title=""/>
            <o:lock v:ext="edit"/>
            <v:textbox>
              <w:txbxContent>
                <w:p>
                  <w:pPr>
                    <w:jc w:val="center"/>
                  </w:pPr>
                  <w:r>
                    <w:rPr>
                      <w:rFonts w:hint="eastAsia"/>
                    </w:rPr>
                    <w:t>授权代理人身份证复印件（反面）</w:t>
                  </w:r>
                </w:p>
              </w:txbxContent>
            </v:textbox>
          </v:rect>
        </w:pict>
      </w:r>
    </w:p>
    <w:p>
      <w:pPr>
        <w:spacing w:line="480" w:lineRule="exact"/>
        <w:ind w:firstLine="480" w:firstLineChars="200"/>
        <w:rPr>
          <w:rFonts w:ascii="宋体" w:hAnsi="宋体"/>
          <w:sz w:val="24"/>
        </w:rPr>
      </w:pPr>
    </w:p>
    <w:p>
      <w:pPr>
        <w:spacing w:line="480" w:lineRule="exact"/>
        <w:ind w:firstLine="480" w:firstLineChars="200"/>
        <w:rPr>
          <w:rFonts w:ascii="宋体" w:hAnsi="宋体"/>
          <w:sz w:val="24"/>
        </w:rPr>
      </w:pPr>
    </w:p>
    <w:p>
      <w:pPr>
        <w:spacing w:line="480" w:lineRule="exact"/>
        <w:ind w:firstLine="480" w:firstLineChars="200"/>
        <w:rPr>
          <w:rFonts w:ascii="宋体" w:hAnsi="宋体"/>
          <w:sz w:val="24"/>
        </w:rPr>
      </w:pPr>
    </w:p>
    <w:p>
      <w:pPr>
        <w:spacing w:line="480" w:lineRule="exact"/>
        <w:ind w:firstLine="480" w:firstLineChars="200"/>
        <w:rPr>
          <w:rFonts w:ascii="宋体" w:hAnsi="宋体"/>
          <w:sz w:val="24"/>
        </w:rPr>
      </w:pPr>
    </w:p>
    <w:p>
      <w:pPr>
        <w:spacing w:line="480" w:lineRule="exact"/>
        <w:ind w:firstLine="480" w:firstLineChars="200"/>
        <w:rPr>
          <w:rFonts w:ascii="宋体" w:hAnsi="宋体"/>
          <w:sz w:val="24"/>
        </w:rPr>
      </w:pPr>
    </w:p>
    <w:p>
      <w:pPr>
        <w:spacing w:line="480" w:lineRule="exact"/>
        <w:ind w:firstLine="480" w:firstLineChars="200"/>
        <w:rPr>
          <w:rFonts w:ascii="宋体" w:hAnsi="宋体"/>
          <w:sz w:val="24"/>
        </w:rPr>
      </w:pPr>
    </w:p>
    <w:p>
      <w:pPr>
        <w:spacing w:line="480" w:lineRule="exact"/>
        <w:ind w:firstLine="480" w:firstLineChars="200"/>
        <w:rPr>
          <w:rFonts w:ascii="宋体" w:hAnsi="宋体"/>
          <w:sz w:val="24"/>
        </w:rPr>
      </w:pPr>
    </w:p>
    <w:p>
      <w:pPr>
        <w:spacing w:line="480" w:lineRule="exact"/>
        <w:ind w:firstLine="480" w:firstLineChars="200"/>
        <w:rPr>
          <w:rFonts w:ascii="宋体" w:hAnsi="宋体"/>
          <w:sz w:val="24"/>
        </w:rPr>
      </w:pPr>
    </w:p>
    <w:p>
      <w:pPr>
        <w:spacing w:line="480" w:lineRule="exact"/>
        <w:ind w:firstLine="480" w:firstLineChars="200"/>
        <w:rPr>
          <w:rFonts w:ascii="宋体" w:hAnsi="宋体"/>
          <w:sz w:val="24"/>
        </w:rPr>
      </w:pPr>
    </w:p>
    <w:p>
      <w:pPr>
        <w:spacing w:line="480" w:lineRule="exact"/>
        <w:rPr>
          <w:rFonts w:ascii="宋体" w:hAnsi="宋体"/>
          <w:sz w:val="24"/>
        </w:rPr>
      </w:pPr>
    </w:p>
    <w:p>
      <w:pPr>
        <w:pStyle w:val="31"/>
        <w:spacing w:after="0" w:line="560" w:lineRule="exact"/>
        <w:rPr>
          <w:rFonts w:ascii="宋体" w:hAnsi="宋体"/>
          <w:sz w:val="24"/>
          <w:szCs w:val="24"/>
        </w:rPr>
      </w:pPr>
      <w:r>
        <w:rPr>
          <w:rFonts w:hint="eastAsia" w:ascii="宋体" w:hAnsi="宋体" w:cs="宋体"/>
          <w:sz w:val="24"/>
          <w:szCs w:val="24"/>
        </w:rPr>
        <w:t>单位名称（公章）：</w:t>
      </w:r>
    </w:p>
    <w:p>
      <w:pPr>
        <w:pStyle w:val="31"/>
        <w:spacing w:after="0" w:line="560" w:lineRule="exact"/>
        <w:rPr>
          <w:rFonts w:ascii="宋体" w:hAnsi="宋体"/>
          <w:sz w:val="24"/>
          <w:szCs w:val="24"/>
        </w:rPr>
      </w:pPr>
      <w:r>
        <w:rPr>
          <w:rFonts w:hint="eastAsia" w:ascii="宋体" w:hAnsi="宋体" w:cs="宋体"/>
          <w:sz w:val="24"/>
          <w:szCs w:val="24"/>
        </w:rPr>
        <w:t>法定代表人签字：</w:t>
      </w:r>
    </w:p>
    <w:p>
      <w:pPr>
        <w:pStyle w:val="31"/>
        <w:spacing w:after="0" w:line="560" w:lineRule="exact"/>
        <w:rPr>
          <w:rFonts w:ascii="宋体" w:hAnsi="宋体"/>
          <w:sz w:val="24"/>
          <w:szCs w:val="24"/>
        </w:rPr>
      </w:pPr>
      <w:r>
        <w:rPr>
          <w:rFonts w:hint="eastAsia" w:ascii="宋体" w:hAnsi="宋体" w:cs="宋体"/>
          <w:sz w:val="24"/>
          <w:szCs w:val="24"/>
        </w:rPr>
        <w:t>授权代理人签字：</w:t>
      </w:r>
    </w:p>
    <w:p>
      <w:pPr>
        <w:pStyle w:val="31"/>
        <w:spacing w:after="0" w:line="560" w:lineRule="exact"/>
        <w:rPr>
          <w:rFonts w:ascii="宋体" w:hAnsi="宋体"/>
          <w:sz w:val="24"/>
          <w:szCs w:val="24"/>
        </w:rPr>
      </w:pPr>
    </w:p>
    <w:p>
      <w:pPr>
        <w:pStyle w:val="31"/>
        <w:spacing w:after="0" w:line="560" w:lineRule="exact"/>
        <w:ind w:left="5880" w:right="283" w:rightChars="135" w:firstLine="420"/>
        <w:jc w:val="right"/>
        <w:rPr>
          <w:rFonts w:ascii="宋体" w:hAnsi="宋体"/>
          <w:sz w:val="24"/>
          <w:szCs w:val="24"/>
        </w:rPr>
      </w:pPr>
      <w:r>
        <w:rPr>
          <w:rFonts w:hint="eastAsia" w:ascii="宋体" w:hAnsi="宋体" w:cs="宋体"/>
          <w:sz w:val="24"/>
          <w:szCs w:val="24"/>
        </w:rPr>
        <w:t>年月日</w:t>
      </w:r>
    </w:p>
    <w:p>
      <w:pPr>
        <w:pStyle w:val="31"/>
        <w:spacing w:after="0" w:line="560" w:lineRule="exact"/>
        <w:rPr>
          <w:rFonts w:ascii="宋体" w:hAnsi="宋体"/>
        </w:rPr>
      </w:pPr>
    </w:p>
    <w:p>
      <w:pPr>
        <w:pStyle w:val="31"/>
        <w:spacing w:after="0" w:line="560" w:lineRule="exact"/>
        <w:rPr>
          <w:rFonts w:ascii="宋体" w:hAnsi="宋体"/>
        </w:rPr>
      </w:pPr>
    </w:p>
    <w:p>
      <w:pPr>
        <w:pStyle w:val="5"/>
        <w:spacing w:before="120" w:after="120" w:line="360" w:lineRule="exact"/>
        <w:rPr>
          <w:rFonts w:ascii="宋体" w:hAnsi="宋体" w:cs="宋体"/>
          <w:b w:val="0"/>
          <w:bCs w:val="0"/>
          <w:sz w:val="24"/>
          <w:szCs w:val="24"/>
        </w:rPr>
      </w:pPr>
      <w:bookmarkStart w:id="235" w:name="_Toc32246"/>
      <w:bookmarkStart w:id="236" w:name="_Toc14032"/>
      <w:bookmarkStart w:id="237" w:name="_Toc353881014"/>
      <w:bookmarkStart w:id="238" w:name="_Toc518655806"/>
      <w:bookmarkStart w:id="239" w:name="_Toc16582"/>
      <w:bookmarkStart w:id="240" w:name="_Toc424118183"/>
      <w:r>
        <w:rPr>
          <w:rFonts w:hint="eastAsia" w:ascii="宋体" w:hAnsi="宋体" w:cs="宋体"/>
          <w:b w:val="0"/>
          <w:bCs w:val="0"/>
          <w:sz w:val="24"/>
          <w:szCs w:val="24"/>
        </w:rPr>
        <w:t>附件三、投标方基本情况表</w:t>
      </w:r>
      <w:bookmarkEnd w:id="235"/>
      <w:bookmarkEnd w:id="236"/>
      <w:bookmarkEnd w:id="237"/>
      <w:bookmarkEnd w:id="238"/>
      <w:bookmarkEnd w:id="239"/>
      <w:bookmarkEnd w:id="240"/>
    </w:p>
    <w:p>
      <w:pPr>
        <w:pStyle w:val="31"/>
        <w:spacing w:after="0" w:line="460" w:lineRule="exact"/>
        <w:jc w:val="center"/>
      </w:pPr>
      <w:r>
        <w:rPr>
          <w:rFonts w:hint="eastAsia" w:ascii="宋体" w:hAnsi="宋体" w:cs="宋体"/>
          <w:b/>
          <w:bCs/>
          <w:sz w:val="32"/>
          <w:szCs w:val="32"/>
        </w:rPr>
        <w:t>投标方基本情况表</w:t>
      </w:r>
    </w:p>
    <w:p>
      <w:pPr>
        <w:rPr>
          <w:rFonts w:ascii="宋体" w:hAnsi="宋体"/>
          <w:sz w:val="24"/>
        </w:rPr>
      </w:pPr>
    </w:p>
    <w:p>
      <w:pPr>
        <w:spacing w:line="60" w:lineRule="exact"/>
        <w:rPr>
          <w:rFonts w:ascii="宋体" w:hAnsi="宋体"/>
          <w:sz w:val="24"/>
        </w:rPr>
      </w:pPr>
    </w:p>
    <w:tbl>
      <w:tblPr>
        <w:tblStyle w:val="7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 w:type="dxa"/>
          <w:bottom w:w="0" w:type="dxa"/>
          <w:right w:w="3" w:type="dxa"/>
        </w:tblCellMar>
      </w:tblPr>
      <w:tblGrid>
        <w:gridCol w:w="723"/>
        <w:gridCol w:w="500"/>
        <w:gridCol w:w="652"/>
        <w:gridCol w:w="288"/>
        <w:gridCol w:w="63"/>
        <w:gridCol w:w="300"/>
        <w:gridCol w:w="177"/>
        <w:gridCol w:w="201"/>
        <w:gridCol w:w="63"/>
        <w:gridCol w:w="456"/>
        <w:gridCol w:w="51"/>
        <w:gridCol w:w="158"/>
        <w:gridCol w:w="420"/>
        <w:gridCol w:w="712"/>
        <w:gridCol w:w="480"/>
        <w:gridCol w:w="159"/>
        <w:gridCol w:w="450"/>
        <w:gridCol w:w="163"/>
        <w:gridCol w:w="287"/>
        <w:gridCol w:w="99"/>
        <w:gridCol w:w="240"/>
        <w:gridCol w:w="788"/>
        <w:gridCol w:w="169"/>
        <w:gridCol w:w="603"/>
        <w:gridCol w:w="243"/>
        <w:gridCol w:w="473"/>
        <w:gridCol w:w="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54" w:hRule="atLeast"/>
        </w:trPr>
        <w:tc>
          <w:tcPr>
            <w:tcW w:w="723" w:type="dxa"/>
            <w:vAlign w:val="center"/>
          </w:tcPr>
          <w:p>
            <w:pPr>
              <w:jc w:val="center"/>
              <w:rPr>
                <w:rFonts w:ascii="宋体" w:hAnsi="宋体"/>
                <w:sz w:val="18"/>
                <w:szCs w:val="18"/>
              </w:rPr>
            </w:pPr>
            <w:r>
              <w:rPr>
                <w:rFonts w:hint="eastAsia" w:ascii="宋体" w:hAnsi="宋体"/>
                <w:sz w:val="18"/>
                <w:szCs w:val="18"/>
              </w:rPr>
              <w:t>单位</w:t>
            </w:r>
          </w:p>
          <w:p>
            <w:pPr>
              <w:jc w:val="center"/>
              <w:rPr>
                <w:rFonts w:ascii="宋体" w:hAnsi="宋体"/>
                <w:sz w:val="18"/>
                <w:szCs w:val="18"/>
              </w:rPr>
            </w:pPr>
            <w:r>
              <w:rPr>
                <w:rFonts w:hint="eastAsia" w:ascii="宋体" w:hAnsi="宋体"/>
                <w:sz w:val="18"/>
                <w:szCs w:val="18"/>
              </w:rPr>
              <w:t>名称</w:t>
            </w:r>
          </w:p>
        </w:tc>
        <w:tc>
          <w:tcPr>
            <w:tcW w:w="1440" w:type="dxa"/>
            <w:gridSpan w:val="3"/>
            <w:vAlign w:val="center"/>
          </w:tcPr>
          <w:p>
            <w:pPr>
              <w:jc w:val="center"/>
              <w:rPr>
                <w:rFonts w:ascii="宋体" w:hAnsi="宋体"/>
                <w:sz w:val="18"/>
                <w:szCs w:val="18"/>
              </w:rPr>
            </w:pPr>
          </w:p>
        </w:tc>
        <w:tc>
          <w:tcPr>
            <w:tcW w:w="540" w:type="dxa"/>
            <w:gridSpan w:val="3"/>
            <w:vAlign w:val="center"/>
          </w:tcPr>
          <w:p>
            <w:pPr>
              <w:jc w:val="center"/>
              <w:rPr>
                <w:rFonts w:ascii="宋体" w:hAnsi="宋体"/>
                <w:sz w:val="18"/>
                <w:szCs w:val="18"/>
              </w:rPr>
            </w:pPr>
            <w:r>
              <w:rPr>
                <w:rFonts w:hint="eastAsia" w:ascii="宋体" w:hAnsi="宋体"/>
                <w:sz w:val="18"/>
                <w:szCs w:val="18"/>
              </w:rPr>
              <w:t>代  号</w:t>
            </w:r>
          </w:p>
        </w:tc>
        <w:tc>
          <w:tcPr>
            <w:tcW w:w="720" w:type="dxa"/>
            <w:gridSpan w:val="3"/>
            <w:vAlign w:val="center"/>
          </w:tcPr>
          <w:p>
            <w:pPr>
              <w:jc w:val="center"/>
              <w:rPr>
                <w:rFonts w:ascii="宋体" w:hAnsi="宋体"/>
                <w:sz w:val="18"/>
                <w:szCs w:val="18"/>
              </w:rPr>
            </w:pPr>
          </w:p>
        </w:tc>
        <w:tc>
          <w:tcPr>
            <w:tcW w:w="629" w:type="dxa"/>
            <w:gridSpan w:val="3"/>
            <w:vAlign w:val="center"/>
          </w:tcPr>
          <w:p>
            <w:pPr>
              <w:jc w:val="center"/>
              <w:rPr>
                <w:rFonts w:ascii="宋体" w:hAnsi="宋体"/>
                <w:sz w:val="18"/>
                <w:szCs w:val="18"/>
              </w:rPr>
            </w:pPr>
            <w:r>
              <w:rPr>
                <w:rFonts w:hint="eastAsia" w:ascii="宋体" w:hAnsi="宋体"/>
                <w:sz w:val="18"/>
                <w:szCs w:val="18"/>
              </w:rPr>
              <w:t>电话</w:t>
            </w:r>
          </w:p>
        </w:tc>
        <w:tc>
          <w:tcPr>
            <w:tcW w:w="712" w:type="dxa"/>
            <w:vAlign w:val="center"/>
          </w:tcPr>
          <w:p>
            <w:pPr>
              <w:jc w:val="center"/>
              <w:rPr>
                <w:rFonts w:ascii="宋体" w:hAnsi="宋体"/>
                <w:sz w:val="18"/>
                <w:szCs w:val="18"/>
              </w:rPr>
            </w:pPr>
          </w:p>
        </w:tc>
        <w:tc>
          <w:tcPr>
            <w:tcW w:w="639" w:type="dxa"/>
            <w:gridSpan w:val="2"/>
            <w:vAlign w:val="center"/>
          </w:tcPr>
          <w:p>
            <w:pPr>
              <w:jc w:val="center"/>
              <w:rPr>
                <w:rFonts w:ascii="宋体" w:hAnsi="宋体"/>
                <w:sz w:val="18"/>
                <w:szCs w:val="18"/>
              </w:rPr>
            </w:pPr>
            <w:r>
              <w:rPr>
                <w:rFonts w:hint="eastAsia" w:ascii="宋体" w:hAnsi="宋体"/>
                <w:sz w:val="18"/>
                <w:szCs w:val="18"/>
              </w:rPr>
              <w:t>主管</w:t>
            </w:r>
          </w:p>
          <w:p>
            <w:pPr>
              <w:jc w:val="center"/>
              <w:rPr>
                <w:rFonts w:ascii="宋体" w:hAnsi="宋体"/>
                <w:sz w:val="18"/>
                <w:szCs w:val="18"/>
              </w:rPr>
            </w:pPr>
            <w:r>
              <w:rPr>
                <w:rFonts w:hint="eastAsia" w:ascii="宋体" w:hAnsi="宋体"/>
                <w:sz w:val="18"/>
                <w:szCs w:val="18"/>
              </w:rPr>
              <w:t>部门</w:t>
            </w:r>
          </w:p>
        </w:tc>
        <w:tc>
          <w:tcPr>
            <w:tcW w:w="900" w:type="dxa"/>
            <w:gridSpan w:val="3"/>
            <w:vAlign w:val="center"/>
          </w:tcPr>
          <w:p>
            <w:pPr>
              <w:jc w:val="center"/>
              <w:rPr>
                <w:rFonts w:ascii="宋体" w:hAnsi="宋体"/>
                <w:sz w:val="18"/>
                <w:szCs w:val="18"/>
              </w:rPr>
            </w:pPr>
          </w:p>
        </w:tc>
        <w:tc>
          <w:tcPr>
            <w:tcW w:w="1296" w:type="dxa"/>
            <w:gridSpan w:val="4"/>
            <w:vAlign w:val="center"/>
          </w:tcPr>
          <w:p>
            <w:pPr>
              <w:jc w:val="center"/>
              <w:rPr>
                <w:rFonts w:ascii="宋体" w:hAnsi="宋体"/>
                <w:sz w:val="18"/>
                <w:szCs w:val="18"/>
              </w:rPr>
            </w:pPr>
            <w:r>
              <w:rPr>
                <w:rFonts w:hint="eastAsia" w:ascii="宋体" w:hAnsi="宋体"/>
                <w:sz w:val="18"/>
                <w:szCs w:val="18"/>
              </w:rPr>
              <w:t>企业负责人</w:t>
            </w:r>
          </w:p>
        </w:tc>
        <w:tc>
          <w:tcPr>
            <w:tcW w:w="603" w:type="dxa"/>
            <w:vAlign w:val="center"/>
          </w:tcPr>
          <w:p>
            <w:pPr>
              <w:jc w:val="center"/>
              <w:rPr>
                <w:rFonts w:ascii="宋体" w:hAnsi="宋体"/>
                <w:sz w:val="18"/>
                <w:szCs w:val="18"/>
              </w:rPr>
            </w:pPr>
          </w:p>
        </w:tc>
        <w:tc>
          <w:tcPr>
            <w:tcW w:w="716" w:type="dxa"/>
            <w:gridSpan w:val="2"/>
            <w:vAlign w:val="center"/>
          </w:tcPr>
          <w:p>
            <w:pPr>
              <w:jc w:val="center"/>
              <w:rPr>
                <w:rFonts w:ascii="宋体" w:hAnsi="宋体"/>
                <w:sz w:val="18"/>
                <w:szCs w:val="18"/>
              </w:rPr>
            </w:pPr>
            <w:r>
              <w:rPr>
                <w:rFonts w:hint="eastAsia" w:ascii="宋体" w:hAnsi="宋体"/>
                <w:sz w:val="18"/>
                <w:szCs w:val="18"/>
              </w:rPr>
              <w:t>职务</w:t>
            </w:r>
          </w:p>
        </w:tc>
        <w:tc>
          <w:tcPr>
            <w:tcW w:w="607"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54" w:hRule="atLeast"/>
        </w:trPr>
        <w:tc>
          <w:tcPr>
            <w:tcW w:w="723" w:type="dxa"/>
            <w:vAlign w:val="center"/>
          </w:tcPr>
          <w:p>
            <w:pPr>
              <w:jc w:val="center"/>
              <w:rPr>
                <w:rFonts w:ascii="宋体" w:hAnsi="宋体"/>
                <w:sz w:val="18"/>
                <w:szCs w:val="18"/>
              </w:rPr>
            </w:pPr>
            <w:r>
              <w:rPr>
                <w:rFonts w:hint="eastAsia" w:ascii="宋体" w:hAnsi="宋体"/>
                <w:sz w:val="18"/>
                <w:szCs w:val="18"/>
              </w:rPr>
              <w:t>地 址</w:t>
            </w:r>
          </w:p>
        </w:tc>
        <w:tc>
          <w:tcPr>
            <w:tcW w:w="1440" w:type="dxa"/>
            <w:gridSpan w:val="3"/>
            <w:vAlign w:val="center"/>
          </w:tcPr>
          <w:p>
            <w:pPr>
              <w:jc w:val="center"/>
              <w:rPr>
                <w:rFonts w:ascii="宋体" w:hAnsi="宋体"/>
                <w:sz w:val="18"/>
                <w:szCs w:val="18"/>
              </w:rPr>
            </w:pPr>
          </w:p>
        </w:tc>
        <w:tc>
          <w:tcPr>
            <w:tcW w:w="540" w:type="dxa"/>
            <w:gridSpan w:val="3"/>
            <w:vAlign w:val="center"/>
          </w:tcPr>
          <w:p>
            <w:pPr>
              <w:jc w:val="center"/>
              <w:rPr>
                <w:rFonts w:ascii="宋体" w:hAnsi="宋体"/>
                <w:sz w:val="18"/>
                <w:szCs w:val="18"/>
              </w:rPr>
            </w:pPr>
            <w:r>
              <w:rPr>
                <w:rFonts w:hint="eastAsia" w:ascii="宋体" w:hAnsi="宋体"/>
                <w:sz w:val="18"/>
                <w:szCs w:val="18"/>
              </w:rPr>
              <w:t>邮箱</w:t>
            </w:r>
          </w:p>
        </w:tc>
        <w:tc>
          <w:tcPr>
            <w:tcW w:w="720" w:type="dxa"/>
            <w:gridSpan w:val="3"/>
            <w:vAlign w:val="center"/>
          </w:tcPr>
          <w:p>
            <w:pPr>
              <w:jc w:val="center"/>
              <w:rPr>
                <w:rFonts w:ascii="宋体" w:hAnsi="宋体"/>
                <w:sz w:val="18"/>
                <w:szCs w:val="18"/>
              </w:rPr>
            </w:pPr>
          </w:p>
        </w:tc>
        <w:tc>
          <w:tcPr>
            <w:tcW w:w="629" w:type="dxa"/>
            <w:gridSpan w:val="3"/>
            <w:vAlign w:val="center"/>
          </w:tcPr>
          <w:p>
            <w:pPr>
              <w:jc w:val="center"/>
              <w:rPr>
                <w:rFonts w:ascii="宋体" w:hAnsi="宋体"/>
                <w:sz w:val="18"/>
                <w:szCs w:val="18"/>
              </w:rPr>
            </w:pPr>
            <w:r>
              <w:rPr>
                <w:rFonts w:hint="eastAsia" w:ascii="宋体" w:hAnsi="宋体"/>
                <w:sz w:val="18"/>
                <w:szCs w:val="18"/>
              </w:rPr>
              <w:t>传真</w:t>
            </w:r>
          </w:p>
        </w:tc>
        <w:tc>
          <w:tcPr>
            <w:tcW w:w="712" w:type="dxa"/>
            <w:vAlign w:val="center"/>
          </w:tcPr>
          <w:p>
            <w:pPr>
              <w:jc w:val="center"/>
              <w:rPr>
                <w:rFonts w:ascii="宋体" w:hAnsi="宋体"/>
                <w:sz w:val="18"/>
                <w:szCs w:val="18"/>
              </w:rPr>
            </w:pPr>
          </w:p>
        </w:tc>
        <w:tc>
          <w:tcPr>
            <w:tcW w:w="639" w:type="dxa"/>
            <w:gridSpan w:val="2"/>
            <w:vAlign w:val="center"/>
          </w:tcPr>
          <w:p>
            <w:pPr>
              <w:jc w:val="center"/>
              <w:rPr>
                <w:rFonts w:ascii="宋体" w:hAnsi="宋体"/>
                <w:sz w:val="18"/>
                <w:szCs w:val="18"/>
              </w:rPr>
            </w:pPr>
            <w:r>
              <w:rPr>
                <w:rFonts w:hint="eastAsia" w:ascii="宋体" w:hAnsi="宋体"/>
                <w:sz w:val="18"/>
                <w:szCs w:val="18"/>
              </w:rPr>
              <w:t>经济</w:t>
            </w:r>
          </w:p>
          <w:p>
            <w:pPr>
              <w:jc w:val="center"/>
              <w:rPr>
                <w:rFonts w:ascii="宋体" w:hAnsi="宋体"/>
                <w:sz w:val="18"/>
                <w:szCs w:val="18"/>
              </w:rPr>
            </w:pPr>
            <w:r>
              <w:rPr>
                <w:rFonts w:hint="eastAsia" w:ascii="宋体" w:hAnsi="宋体"/>
                <w:sz w:val="18"/>
                <w:szCs w:val="18"/>
              </w:rPr>
              <w:t>类型</w:t>
            </w:r>
          </w:p>
        </w:tc>
        <w:tc>
          <w:tcPr>
            <w:tcW w:w="900" w:type="dxa"/>
            <w:gridSpan w:val="3"/>
            <w:vAlign w:val="center"/>
          </w:tcPr>
          <w:p>
            <w:pPr>
              <w:jc w:val="center"/>
              <w:rPr>
                <w:rFonts w:ascii="宋体" w:hAnsi="宋体"/>
                <w:sz w:val="18"/>
                <w:szCs w:val="18"/>
              </w:rPr>
            </w:pPr>
          </w:p>
        </w:tc>
        <w:tc>
          <w:tcPr>
            <w:tcW w:w="1296" w:type="dxa"/>
            <w:gridSpan w:val="4"/>
            <w:vAlign w:val="center"/>
          </w:tcPr>
          <w:p>
            <w:pPr>
              <w:jc w:val="center"/>
              <w:rPr>
                <w:rFonts w:ascii="宋体" w:hAnsi="宋体"/>
                <w:sz w:val="18"/>
                <w:szCs w:val="18"/>
              </w:rPr>
            </w:pPr>
            <w:r>
              <w:rPr>
                <w:rFonts w:hint="eastAsia" w:ascii="宋体" w:hAnsi="宋体"/>
                <w:sz w:val="18"/>
                <w:szCs w:val="18"/>
              </w:rPr>
              <w:t>授权代表</w:t>
            </w:r>
          </w:p>
        </w:tc>
        <w:tc>
          <w:tcPr>
            <w:tcW w:w="603" w:type="dxa"/>
            <w:vAlign w:val="center"/>
          </w:tcPr>
          <w:p>
            <w:pPr>
              <w:jc w:val="center"/>
              <w:rPr>
                <w:rFonts w:ascii="宋体" w:hAnsi="宋体"/>
                <w:sz w:val="18"/>
                <w:szCs w:val="18"/>
              </w:rPr>
            </w:pPr>
          </w:p>
        </w:tc>
        <w:tc>
          <w:tcPr>
            <w:tcW w:w="716" w:type="dxa"/>
            <w:gridSpan w:val="2"/>
            <w:vAlign w:val="center"/>
          </w:tcPr>
          <w:p>
            <w:pPr>
              <w:jc w:val="center"/>
              <w:rPr>
                <w:rFonts w:ascii="宋体" w:hAnsi="宋体"/>
                <w:sz w:val="18"/>
                <w:szCs w:val="18"/>
              </w:rPr>
            </w:pPr>
            <w:r>
              <w:rPr>
                <w:rFonts w:hint="eastAsia" w:ascii="宋体" w:hAnsi="宋体"/>
                <w:sz w:val="18"/>
                <w:szCs w:val="18"/>
              </w:rPr>
              <w:t>职务</w:t>
            </w:r>
          </w:p>
        </w:tc>
        <w:tc>
          <w:tcPr>
            <w:tcW w:w="607"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54" w:hRule="atLeast"/>
        </w:trPr>
        <w:tc>
          <w:tcPr>
            <w:tcW w:w="723" w:type="dxa"/>
            <w:vAlign w:val="center"/>
          </w:tcPr>
          <w:p>
            <w:pPr>
              <w:jc w:val="center"/>
              <w:rPr>
                <w:rFonts w:ascii="宋体" w:hAnsi="宋体"/>
                <w:sz w:val="18"/>
                <w:szCs w:val="18"/>
              </w:rPr>
            </w:pPr>
            <w:r>
              <w:rPr>
                <w:rFonts w:hint="eastAsia" w:ascii="宋体" w:hAnsi="宋体"/>
                <w:sz w:val="18"/>
                <w:szCs w:val="18"/>
              </w:rPr>
              <w:t>一、单</w:t>
            </w:r>
          </w:p>
          <w:p>
            <w:pPr>
              <w:jc w:val="center"/>
              <w:rPr>
                <w:rFonts w:ascii="宋体" w:hAnsi="宋体"/>
                <w:sz w:val="18"/>
                <w:szCs w:val="18"/>
              </w:rPr>
            </w:pPr>
            <w:r>
              <w:rPr>
                <w:rFonts w:hint="eastAsia" w:ascii="宋体" w:hAnsi="宋体"/>
                <w:sz w:val="18"/>
                <w:szCs w:val="18"/>
              </w:rPr>
              <w:t>位简历</w:t>
            </w:r>
          </w:p>
          <w:p>
            <w:pPr>
              <w:jc w:val="center"/>
              <w:rPr>
                <w:rFonts w:ascii="宋体" w:hAnsi="宋体"/>
                <w:sz w:val="18"/>
                <w:szCs w:val="18"/>
              </w:rPr>
            </w:pPr>
            <w:r>
              <w:rPr>
                <w:rFonts w:hint="eastAsia" w:ascii="宋体" w:hAnsi="宋体"/>
                <w:sz w:val="18"/>
                <w:szCs w:val="18"/>
              </w:rPr>
              <w:t>及机构</w:t>
            </w:r>
          </w:p>
        </w:tc>
        <w:tc>
          <w:tcPr>
            <w:tcW w:w="4041" w:type="dxa"/>
            <w:gridSpan w:val="13"/>
            <w:tcBorders>
              <w:bottom w:val="single" w:color="auto" w:sz="4" w:space="0"/>
            </w:tcBorders>
            <w:vAlign w:val="center"/>
          </w:tcPr>
          <w:p>
            <w:pPr>
              <w:jc w:val="center"/>
              <w:rPr>
                <w:rFonts w:ascii="宋体" w:hAnsi="宋体"/>
                <w:sz w:val="18"/>
                <w:szCs w:val="18"/>
              </w:rPr>
            </w:pPr>
          </w:p>
          <w:p>
            <w:pPr>
              <w:jc w:val="center"/>
              <w:rPr>
                <w:rFonts w:ascii="宋体" w:hAnsi="宋体"/>
                <w:sz w:val="18"/>
                <w:szCs w:val="18"/>
              </w:rPr>
            </w:pPr>
          </w:p>
          <w:p>
            <w:pPr>
              <w:pStyle w:val="25"/>
              <w:spacing w:before="0"/>
              <w:jc w:val="center"/>
              <w:rPr>
                <w:rFonts w:ascii="宋体" w:hAnsi="宋体"/>
                <w:sz w:val="18"/>
                <w:szCs w:val="18"/>
              </w:rPr>
            </w:pPr>
          </w:p>
        </w:tc>
        <w:tc>
          <w:tcPr>
            <w:tcW w:w="639" w:type="dxa"/>
            <w:gridSpan w:val="2"/>
            <w:tcBorders>
              <w:bottom w:val="single" w:color="auto" w:sz="4" w:space="0"/>
            </w:tcBorders>
            <w:vAlign w:val="center"/>
          </w:tcPr>
          <w:p>
            <w:pPr>
              <w:jc w:val="center"/>
              <w:rPr>
                <w:rFonts w:ascii="宋体" w:hAnsi="宋体"/>
                <w:sz w:val="18"/>
                <w:szCs w:val="18"/>
              </w:rPr>
            </w:pPr>
            <w:r>
              <w:rPr>
                <w:rFonts w:hint="eastAsia" w:ascii="宋体" w:hAnsi="宋体"/>
                <w:sz w:val="18"/>
                <w:szCs w:val="18"/>
              </w:rPr>
              <w:t>单位优</w:t>
            </w:r>
          </w:p>
          <w:p>
            <w:pPr>
              <w:jc w:val="center"/>
              <w:rPr>
                <w:rFonts w:ascii="宋体" w:hAnsi="宋体"/>
                <w:sz w:val="18"/>
                <w:szCs w:val="18"/>
              </w:rPr>
            </w:pPr>
            <w:r>
              <w:rPr>
                <w:rFonts w:hint="eastAsia" w:ascii="宋体" w:hAnsi="宋体"/>
                <w:sz w:val="18"/>
                <w:szCs w:val="18"/>
              </w:rPr>
              <w:t>势及特</w:t>
            </w:r>
          </w:p>
          <w:p>
            <w:pPr>
              <w:jc w:val="center"/>
              <w:rPr>
                <w:rFonts w:ascii="宋体" w:hAnsi="宋体"/>
                <w:sz w:val="18"/>
                <w:szCs w:val="18"/>
              </w:rPr>
            </w:pPr>
            <w:r>
              <w:rPr>
                <w:rFonts w:hint="eastAsia" w:ascii="宋体" w:hAnsi="宋体"/>
                <w:sz w:val="18"/>
                <w:szCs w:val="18"/>
              </w:rPr>
              <w:t>长</w:t>
            </w:r>
          </w:p>
        </w:tc>
        <w:tc>
          <w:tcPr>
            <w:tcW w:w="4122" w:type="dxa"/>
            <w:gridSpan w:val="11"/>
            <w:tcBorders>
              <w:bottom w:val="single" w:color="auto" w:sz="4" w:space="0"/>
            </w:tcBorders>
            <w:vAlign w:val="center"/>
          </w:tcPr>
          <w:p>
            <w:pPr>
              <w:jc w:val="center"/>
              <w:rPr>
                <w:rFonts w:ascii="宋体" w:hAnsi="宋体"/>
                <w:sz w:val="18"/>
                <w:szCs w:val="18"/>
              </w:rPr>
            </w:pPr>
          </w:p>
          <w:p>
            <w:pPr>
              <w:jc w:val="center"/>
              <w:rPr>
                <w:rFonts w:ascii="宋体" w:hAnsi="宋体"/>
                <w:sz w:val="18"/>
                <w:szCs w:val="18"/>
              </w:rPr>
            </w:pPr>
          </w:p>
          <w:p>
            <w:pPr>
              <w:jc w:val="center"/>
              <w:rPr>
                <w:rFonts w:ascii="宋体" w:hAnsi="宋体"/>
                <w:sz w:val="18"/>
                <w:szCs w:val="18"/>
              </w:rPr>
            </w:pPr>
          </w:p>
          <w:p>
            <w:pPr>
              <w:jc w:val="center"/>
              <w:rPr>
                <w:rFonts w:ascii="宋体" w:hAnsi="宋体"/>
                <w:sz w:val="18"/>
                <w:szCs w:val="18"/>
              </w:rPr>
            </w:pPr>
          </w:p>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54" w:hRule="atLeast"/>
        </w:trPr>
        <w:tc>
          <w:tcPr>
            <w:tcW w:w="723" w:type="dxa"/>
            <w:vMerge w:val="restart"/>
            <w:vAlign w:val="center"/>
          </w:tcPr>
          <w:p>
            <w:pPr>
              <w:jc w:val="center"/>
              <w:rPr>
                <w:rFonts w:ascii="宋体" w:hAnsi="宋体"/>
                <w:sz w:val="18"/>
                <w:szCs w:val="18"/>
              </w:rPr>
            </w:pPr>
          </w:p>
          <w:p>
            <w:pPr>
              <w:jc w:val="center"/>
              <w:rPr>
                <w:rFonts w:ascii="宋体" w:hAnsi="宋体"/>
                <w:sz w:val="18"/>
                <w:szCs w:val="18"/>
              </w:rPr>
            </w:pPr>
            <w:r>
              <w:rPr>
                <w:rFonts w:hint="eastAsia" w:ascii="宋体" w:hAnsi="宋体"/>
                <w:sz w:val="18"/>
                <w:szCs w:val="18"/>
              </w:rPr>
              <w:t>二、单</w:t>
            </w:r>
          </w:p>
          <w:p>
            <w:pPr>
              <w:jc w:val="center"/>
              <w:rPr>
                <w:rFonts w:ascii="宋体" w:hAnsi="宋体"/>
                <w:sz w:val="18"/>
                <w:szCs w:val="18"/>
              </w:rPr>
            </w:pPr>
            <w:r>
              <w:rPr>
                <w:rFonts w:hint="eastAsia" w:ascii="宋体" w:hAnsi="宋体"/>
                <w:sz w:val="18"/>
                <w:szCs w:val="18"/>
              </w:rPr>
              <w:t>位概况</w:t>
            </w:r>
          </w:p>
        </w:tc>
        <w:tc>
          <w:tcPr>
            <w:tcW w:w="500" w:type="dxa"/>
            <w:vMerge w:val="restart"/>
            <w:tcBorders>
              <w:bottom w:val="single" w:color="auto" w:sz="4" w:space="0"/>
            </w:tcBorders>
            <w:vAlign w:val="center"/>
          </w:tcPr>
          <w:p>
            <w:pPr>
              <w:jc w:val="center"/>
              <w:rPr>
                <w:rFonts w:ascii="宋体" w:hAnsi="宋体"/>
                <w:sz w:val="18"/>
                <w:szCs w:val="18"/>
              </w:rPr>
            </w:pPr>
            <w:r>
              <w:rPr>
                <w:rFonts w:hint="eastAsia" w:ascii="宋体" w:hAnsi="宋体"/>
                <w:sz w:val="18"/>
                <w:szCs w:val="18"/>
              </w:rPr>
              <w:t>职工</w:t>
            </w:r>
          </w:p>
          <w:p>
            <w:pPr>
              <w:jc w:val="center"/>
              <w:rPr>
                <w:rFonts w:ascii="宋体" w:hAnsi="宋体"/>
                <w:sz w:val="18"/>
                <w:szCs w:val="18"/>
              </w:rPr>
            </w:pPr>
            <w:r>
              <w:rPr>
                <w:rFonts w:hint="eastAsia" w:ascii="宋体" w:hAnsi="宋体"/>
                <w:sz w:val="18"/>
                <w:szCs w:val="18"/>
              </w:rPr>
              <w:t>总数</w:t>
            </w:r>
          </w:p>
        </w:tc>
        <w:tc>
          <w:tcPr>
            <w:tcW w:w="1303" w:type="dxa"/>
            <w:gridSpan w:val="4"/>
            <w:vMerge w:val="restart"/>
            <w:tcBorders>
              <w:bottom w:val="single" w:color="auto" w:sz="4" w:space="0"/>
            </w:tcBorders>
          </w:tcPr>
          <w:p>
            <w:pPr>
              <w:rPr>
                <w:rFonts w:ascii="宋体" w:hAnsi="宋体"/>
                <w:position w:val="-28"/>
                <w:sz w:val="18"/>
                <w:szCs w:val="18"/>
              </w:rPr>
            </w:pPr>
            <w:r>
              <w:rPr>
                <w:rFonts w:hint="eastAsia" w:ascii="宋体" w:hAnsi="宋体"/>
                <w:position w:val="-28"/>
                <w:sz w:val="18"/>
                <w:szCs w:val="18"/>
              </w:rPr>
              <w:t>人</w:t>
            </w:r>
          </w:p>
          <w:p>
            <w:pPr>
              <w:rPr>
                <w:rFonts w:ascii="宋体" w:hAnsi="宋体"/>
                <w:sz w:val="18"/>
                <w:szCs w:val="18"/>
              </w:rPr>
            </w:pPr>
          </w:p>
        </w:tc>
        <w:tc>
          <w:tcPr>
            <w:tcW w:w="2238" w:type="dxa"/>
            <w:gridSpan w:val="8"/>
            <w:vMerge w:val="restart"/>
            <w:tcBorders>
              <w:bottom w:val="single" w:color="auto" w:sz="4" w:space="0"/>
            </w:tcBorders>
            <w:vAlign w:val="center"/>
          </w:tcPr>
          <w:p>
            <w:pPr>
              <w:rPr>
                <w:rFonts w:ascii="宋体" w:hAnsi="宋体"/>
                <w:sz w:val="18"/>
                <w:szCs w:val="18"/>
              </w:rPr>
            </w:pPr>
            <w:r>
              <w:rPr>
                <w:rFonts w:hint="eastAsia" w:ascii="宋体" w:hAnsi="宋体"/>
                <w:sz w:val="18"/>
                <w:szCs w:val="18"/>
              </w:rPr>
              <w:t>生产工人      人</w:t>
            </w:r>
          </w:p>
          <w:p>
            <w:pPr>
              <w:rPr>
                <w:rFonts w:ascii="宋体" w:hAnsi="宋体"/>
                <w:sz w:val="18"/>
                <w:szCs w:val="18"/>
              </w:rPr>
            </w:pPr>
            <w:r>
              <w:rPr>
                <w:rFonts w:hint="eastAsia" w:ascii="宋体" w:hAnsi="宋体"/>
                <w:sz w:val="18"/>
                <w:szCs w:val="18"/>
              </w:rPr>
              <w:t>工程技术人员    人</w:t>
            </w:r>
          </w:p>
        </w:tc>
        <w:tc>
          <w:tcPr>
            <w:tcW w:w="639" w:type="dxa"/>
            <w:gridSpan w:val="2"/>
            <w:vMerge w:val="restart"/>
            <w:tcBorders>
              <w:bottom w:val="single" w:color="auto" w:sz="4" w:space="0"/>
            </w:tcBorders>
            <w:vAlign w:val="center"/>
          </w:tcPr>
          <w:p>
            <w:pPr>
              <w:jc w:val="center"/>
              <w:rPr>
                <w:rFonts w:ascii="宋体" w:hAnsi="宋体"/>
                <w:sz w:val="18"/>
                <w:szCs w:val="18"/>
              </w:rPr>
            </w:pPr>
            <w:r>
              <w:rPr>
                <w:rFonts w:hint="eastAsia" w:ascii="宋体" w:hAnsi="宋体"/>
                <w:sz w:val="18"/>
                <w:szCs w:val="18"/>
              </w:rPr>
              <w:t>上一年</w:t>
            </w:r>
          </w:p>
        </w:tc>
        <w:tc>
          <w:tcPr>
            <w:tcW w:w="999" w:type="dxa"/>
            <w:gridSpan w:val="4"/>
            <w:tcBorders>
              <w:bottom w:val="single" w:color="auto" w:sz="4" w:space="0"/>
            </w:tcBorders>
            <w:vAlign w:val="center"/>
          </w:tcPr>
          <w:p>
            <w:pPr>
              <w:jc w:val="center"/>
              <w:rPr>
                <w:rFonts w:ascii="宋体" w:hAnsi="宋体"/>
                <w:sz w:val="18"/>
                <w:szCs w:val="18"/>
              </w:rPr>
            </w:pPr>
            <w:r>
              <w:rPr>
                <w:rFonts w:hint="eastAsia" w:ascii="宋体" w:hAnsi="宋体"/>
                <w:sz w:val="18"/>
                <w:szCs w:val="18"/>
              </w:rPr>
              <w:t>指标名称</w:t>
            </w:r>
          </w:p>
        </w:tc>
        <w:tc>
          <w:tcPr>
            <w:tcW w:w="1028" w:type="dxa"/>
            <w:gridSpan w:val="2"/>
            <w:tcBorders>
              <w:bottom w:val="single" w:color="auto" w:sz="4" w:space="0"/>
            </w:tcBorders>
            <w:vAlign w:val="center"/>
          </w:tcPr>
          <w:p>
            <w:pPr>
              <w:jc w:val="center"/>
              <w:rPr>
                <w:rFonts w:ascii="宋体" w:hAnsi="宋体"/>
                <w:sz w:val="18"/>
                <w:szCs w:val="18"/>
              </w:rPr>
            </w:pPr>
            <w:r>
              <w:rPr>
                <w:rFonts w:hint="eastAsia" w:ascii="宋体" w:hAnsi="宋体"/>
                <w:sz w:val="18"/>
                <w:szCs w:val="18"/>
              </w:rPr>
              <w:t>计算单位</w:t>
            </w:r>
          </w:p>
        </w:tc>
        <w:tc>
          <w:tcPr>
            <w:tcW w:w="2095" w:type="dxa"/>
            <w:gridSpan w:val="5"/>
            <w:tcBorders>
              <w:bottom w:val="single" w:color="auto" w:sz="4" w:space="0"/>
            </w:tcBorders>
            <w:vAlign w:val="center"/>
          </w:tcPr>
          <w:p>
            <w:pPr>
              <w:jc w:val="center"/>
              <w:rPr>
                <w:rFonts w:ascii="宋体" w:hAnsi="宋体"/>
                <w:sz w:val="18"/>
                <w:szCs w:val="18"/>
              </w:rPr>
            </w:pPr>
            <w:r>
              <w:rPr>
                <w:rFonts w:hint="eastAsia" w:ascii="宋体" w:hAnsi="宋体"/>
                <w:sz w:val="18"/>
                <w:szCs w:val="18"/>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54" w:hRule="atLeast"/>
        </w:trPr>
        <w:tc>
          <w:tcPr>
            <w:tcW w:w="723" w:type="dxa"/>
            <w:vMerge w:val="continue"/>
            <w:vAlign w:val="center"/>
          </w:tcPr>
          <w:p>
            <w:pPr>
              <w:jc w:val="center"/>
              <w:rPr>
                <w:rFonts w:ascii="宋体" w:hAnsi="宋体"/>
                <w:sz w:val="18"/>
                <w:szCs w:val="18"/>
              </w:rPr>
            </w:pPr>
          </w:p>
        </w:tc>
        <w:tc>
          <w:tcPr>
            <w:tcW w:w="500" w:type="dxa"/>
            <w:vMerge w:val="continue"/>
            <w:tcBorders>
              <w:bottom w:val="single" w:color="auto" w:sz="4" w:space="0"/>
            </w:tcBorders>
            <w:vAlign w:val="center"/>
          </w:tcPr>
          <w:p>
            <w:pPr>
              <w:jc w:val="center"/>
              <w:rPr>
                <w:rFonts w:ascii="宋体" w:hAnsi="宋体"/>
                <w:sz w:val="18"/>
                <w:szCs w:val="18"/>
              </w:rPr>
            </w:pPr>
          </w:p>
        </w:tc>
        <w:tc>
          <w:tcPr>
            <w:tcW w:w="1303" w:type="dxa"/>
            <w:gridSpan w:val="4"/>
            <w:vMerge w:val="continue"/>
            <w:tcBorders>
              <w:bottom w:val="single" w:color="auto" w:sz="4" w:space="0"/>
            </w:tcBorders>
          </w:tcPr>
          <w:p>
            <w:pPr>
              <w:rPr>
                <w:rFonts w:ascii="宋体" w:hAnsi="宋体"/>
                <w:sz w:val="18"/>
                <w:szCs w:val="18"/>
              </w:rPr>
            </w:pPr>
          </w:p>
        </w:tc>
        <w:tc>
          <w:tcPr>
            <w:tcW w:w="2238" w:type="dxa"/>
            <w:gridSpan w:val="8"/>
            <w:vMerge w:val="continue"/>
            <w:tcBorders>
              <w:bottom w:val="single" w:color="auto" w:sz="4" w:space="0"/>
            </w:tcBorders>
          </w:tcPr>
          <w:p>
            <w:pPr>
              <w:rPr>
                <w:rFonts w:ascii="宋体" w:hAnsi="宋体"/>
                <w:sz w:val="18"/>
                <w:szCs w:val="18"/>
              </w:rPr>
            </w:pPr>
          </w:p>
        </w:tc>
        <w:tc>
          <w:tcPr>
            <w:tcW w:w="639" w:type="dxa"/>
            <w:gridSpan w:val="2"/>
            <w:vMerge w:val="continue"/>
            <w:tcBorders>
              <w:bottom w:val="single" w:color="auto" w:sz="4" w:space="0"/>
            </w:tcBorders>
          </w:tcPr>
          <w:p>
            <w:pPr>
              <w:rPr>
                <w:rFonts w:ascii="宋体" w:hAnsi="宋体"/>
                <w:sz w:val="18"/>
                <w:szCs w:val="18"/>
              </w:rPr>
            </w:pPr>
          </w:p>
        </w:tc>
        <w:tc>
          <w:tcPr>
            <w:tcW w:w="999" w:type="dxa"/>
            <w:gridSpan w:val="4"/>
            <w:tcBorders>
              <w:bottom w:val="single" w:color="auto" w:sz="4" w:space="0"/>
            </w:tcBorders>
            <w:vAlign w:val="center"/>
          </w:tcPr>
          <w:p>
            <w:pPr>
              <w:jc w:val="center"/>
              <w:rPr>
                <w:rFonts w:ascii="宋体" w:hAnsi="宋体"/>
                <w:sz w:val="18"/>
                <w:szCs w:val="18"/>
              </w:rPr>
            </w:pPr>
            <w:r>
              <w:rPr>
                <w:rFonts w:hint="eastAsia" w:ascii="宋体" w:hAnsi="宋体"/>
                <w:sz w:val="18"/>
                <w:szCs w:val="18"/>
              </w:rPr>
              <w:t>工业总产值</w:t>
            </w:r>
          </w:p>
        </w:tc>
        <w:tc>
          <w:tcPr>
            <w:tcW w:w="1028" w:type="dxa"/>
            <w:gridSpan w:val="2"/>
            <w:tcBorders>
              <w:bottom w:val="single" w:color="auto" w:sz="4" w:space="0"/>
            </w:tcBorders>
            <w:vAlign w:val="center"/>
          </w:tcPr>
          <w:p>
            <w:pPr>
              <w:rPr>
                <w:rFonts w:ascii="宋体" w:hAnsi="宋体"/>
                <w:sz w:val="18"/>
                <w:szCs w:val="18"/>
              </w:rPr>
            </w:pPr>
            <w:r>
              <w:rPr>
                <w:rFonts w:hint="eastAsia" w:ascii="宋体" w:hAnsi="宋体"/>
                <w:sz w:val="18"/>
                <w:szCs w:val="18"/>
              </w:rPr>
              <w:t>万元</w:t>
            </w:r>
          </w:p>
        </w:tc>
        <w:tc>
          <w:tcPr>
            <w:tcW w:w="2095" w:type="dxa"/>
            <w:gridSpan w:val="5"/>
            <w:tcBorders>
              <w:bottom w:val="single" w:color="auto" w:sz="4" w:space="0"/>
            </w:tcBorders>
            <w:vAlign w:val="center"/>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54" w:hRule="atLeast"/>
        </w:trPr>
        <w:tc>
          <w:tcPr>
            <w:tcW w:w="723" w:type="dxa"/>
            <w:vMerge w:val="continue"/>
            <w:vAlign w:val="center"/>
          </w:tcPr>
          <w:p>
            <w:pPr>
              <w:jc w:val="center"/>
              <w:rPr>
                <w:rFonts w:ascii="宋体" w:hAnsi="宋体"/>
                <w:sz w:val="18"/>
                <w:szCs w:val="18"/>
              </w:rPr>
            </w:pPr>
          </w:p>
        </w:tc>
        <w:tc>
          <w:tcPr>
            <w:tcW w:w="500" w:type="dxa"/>
            <w:vMerge w:val="restart"/>
            <w:tcBorders>
              <w:top w:val="single" w:color="auto" w:sz="4" w:space="0"/>
            </w:tcBorders>
            <w:vAlign w:val="center"/>
          </w:tcPr>
          <w:p>
            <w:pPr>
              <w:jc w:val="center"/>
              <w:rPr>
                <w:rFonts w:ascii="宋体" w:hAnsi="宋体"/>
                <w:sz w:val="18"/>
                <w:szCs w:val="18"/>
              </w:rPr>
            </w:pPr>
            <w:r>
              <w:rPr>
                <w:rFonts w:hint="eastAsia" w:ascii="宋体" w:hAnsi="宋体"/>
                <w:sz w:val="18"/>
                <w:szCs w:val="18"/>
              </w:rPr>
              <w:t>流动</w:t>
            </w:r>
          </w:p>
          <w:p>
            <w:pPr>
              <w:jc w:val="center"/>
              <w:rPr>
                <w:rFonts w:ascii="宋体" w:hAnsi="宋体"/>
                <w:sz w:val="18"/>
                <w:szCs w:val="18"/>
              </w:rPr>
            </w:pPr>
            <w:r>
              <w:rPr>
                <w:rFonts w:hint="eastAsia" w:ascii="宋体" w:hAnsi="宋体"/>
                <w:sz w:val="18"/>
                <w:szCs w:val="18"/>
              </w:rPr>
              <w:t>资金</w:t>
            </w:r>
          </w:p>
        </w:tc>
        <w:tc>
          <w:tcPr>
            <w:tcW w:w="1303" w:type="dxa"/>
            <w:gridSpan w:val="4"/>
            <w:vMerge w:val="restart"/>
            <w:tcBorders>
              <w:top w:val="single" w:color="auto" w:sz="4" w:space="0"/>
            </w:tcBorders>
          </w:tcPr>
          <w:p>
            <w:pPr>
              <w:rPr>
                <w:rFonts w:ascii="宋体" w:hAnsi="宋体"/>
                <w:position w:val="-30"/>
                <w:sz w:val="18"/>
                <w:szCs w:val="18"/>
              </w:rPr>
            </w:pPr>
            <w:r>
              <w:rPr>
                <w:rFonts w:hint="eastAsia" w:ascii="宋体" w:hAnsi="宋体"/>
                <w:position w:val="-30"/>
                <w:sz w:val="18"/>
                <w:szCs w:val="18"/>
              </w:rPr>
              <w:t>万元</w:t>
            </w:r>
          </w:p>
        </w:tc>
        <w:tc>
          <w:tcPr>
            <w:tcW w:w="441" w:type="dxa"/>
            <w:gridSpan w:val="3"/>
            <w:vMerge w:val="restart"/>
            <w:tcBorders>
              <w:top w:val="single" w:color="auto" w:sz="4" w:space="0"/>
            </w:tcBorders>
            <w:vAlign w:val="center"/>
          </w:tcPr>
          <w:p>
            <w:pPr>
              <w:jc w:val="center"/>
              <w:rPr>
                <w:rFonts w:ascii="宋体" w:hAnsi="宋体"/>
                <w:sz w:val="18"/>
                <w:szCs w:val="18"/>
              </w:rPr>
            </w:pPr>
            <w:r>
              <w:rPr>
                <w:rFonts w:hint="eastAsia" w:ascii="宋体" w:hAnsi="宋体"/>
                <w:sz w:val="18"/>
                <w:szCs w:val="18"/>
              </w:rPr>
              <w:t>资金</w:t>
            </w:r>
          </w:p>
          <w:p>
            <w:pPr>
              <w:jc w:val="center"/>
              <w:rPr>
                <w:rFonts w:ascii="宋体" w:hAnsi="宋体"/>
                <w:sz w:val="18"/>
                <w:szCs w:val="18"/>
              </w:rPr>
            </w:pPr>
            <w:r>
              <w:rPr>
                <w:rFonts w:hint="eastAsia" w:ascii="宋体" w:hAnsi="宋体"/>
                <w:sz w:val="18"/>
                <w:szCs w:val="18"/>
              </w:rPr>
              <w:t>来源</w:t>
            </w:r>
          </w:p>
        </w:tc>
        <w:tc>
          <w:tcPr>
            <w:tcW w:w="665" w:type="dxa"/>
            <w:gridSpan w:val="3"/>
            <w:tcBorders>
              <w:top w:val="single" w:color="auto" w:sz="4" w:space="0"/>
            </w:tcBorders>
            <w:vAlign w:val="center"/>
          </w:tcPr>
          <w:p>
            <w:pPr>
              <w:jc w:val="center"/>
              <w:rPr>
                <w:rFonts w:ascii="宋体" w:hAnsi="宋体"/>
                <w:sz w:val="18"/>
                <w:szCs w:val="18"/>
              </w:rPr>
            </w:pPr>
            <w:r>
              <w:rPr>
                <w:rFonts w:hint="eastAsia" w:ascii="宋体" w:hAnsi="宋体"/>
                <w:sz w:val="18"/>
                <w:szCs w:val="18"/>
              </w:rPr>
              <w:t>自有</w:t>
            </w:r>
          </w:p>
          <w:p>
            <w:pPr>
              <w:jc w:val="center"/>
              <w:rPr>
                <w:rFonts w:ascii="宋体" w:hAnsi="宋体"/>
                <w:sz w:val="18"/>
                <w:szCs w:val="18"/>
              </w:rPr>
            </w:pPr>
            <w:r>
              <w:rPr>
                <w:rFonts w:hint="eastAsia" w:ascii="宋体" w:hAnsi="宋体"/>
                <w:sz w:val="18"/>
                <w:szCs w:val="18"/>
              </w:rPr>
              <w:t>资金</w:t>
            </w:r>
          </w:p>
        </w:tc>
        <w:tc>
          <w:tcPr>
            <w:tcW w:w="1132" w:type="dxa"/>
            <w:gridSpan w:val="2"/>
            <w:tcBorders>
              <w:top w:val="single" w:color="auto" w:sz="4" w:space="0"/>
            </w:tcBorders>
            <w:vAlign w:val="center"/>
          </w:tcPr>
          <w:p>
            <w:pPr>
              <w:jc w:val="right"/>
              <w:rPr>
                <w:rFonts w:ascii="宋体" w:hAnsi="宋体"/>
                <w:sz w:val="18"/>
                <w:szCs w:val="18"/>
              </w:rPr>
            </w:pPr>
            <w:r>
              <w:rPr>
                <w:rFonts w:hint="eastAsia" w:ascii="宋体" w:hAnsi="宋体"/>
                <w:sz w:val="18"/>
                <w:szCs w:val="18"/>
              </w:rPr>
              <w:t>万元</w:t>
            </w:r>
          </w:p>
        </w:tc>
        <w:tc>
          <w:tcPr>
            <w:tcW w:w="639" w:type="dxa"/>
            <w:gridSpan w:val="2"/>
            <w:vMerge w:val="restart"/>
            <w:tcBorders>
              <w:top w:val="single" w:color="auto" w:sz="4" w:space="0"/>
            </w:tcBorders>
            <w:vAlign w:val="center"/>
          </w:tcPr>
          <w:p>
            <w:pPr>
              <w:jc w:val="center"/>
              <w:rPr>
                <w:rFonts w:ascii="宋体" w:hAnsi="宋体"/>
                <w:sz w:val="18"/>
                <w:szCs w:val="18"/>
              </w:rPr>
            </w:pPr>
            <w:r>
              <w:rPr>
                <w:rFonts w:hint="eastAsia" w:ascii="宋体" w:hAnsi="宋体"/>
                <w:sz w:val="18"/>
                <w:szCs w:val="18"/>
              </w:rPr>
              <w:t>主要经</w:t>
            </w:r>
          </w:p>
          <w:p>
            <w:pPr>
              <w:jc w:val="center"/>
              <w:rPr>
                <w:rFonts w:ascii="宋体" w:hAnsi="宋体"/>
                <w:sz w:val="18"/>
                <w:szCs w:val="18"/>
              </w:rPr>
            </w:pPr>
            <w:r>
              <w:rPr>
                <w:rFonts w:hint="eastAsia" w:ascii="宋体" w:hAnsi="宋体"/>
                <w:sz w:val="18"/>
                <w:szCs w:val="18"/>
              </w:rPr>
              <w:t>济指标</w:t>
            </w:r>
          </w:p>
        </w:tc>
        <w:tc>
          <w:tcPr>
            <w:tcW w:w="999" w:type="dxa"/>
            <w:gridSpan w:val="4"/>
            <w:tcBorders>
              <w:top w:val="single" w:color="auto" w:sz="4" w:space="0"/>
            </w:tcBorders>
            <w:vAlign w:val="center"/>
          </w:tcPr>
          <w:p>
            <w:pPr>
              <w:jc w:val="center"/>
              <w:rPr>
                <w:rFonts w:ascii="宋体" w:hAnsi="宋体"/>
                <w:sz w:val="18"/>
                <w:szCs w:val="18"/>
              </w:rPr>
            </w:pPr>
            <w:r>
              <w:rPr>
                <w:rFonts w:hint="eastAsia" w:ascii="宋体" w:hAnsi="宋体"/>
                <w:sz w:val="18"/>
                <w:szCs w:val="18"/>
              </w:rPr>
              <w:t>实现利润</w:t>
            </w:r>
          </w:p>
        </w:tc>
        <w:tc>
          <w:tcPr>
            <w:tcW w:w="1028" w:type="dxa"/>
            <w:gridSpan w:val="2"/>
            <w:tcBorders>
              <w:top w:val="single" w:color="auto" w:sz="4" w:space="0"/>
            </w:tcBorders>
            <w:vAlign w:val="center"/>
          </w:tcPr>
          <w:p>
            <w:pPr>
              <w:rPr>
                <w:rFonts w:ascii="宋体" w:hAnsi="宋体"/>
                <w:sz w:val="18"/>
                <w:szCs w:val="18"/>
              </w:rPr>
            </w:pPr>
            <w:r>
              <w:rPr>
                <w:rFonts w:hint="eastAsia" w:ascii="宋体" w:hAnsi="宋体"/>
                <w:sz w:val="18"/>
                <w:szCs w:val="18"/>
              </w:rPr>
              <w:t>万 元</w:t>
            </w:r>
          </w:p>
        </w:tc>
        <w:tc>
          <w:tcPr>
            <w:tcW w:w="2095" w:type="dxa"/>
            <w:gridSpan w:val="5"/>
            <w:tcBorders>
              <w:top w:val="single" w:color="auto" w:sz="4" w:space="0"/>
            </w:tcBorders>
            <w:vAlign w:val="center"/>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54" w:hRule="atLeast"/>
        </w:trPr>
        <w:tc>
          <w:tcPr>
            <w:tcW w:w="723" w:type="dxa"/>
            <w:vMerge w:val="continue"/>
            <w:vAlign w:val="center"/>
          </w:tcPr>
          <w:p>
            <w:pPr>
              <w:jc w:val="center"/>
              <w:rPr>
                <w:rFonts w:ascii="宋体" w:hAnsi="宋体"/>
                <w:sz w:val="18"/>
                <w:szCs w:val="18"/>
              </w:rPr>
            </w:pPr>
          </w:p>
        </w:tc>
        <w:tc>
          <w:tcPr>
            <w:tcW w:w="500" w:type="dxa"/>
            <w:vMerge w:val="continue"/>
            <w:tcBorders>
              <w:top w:val="single" w:color="auto" w:sz="4" w:space="0"/>
              <w:bottom w:val="single" w:color="auto" w:sz="4" w:space="0"/>
            </w:tcBorders>
            <w:vAlign w:val="center"/>
          </w:tcPr>
          <w:p>
            <w:pPr>
              <w:jc w:val="center"/>
              <w:rPr>
                <w:rFonts w:ascii="宋体" w:hAnsi="宋体"/>
                <w:sz w:val="18"/>
                <w:szCs w:val="18"/>
              </w:rPr>
            </w:pPr>
          </w:p>
        </w:tc>
        <w:tc>
          <w:tcPr>
            <w:tcW w:w="1303" w:type="dxa"/>
            <w:gridSpan w:val="4"/>
            <w:vMerge w:val="continue"/>
            <w:tcBorders>
              <w:top w:val="single" w:color="auto" w:sz="4" w:space="0"/>
              <w:bottom w:val="single" w:color="auto" w:sz="4" w:space="0"/>
            </w:tcBorders>
          </w:tcPr>
          <w:p>
            <w:pPr>
              <w:rPr>
                <w:rFonts w:ascii="宋体" w:hAnsi="宋体"/>
                <w:sz w:val="18"/>
                <w:szCs w:val="18"/>
              </w:rPr>
            </w:pPr>
          </w:p>
        </w:tc>
        <w:tc>
          <w:tcPr>
            <w:tcW w:w="441" w:type="dxa"/>
            <w:gridSpan w:val="3"/>
            <w:vMerge w:val="continue"/>
            <w:tcBorders>
              <w:top w:val="single" w:color="auto" w:sz="4" w:space="0"/>
              <w:bottom w:val="single" w:color="auto" w:sz="4" w:space="0"/>
            </w:tcBorders>
            <w:vAlign w:val="center"/>
          </w:tcPr>
          <w:p>
            <w:pPr>
              <w:jc w:val="center"/>
              <w:rPr>
                <w:rFonts w:ascii="宋体" w:hAnsi="宋体"/>
                <w:sz w:val="18"/>
                <w:szCs w:val="18"/>
              </w:rPr>
            </w:pPr>
          </w:p>
        </w:tc>
        <w:tc>
          <w:tcPr>
            <w:tcW w:w="665" w:type="dxa"/>
            <w:gridSpan w:val="3"/>
            <w:tcBorders>
              <w:top w:val="single" w:color="auto" w:sz="4" w:space="0"/>
              <w:bottom w:val="single" w:color="auto" w:sz="4" w:space="0"/>
            </w:tcBorders>
            <w:vAlign w:val="center"/>
          </w:tcPr>
          <w:p>
            <w:pPr>
              <w:jc w:val="center"/>
              <w:rPr>
                <w:rFonts w:ascii="宋体" w:hAnsi="宋体"/>
                <w:sz w:val="18"/>
                <w:szCs w:val="18"/>
              </w:rPr>
            </w:pPr>
            <w:r>
              <w:rPr>
                <w:rFonts w:hint="eastAsia" w:ascii="宋体" w:hAnsi="宋体"/>
                <w:sz w:val="18"/>
                <w:szCs w:val="18"/>
              </w:rPr>
              <w:t>银行</w:t>
            </w:r>
          </w:p>
          <w:p>
            <w:pPr>
              <w:jc w:val="center"/>
              <w:rPr>
                <w:rFonts w:ascii="宋体" w:hAnsi="宋体"/>
                <w:sz w:val="18"/>
                <w:szCs w:val="18"/>
              </w:rPr>
            </w:pPr>
            <w:r>
              <w:rPr>
                <w:rFonts w:hint="eastAsia" w:ascii="宋体" w:hAnsi="宋体"/>
                <w:sz w:val="18"/>
                <w:szCs w:val="18"/>
              </w:rPr>
              <w:t>贷款</w:t>
            </w:r>
          </w:p>
        </w:tc>
        <w:tc>
          <w:tcPr>
            <w:tcW w:w="1132" w:type="dxa"/>
            <w:gridSpan w:val="2"/>
            <w:tcBorders>
              <w:top w:val="single" w:color="auto" w:sz="4" w:space="0"/>
              <w:bottom w:val="single" w:color="auto" w:sz="4" w:space="0"/>
            </w:tcBorders>
            <w:vAlign w:val="center"/>
          </w:tcPr>
          <w:p>
            <w:pPr>
              <w:jc w:val="right"/>
              <w:rPr>
                <w:rFonts w:ascii="宋体" w:hAnsi="宋体"/>
                <w:sz w:val="18"/>
                <w:szCs w:val="18"/>
              </w:rPr>
            </w:pPr>
            <w:r>
              <w:rPr>
                <w:rFonts w:hint="eastAsia" w:ascii="宋体" w:hAnsi="宋体"/>
                <w:sz w:val="18"/>
                <w:szCs w:val="18"/>
              </w:rPr>
              <w:t>万元</w:t>
            </w:r>
          </w:p>
        </w:tc>
        <w:tc>
          <w:tcPr>
            <w:tcW w:w="639" w:type="dxa"/>
            <w:gridSpan w:val="2"/>
            <w:vMerge w:val="continue"/>
            <w:tcBorders>
              <w:top w:val="single" w:color="auto" w:sz="4" w:space="0"/>
              <w:bottom w:val="single" w:color="auto" w:sz="4" w:space="0"/>
            </w:tcBorders>
          </w:tcPr>
          <w:p>
            <w:pPr>
              <w:rPr>
                <w:rFonts w:ascii="宋体" w:hAnsi="宋体"/>
                <w:sz w:val="18"/>
                <w:szCs w:val="18"/>
              </w:rPr>
            </w:pPr>
          </w:p>
        </w:tc>
        <w:tc>
          <w:tcPr>
            <w:tcW w:w="613" w:type="dxa"/>
            <w:gridSpan w:val="2"/>
            <w:vMerge w:val="restart"/>
            <w:tcBorders>
              <w:top w:val="single" w:color="auto" w:sz="4" w:space="0"/>
            </w:tcBorders>
            <w:vAlign w:val="center"/>
          </w:tcPr>
          <w:p>
            <w:pPr>
              <w:jc w:val="center"/>
              <w:rPr>
                <w:rFonts w:ascii="宋体" w:hAnsi="宋体"/>
                <w:sz w:val="18"/>
                <w:szCs w:val="18"/>
              </w:rPr>
            </w:pPr>
            <w:r>
              <w:rPr>
                <w:rFonts w:hint="eastAsia" w:ascii="宋体" w:hAnsi="宋体"/>
                <w:sz w:val="18"/>
                <w:szCs w:val="18"/>
              </w:rPr>
              <w:t>主 要</w:t>
            </w:r>
          </w:p>
          <w:p>
            <w:pPr>
              <w:jc w:val="center"/>
              <w:rPr>
                <w:rFonts w:ascii="宋体" w:hAnsi="宋体"/>
                <w:sz w:val="18"/>
                <w:szCs w:val="18"/>
              </w:rPr>
            </w:pPr>
          </w:p>
          <w:p>
            <w:pPr>
              <w:jc w:val="center"/>
              <w:rPr>
                <w:rFonts w:ascii="宋体" w:hAnsi="宋体"/>
                <w:sz w:val="18"/>
                <w:szCs w:val="18"/>
              </w:rPr>
            </w:pPr>
            <w:r>
              <w:rPr>
                <w:rFonts w:hint="eastAsia" w:ascii="宋体" w:hAnsi="宋体"/>
                <w:sz w:val="18"/>
                <w:szCs w:val="18"/>
              </w:rPr>
              <w:t>产 品</w:t>
            </w:r>
          </w:p>
        </w:tc>
        <w:tc>
          <w:tcPr>
            <w:tcW w:w="3509" w:type="dxa"/>
            <w:gridSpan w:val="9"/>
            <w:tcBorders>
              <w:top w:val="single" w:color="auto" w:sz="4" w:space="0"/>
              <w:bottom w:val="single" w:color="auto" w:sz="4" w:space="0"/>
            </w:tcBorders>
            <w:vAlign w:val="center"/>
          </w:tcPr>
          <w:p>
            <w:pPr>
              <w:rPr>
                <w:rFonts w:ascii="宋体" w:hAnsi="宋体"/>
                <w:sz w:val="18"/>
                <w:szCs w:val="18"/>
              </w:rPr>
            </w:pPr>
            <w:r>
              <w:rPr>
                <w:rFonts w:hint="eastAsia" w:ascii="宋体" w:hAnsi="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54" w:hRule="atLeast"/>
        </w:trPr>
        <w:tc>
          <w:tcPr>
            <w:tcW w:w="723" w:type="dxa"/>
            <w:vMerge w:val="continue"/>
            <w:vAlign w:val="center"/>
          </w:tcPr>
          <w:p>
            <w:pPr>
              <w:jc w:val="center"/>
              <w:rPr>
                <w:rFonts w:ascii="宋体" w:hAnsi="宋体"/>
                <w:sz w:val="18"/>
                <w:szCs w:val="18"/>
              </w:rPr>
            </w:pPr>
          </w:p>
        </w:tc>
        <w:tc>
          <w:tcPr>
            <w:tcW w:w="500" w:type="dxa"/>
            <w:vMerge w:val="restart"/>
            <w:tcBorders>
              <w:top w:val="single" w:color="auto" w:sz="4" w:space="0"/>
            </w:tcBorders>
            <w:vAlign w:val="center"/>
          </w:tcPr>
          <w:p>
            <w:pPr>
              <w:jc w:val="center"/>
              <w:rPr>
                <w:rFonts w:ascii="宋体" w:hAnsi="宋体"/>
                <w:sz w:val="18"/>
                <w:szCs w:val="18"/>
              </w:rPr>
            </w:pPr>
            <w:r>
              <w:rPr>
                <w:rFonts w:hint="eastAsia" w:ascii="宋体" w:hAnsi="宋体"/>
                <w:sz w:val="18"/>
                <w:szCs w:val="18"/>
              </w:rPr>
              <w:t>固定</w:t>
            </w:r>
          </w:p>
          <w:p>
            <w:pPr>
              <w:jc w:val="center"/>
              <w:rPr>
                <w:rFonts w:ascii="宋体" w:hAnsi="宋体"/>
                <w:sz w:val="18"/>
                <w:szCs w:val="18"/>
              </w:rPr>
            </w:pPr>
            <w:r>
              <w:rPr>
                <w:rFonts w:hint="eastAsia" w:ascii="宋体" w:hAnsi="宋体"/>
                <w:sz w:val="18"/>
                <w:szCs w:val="18"/>
              </w:rPr>
              <w:t>资产</w:t>
            </w:r>
          </w:p>
        </w:tc>
        <w:tc>
          <w:tcPr>
            <w:tcW w:w="1303" w:type="dxa"/>
            <w:gridSpan w:val="4"/>
            <w:vMerge w:val="restart"/>
            <w:tcBorders>
              <w:top w:val="single" w:color="auto" w:sz="4" w:space="0"/>
            </w:tcBorders>
            <w:vAlign w:val="center"/>
          </w:tcPr>
          <w:p>
            <w:pPr>
              <w:rPr>
                <w:rFonts w:ascii="宋体" w:hAnsi="宋体"/>
                <w:sz w:val="18"/>
                <w:szCs w:val="18"/>
              </w:rPr>
            </w:pPr>
            <w:r>
              <w:rPr>
                <w:rFonts w:hint="eastAsia" w:ascii="宋体" w:hAnsi="宋体"/>
                <w:sz w:val="18"/>
                <w:szCs w:val="18"/>
              </w:rPr>
              <w:t>原值   万元</w:t>
            </w:r>
          </w:p>
          <w:p>
            <w:pPr>
              <w:rPr>
                <w:rFonts w:ascii="宋体" w:hAnsi="宋体"/>
                <w:sz w:val="18"/>
                <w:szCs w:val="18"/>
              </w:rPr>
            </w:pPr>
            <w:r>
              <w:rPr>
                <w:rFonts w:hint="eastAsia" w:ascii="宋体" w:hAnsi="宋体"/>
                <w:sz w:val="18"/>
                <w:szCs w:val="18"/>
              </w:rPr>
              <w:t>净值   万元</w:t>
            </w:r>
          </w:p>
        </w:tc>
        <w:tc>
          <w:tcPr>
            <w:tcW w:w="441" w:type="dxa"/>
            <w:gridSpan w:val="3"/>
            <w:vMerge w:val="restart"/>
            <w:tcBorders>
              <w:top w:val="single" w:color="auto" w:sz="4" w:space="0"/>
            </w:tcBorders>
            <w:vAlign w:val="center"/>
          </w:tcPr>
          <w:p>
            <w:pPr>
              <w:jc w:val="center"/>
              <w:rPr>
                <w:rFonts w:ascii="宋体" w:hAnsi="宋体"/>
                <w:sz w:val="18"/>
                <w:szCs w:val="18"/>
              </w:rPr>
            </w:pPr>
            <w:r>
              <w:rPr>
                <w:rFonts w:hint="eastAsia" w:ascii="宋体" w:hAnsi="宋体"/>
                <w:sz w:val="18"/>
                <w:szCs w:val="18"/>
              </w:rPr>
              <w:t>资金</w:t>
            </w:r>
          </w:p>
          <w:p>
            <w:pPr>
              <w:jc w:val="center"/>
              <w:rPr>
                <w:rFonts w:ascii="宋体" w:hAnsi="宋体"/>
                <w:sz w:val="18"/>
                <w:szCs w:val="18"/>
              </w:rPr>
            </w:pPr>
            <w:r>
              <w:rPr>
                <w:rFonts w:hint="eastAsia" w:ascii="宋体" w:hAnsi="宋体"/>
                <w:sz w:val="18"/>
                <w:szCs w:val="18"/>
              </w:rPr>
              <w:t>性质</w:t>
            </w:r>
          </w:p>
        </w:tc>
        <w:tc>
          <w:tcPr>
            <w:tcW w:w="665" w:type="dxa"/>
            <w:gridSpan w:val="3"/>
            <w:tcBorders>
              <w:top w:val="single" w:color="auto" w:sz="4" w:space="0"/>
            </w:tcBorders>
            <w:vAlign w:val="center"/>
          </w:tcPr>
          <w:p>
            <w:pPr>
              <w:jc w:val="center"/>
              <w:rPr>
                <w:rFonts w:ascii="宋体" w:hAnsi="宋体"/>
                <w:sz w:val="18"/>
                <w:szCs w:val="18"/>
              </w:rPr>
            </w:pPr>
            <w:r>
              <w:rPr>
                <w:rFonts w:hint="eastAsia" w:ascii="宋体" w:hAnsi="宋体"/>
                <w:sz w:val="18"/>
                <w:szCs w:val="18"/>
              </w:rPr>
              <w:t>生产性</w:t>
            </w:r>
          </w:p>
        </w:tc>
        <w:tc>
          <w:tcPr>
            <w:tcW w:w="1132" w:type="dxa"/>
            <w:gridSpan w:val="2"/>
            <w:tcBorders>
              <w:top w:val="single" w:color="auto" w:sz="4" w:space="0"/>
            </w:tcBorders>
            <w:vAlign w:val="center"/>
          </w:tcPr>
          <w:p>
            <w:pPr>
              <w:jc w:val="right"/>
              <w:rPr>
                <w:rFonts w:ascii="宋体" w:hAnsi="宋体"/>
                <w:sz w:val="18"/>
                <w:szCs w:val="18"/>
              </w:rPr>
            </w:pPr>
            <w:r>
              <w:rPr>
                <w:rFonts w:hint="eastAsia" w:ascii="宋体" w:hAnsi="宋体"/>
                <w:sz w:val="18"/>
                <w:szCs w:val="18"/>
              </w:rPr>
              <w:t xml:space="preserve">        万元</w:t>
            </w:r>
          </w:p>
        </w:tc>
        <w:tc>
          <w:tcPr>
            <w:tcW w:w="639" w:type="dxa"/>
            <w:gridSpan w:val="2"/>
            <w:vMerge w:val="restart"/>
            <w:tcBorders>
              <w:top w:val="single" w:color="auto" w:sz="4" w:space="0"/>
            </w:tcBorders>
          </w:tcPr>
          <w:p>
            <w:pPr>
              <w:rPr>
                <w:rFonts w:ascii="宋体" w:hAnsi="宋体"/>
                <w:sz w:val="18"/>
                <w:szCs w:val="18"/>
              </w:rPr>
            </w:pPr>
          </w:p>
        </w:tc>
        <w:tc>
          <w:tcPr>
            <w:tcW w:w="613" w:type="dxa"/>
            <w:gridSpan w:val="2"/>
            <w:vMerge w:val="continue"/>
            <w:vAlign w:val="center"/>
          </w:tcPr>
          <w:p>
            <w:pPr>
              <w:jc w:val="center"/>
              <w:rPr>
                <w:rFonts w:ascii="宋体" w:hAnsi="宋体"/>
                <w:sz w:val="18"/>
                <w:szCs w:val="18"/>
              </w:rPr>
            </w:pPr>
          </w:p>
        </w:tc>
        <w:tc>
          <w:tcPr>
            <w:tcW w:w="3509" w:type="dxa"/>
            <w:gridSpan w:val="9"/>
            <w:tcBorders>
              <w:top w:val="single" w:color="auto" w:sz="4" w:space="0"/>
            </w:tcBorders>
            <w:vAlign w:val="center"/>
          </w:tcPr>
          <w:p>
            <w:pPr>
              <w:rPr>
                <w:rFonts w:ascii="宋体" w:hAnsi="宋体"/>
                <w:sz w:val="18"/>
                <w:szCs w:val="18"/>
              </w:rPr>
            </w:pPr>
            <w:r>
              <w:rPr>
                <w:rFonts w:hint="eastAsia" w:ascii="宋体" w:hAnsi="宋体"/>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54" w:hRule="atLeast"/>
        </w:trPr>
        <w:tc>
          <w:tcPr>
            <w:tcW w:w="723" w:type="dxa"/>
            <w:vMerge w:val="continue"/>
            <w:vAlign w:val="center"/>
          </w:tcPr>
          <w:p>
            <w:pPr>
              <w:jc w:val="center"/>
              <w:rPr>
                <w:rFonts w:ascii="宋体" w:hAnsi="宋体"/>
                <w:sz w:val="18"/>
                <w:szCs w:val="18"/>
              </w:rPr>
            </w:pPr>
          </w:p>
        </w:tc>
        <w:tc>
          <w:tcPr>
            <w:tcW w:w="500" w:type="dxa"/>
            <w:vMerge w:val="continue"/>
            <w:tcBorders>
              <w:top w:val="single" w:color="auto" w:sz="4" w:space="0"/>
            </w:tcBorders>
            <w:vAlign w:val="center"/>
          </w:tcPr>
          <w:p>
            <w:pPr>
              <w:jc w:val="center"/>
              <w:rPr>
                <w:rFonts w:ascii="宋体" w:hAnsi="宋体"/>
                <w:sz w:val="18"/>
                <w:szCs w:val="18"/>
              </w:rPr>
            </w:pPr>
          </w:p>
        </w:tc>
        <w:tc>
          <w:tcPr>
            <w:tcW w:w="1303" w:type="dxa"/>
            <w:gridSpan w:val="4"/>
            <w:vMerge w:val="continue"/>
            <w:tcBorders>
              <w:top w:val="single" w:color="auto" w:sz="4" w:space="0"/>
            </w:tcBorders>
          </w:tcPr>
          <w:p>
            <w:pPr>
              <w:rPr>
                <w:rFonts w:ascii="宋体" w:hAnsi="宋体"/>
                <w:sz w:val="18"/>
                <w:szCs w:val="18"/>
              </w:rPr>
            </w:pPr>
          </w:p>
        </w:tc>
        <w:tc>
          <w:tcPr>
            <w:tcW w:w="441" w:type="dxa"/>
            <w:gridSpan w:val="3"/>
            <w:vMerge w:val="continue"/>
            <w:tcBorders>
              <w:top w:val="single" w:color="auto" w:sz="4" w:space="0"/>
            </w:tcBorders>
          </w:tcPr>
          <w:p>
            <w:pPr>
              <w:rPr>
                <w:rFonts w:ascii="宋体" w:hAnsi="宋体"/>
                <w:sz w:val="18"/>
                <w:szCs w:val="18"/>
              </w:rPr>
            </w:pPr>
          </w:p>
        </w:tc>
        <w:tc>
          <w:tcPr>
            <w:tcW w:w="665" w:type="dxa"/>
            <w:gridSpan w:val="3"/>
            <w:tcBorders>
              <w:top w:val="single" w:color="auto" w:sz="4" w:space="0"/>
            </w:tcBorders>
            <w:vAlign w:val="center"/>
          </w:tcPr>
          <w:p>
            <w:pPr>
              <w:jc w:val="center"/>
              <w:rPr>
                <w:rFonts w:ascii="宋体" w:hAnsi="宋体"/>
                <w:sz w:val="18"/>
                <w:szCs w:val="18"/>
              </w:rPr>
            </w:pPr>
            <w:r>
              <w:rPr>
                <w:rFonts w:hint="eastAsia" w:ascii="宋体" w:hAnsi="宋体"/>
                <w:sz w:val="18"/>
                <w:szCs w:val="18"/>
              </w:rPr>
              <w:t>非生</w:t>
            </w:r>
          </w:p>
          <w:p>
            <w:pPr>
              <w:jc w:val="center"/>
              <w:rPr>
                <w:rFonts w:ascii="宋体" w:hAnsi="宋体"/>
                <w:sz w:val="18"/>
                <w:szCs w:val="18"/>
              </w:rPr>
            </w:pPr>
            <w:r>
              <w:rPr>
                <w:rFonts w:hint="eastAsia" w:ascii="宋体" w:hAnsi="宋体"/>
                <w:sz w:val="18"/>
                <w:szCs w:val="18"/>
              </w:rPr>
              <w:t>产性</w:t>
            </w:r>
          </w:p>
        </w:tc>
        <w:tc>
          <w:tcPr>
            <w:tcW w:w="1132" w:type="dxa"/>
            <w:gridSpan w:val="2"/>
            <w:tcBorders>
              <w:top w:val="single" w:color="auto" w:sz="4" w:space="0"/>
            </w:tcBorders>
            <w:vAlign w:val="center"/>
          </w:tcPr>
          <w:p>
            <w:pPr>
              <w:jc w:val="right"/>
              <w:rPr>
                <w:rFonts w:ascii="宋体" w:hAnsi="宋体"/>
                <w:sz w:val="18"/>
                <w:szCs w:val="18"/>
              </w:rPr>
            </w:pPr>
            <w:r>
              <w:rPr>
                <w:rFonts w:hint="eastAsia" w:ascii="宋体" w:hAnsi="宋体"/>
                <w:sz w:val="18"/>
                <w:szCs w:val="18"/>
              </w:rPr>
              <w:t xml:space="preserve"> 万元</w:t>
            </w:r>
          </w:p>
        </w:tc>
        <w:tc>
          <w:tcPr>
            <w:tcW w:w="639" w:type="dxa"/>
            <w:gridSpan w:val="2"/>
            <w:vMerge w:val="continue"/>
            <w:tcBorders>
              <w:top w:val="single" w:color="auto" w:sz="4" w:space="0"/>
            </w:tcBorders>
          </w:tcPr>
          <w:p>
            <w:pPr>
              <w:rPr>
                <w:rFonts w:ascii="宋体" w:hAnsi="宋体"/>
                <w:sz w:val="18"/>
                <w:szCs w:val="18"/>
              </w:rPr>
            </w:pPr>
          </w:p>
        </w:tc>
        <w:tc>
          <w:tcPr>
            <w:tcW w:w="613" w:type="dxa"/>
            <w:gridSpan w:val="2"/>
            <w:vMerge w:val="continue"/>
          </w:tcPr>
          <w:p>
            <w:pPr>
              <w:rPr>
                <w:rFonts w:ascii="宋体" w:hAnsi="宋体"/>
                <w:sz w:val="18"/>
                <w:szCs w:val="18"/>
              </w:rPr>
            </w:pPr>
          </w:p>
        </w:tc>
        <w:tc>
          <w:tcPr>
            <w:tcW w:w="3509" w:type="dxa"/>
            <w:gridSpan w:val="9"/>
            <w:tcBorders>
              <w:top w:val="single" w:color="auto" w:sz="4" w:space="0"/>
            </w:tcBorders>
            <w:vAlign w:val="center"/>
          </w:tcPr>
          <w:p>
            <w:pPr>
              <w:rPr>
                <w:rFonts w:ascii="宋体" w:hAnsi="宋体"/>
                <w:sz w:val="18"/>
                <w:szCs w:val="18"/>
              </w:rPr>
            </w:pPr>
            <w:r>
              <w:rPr>
                <w:rFonts w:hint="eastAsia" w:ascii="宋体" w:hAnsi="宋体"/>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54" w:hRule="atLeast"/>
        </w:trPr>
        <w:tc>
          <w:tcPr>
            <w:tcW w:w="723" w:type="dxa"/>
            <w:vMerge w:val="continue"/>
            <w:vAlign w:val="center"/>
          </w:tcPr>
          <w:p>
            <w:pPr>
              <w:jc w:val="center"/>
              <w:rPr>
                <w:rFonts w:ascii="宋体" w:hAnsi="宋体"/>
                <w:sz w:val="18"/>
                <w:szCs w:val="18"/>
              </w:rPr>
            </w:pPr>
          </w:p>
        </w:tc>
        <w:tc>
          <w:tcPr>
            <w:tcW w:w="500" w:type="dxa"/>
            <w:vMerge w:val="restart"/>
            <w:tcBorders>
              <w:top w:val="single" w:color="auto" w:sz="4" w:space="0"/>
            </w:tcBorders>
            <w:vAlign w:val="center"/>
          </w:tcPr>
          <w:p>
            <w:pPr>
              <w:jc w:val="center"/>
              <w:rPr>
                <w:rFonts w:ascii="宋体" w:hAnsi="宋体"/>
                <w:sz w:val="18"/>
                <w:szCs w:val="18"/>
              </w:rPr>
            </w:pPr>
            <w:r>
              <w:rPr>
                <w:rFonts w:hint="eastAsia" w:ascii="宋体" w:hAnsi="宋体"/>
                <w:sz w:val="18"/>
                <w:szCs w:val="18"/>
              </w:rPr>
              <w:t>占地</w:t>
            </w:r>
          </w:p>
          <w:p>
            <w:pPr>
              <w:jc w:val="center"/>
              <w:rPr>
                <w:rFonts w:ascii="宋体" w:hAnsi="宋体"/>
                <w:sz w:val="18"/>
                <w:szCs w:val="18"/>
              </w:rPr>
            </w:pPr>
            <w:r>
              <w:rPr>
                <w:rFonts w:hint="eastAsia" w:ascii="宋体" w:hAnsi="宋体"/>
                <w:sz w:val="18"/>
                <w:szCs w:val="18"/>
              </w:rPr>
              <w:t>面积</w:t>
            </w:r>
          </w:p>
        </w:tc>
        <w:tc>
          <w:tcPr>
            <w:tcW w:w="1303" w:type="dxa"/>
            <w:gridSpan w:val="4"/>
            <w:vMerge w:val="restart"/>
            <w:tcBorders>
              <w:top w:val="single" w:color="auto" w:sz="4" w:space="0"/>
            </w:tcBorders>
            <w:vAlign w:val="center"/>
          </w:tcPr>
          <w:p>
            <w:pPr>
              <w:jc w:val="right"/>
              <w:rPr>
                <w:rFonts w:ascii="宋体" w:hAnsi="宋体"/>
                <w:sz w:val="18"/>
                <w:szCs w:val="18"/>
              </w:rPr>
            </w:pPr>
            <w:r>
              <w:rPr>
                <w:rFonts w:hint="eastAsia" w:ascii="宋体" w:hAnsi="宋体"/>
                <w:sz w:val="18"/>
                <w:szCs w:val="18"/>
              </w:rPr>
              <w:t xml:space="preserve">     平方米</w:t>
            </w:r>
          </w:p>
          <w:p>
            <w:pPr>
              <w:jc w:val="right"/>
              <w:rPr>
                <w:rFonts w:ascii="宋体" w:hAnsi="宋体"/>
                <w:sz w:val="18"/>
                <w:szCs w:val="18"/>
              </w:rPr>
            </w:pPr>
          </w:p>
        </w:tc>
        <w:tc>
          <w:tcPr>
            <w:tcW w:w="2238" w:type="dxa"/>
            <w:gridSpan w:val="8"/>
            <w:tcBorders>
              <w:top w:val="single" w:color="auto" w:sz="4" w:space="0"/>
            </w:tcBorders>
            <w:vAlign w:val="center"/>
          </w:tcPr>
          <w:p>
            <w:pPr>
              <w:jc w:val="center"/>
              <w:rPr>
                <w:rFonts w:ascii="宋体" w:hAnsi="宋体"/>
                <w:sz w:val="18"/>
                <w:szCs w:val="18"/>
              </w:rPr>
            </w:pPr>
            <w:r>
              <w:rPr>
                <w:rFonts w:hint="eastAsia" w:ascii="宋体" w:hAnsi="宋体"/>
                <w:sz w:val="18"/>
                <w:szCs w:val="18"/>
              </w:rPr>
              <w:t>房屋建筑面积      平方米</w:t>
            </w:r>
          </w:p>
        </w:tc>
        <w:tc>
          <w:tcPr>
            <w:tcW w:w="639" w:type="dxa"/>
            <w:gridSpan w:val="2"/>
            <w:vMerge w:val="continue"/>
            <w:tcBorders>
              <w:top w:val="single" w:color="auto" w:sz="4" w:space="0"/>
            </w:tcBorders>
          </w:tcPr>
          <w:p>
            <w:pPr>
              <w:rPr>
                <w:rFonts w:ascii="宋体" w:hAnsi="宋体"/>
                <w:sz w:val="18"/>
                <w:szCs w:val="18"/>
              </w:rPr>
            </w:pPr>
          </w:p>
        </w:tc>
        <w:tc>
          <w:tcPr>
            <w:tcW w:w="613" w:type="dxa"/>
            <w:gridSpan w:val="2"/>
            <w:vMerge w:val="continue"/>
          </w:tcPr>
          <w:p>
            <w:pPr>
              <w:rPr>
                <w:rFonts w:ascii="宋体" w:hAnsi="宋体"/>
                <w:sz w:val="18"/>
                <w:szCs w:val="18"/>
              </w:rPr>
            </w:pPr>
          </w:p>
        </w:tc>
        <w:tc>
          <w:tcPr>
            <w:tcW w:w="3509" w:type="dxa"/>
            <w:gridSpan w:val="9"/>
            <w:tcBorders>
              <w:top w:val="single" w:color="auto" w:sz="4" w:space="0"/>
            </w:tcBorders>
            <w:vAlign w:val="center"/>
          </w:tcPr>
          <w:p>
            <w:pPr>
              <w:rPr>
                <w:rFonts w:ascii="宋体" w:hAnsi="宋体"/>
                <w:sz w:val="18"/>
                <w:szCs w:val="18"/>
              </w:rPr>
            </w:pPr>
            <w:r>
              <w:rPr>
                <w:rFonts w:hint="eastAsia" w:ascii="宋体" w:hAnsi="宋体"/>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54" w:hRule="atLeast"/>
        </w:trPr>
        <w:tc>
          <w:tcPr>
            <w:tcW w:w="723" w:type="dxa"/>
            <w:vMerge w:val="continue"/>
          </w:tcPr>
          <w:p>
            <w:pPr>
              <w:jc w:val="center"/>
              <w:rPr>
                <w:rFonts w:ascii="宋体" w:hAnsi="宋体"/>
                <w:sz w:val="18"/>
                <w:szCs w:val="18"/>
              </w:rPr>
            </w:pPr>
          </w:p>
        </w:tc>
        <w:tc>
          <w:tcPr>
            <w:tcW w:w="500" w:type="dxa"/>
            <w:vMerge w:val="continue"/>
            <w:tcBorders>
              <w:top w:val="single" w:color="auto" w:sz="4" w:space="0"/>
            </w:tcBorders>
          </w:tcPr>
          <w:p>
            <w:pPr>
              <w:rPr>
                <w:rFonts w:ascii="宋体" w:hAnsi="宋体"/>
                <w:sz w:val="18"/>
                <w:szCs w:val="18"/>
              </w:rPr>
            </w:pPr>
          </w:p>
        </w:tc>
        <w:tc>
          <w:tcPr>
            <w:tcW w:w="1303" w:type="dxa"/>
            <w:gridSpan w:val="4"/>
            <w:vMerge w:val="continue"/>
            <w:tcBorders>
              <w:top w:val="single" w:color="auto" w:sz="4" w:space="0"/>
            </w:tcBorders>
          </w:tcPr>
          <w:p>
            <w:pPr>
              <w:rPr>
                <w:rFonts w:ascii="宋体" w:hAnsi="宋体"/>
                <w:sz w:val="18"/>
                <w:szCs w:val="18"/>
              </w:rPr>
            </w:pPr>
          </w:p>
        </w:tc>
        <w:tc>
          <w:tcPr>
            <w:tcW w:w="2238" w:type="dxa"/>
            <w:gridSpan w:val="8"/>
            <w:tcBorders>
              <w:top w:val="single" w:color="auto" w:sz="4" w:space="0"/>
            </w:tcBorders>
            <w:vAlign w:val="center"/>
          </w:tcPr>
          <w:p>
            <w:pPr>
              <w:jc w:val="center"/>
              <w:rPr>
                <w:rFonts w:ascii="宋体" w:hAnsi="宋体"/>
                <w:sz w:val="18"/>
                <w:szCs w:val="18"/>
              </w:rPr>
            </w:pPr>
            <w:r>
              <w:rPr>
                <w:rFonts w:hint="eastAsia" w:ascii="宋体" w:hAnsi="宋体"/>
                <w:sz w:val="18"/>
                <w:szCs w:val="18"/>
              </w:rPr>
              <w:t>厂房建筑面积      平方米</w:t>
            </w:r>
          </w:p>
        </w:tc>
        <w:tc>
          <w:tcPr>
            <w:tcW w:w="639" w:type="dxa"/>
            <w:gridSpan w:val="2"/>
            <w:vMerge w:val="continue"/>
            <w:tcBorders>
              <w:top w:val="single" w:color="auto" w:sz="4" w:space="0"/>
            </w:tcBorders>
          </w:tcPr>
          <w:p>
            <w:pPr>
              <w:rPr>
                <w:rFonts w:ascii="宋体" w:hAnsi="宋体"/>
                <w:sz w:val="18"/>
                <w:szCs w:val="18"/>
              </w:rPr>
            </w:pPr>
          </w:p>
        </w:tc>
        <w:tc>
          <w:tcPr>
            <w:tcW w:w="613" w:type="dxa"/>
            <w:gridSpan w:val="2"/>
            <w:vMerge w:val="continue"/>
          </w:tcPr>
          <w:p>
            <w:pPr>
              <w:rPr>
                <w:rFonts w:ascii="宋体" w:hAnsi="宋体"/>
                <w:sz w:val="18"/>
                <w:szCs w:val="18"/>
              </w:rPr>
            </w:pPr>
          </w:p>
        </w:tc>
        <w:tc>
          <w:tcPr>
            <w:tcW w:w="3509" w:type="dxa"/>
            <w:gridSpan w:val="9"/>
            <w:tcBorders>
              <w:top w:val="single" w:color="auto" w:sz="4" w:space="0"/>
            </w:tcBorders>
            <w:vAlign w:val="center"/>
          </w:tcPr>
          <w:p>
            <w:pPr>
              <w:rPr>
                <w:rFonts w:ascii="宋体" w:hAnsi="宋体"/>
                <w:sz w:val="18"/>
                <w:szCs w:val="18"/>
              </w:rPr>
            </w:pPr>
            <w:r>
              <w:rPr>
                <w:rFonts w:hint="eastAsia" w:ascii="宋体" w:hAnsi="宋体"/>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54" w:hRule="atLeast"/>
        </w:trPr>
        <w:tc>
          <w:tcPr>
            <w:tcW w:w="723" w:type="dxa"/>
            <w:vMerge w:val="restart"/>
            <w:vAlign w:val="center"/>
          </w:tcPr>
          <w:p>
            <w:pPr>
              <w:jc w:val="center"/>
              <w:rPr>
                <w:rFonts w:ascii="宋体" w:hAnsi="宋体"/>
                <w:sz w:val="18"/>
                <w:szCs w:val="18"/>
              </w:rPr>
            </w:pPr>
            <w:r>
              <w:rPr>
                <w:rFonts w:hint="eastAsia" w:ascii="宋体" w:hAnsi="宋体"/>
                <w:sz w:val="18"/>
                <w:szCs w:val="18"/>
              </w:rPr>
              <w:t>三、主</w:t>
            </w:r>
          </w:p>
          <w:p>
            <w:pPr>
              <w:jc w:val="center"/>
              <w:rPr>
                <w:rFonts w:ascii="宋体" w:hAnsi="宋体"/>
                <w:sz w:val="18"/>
                <w:szCs w:val="18"/>
              </w:rPr>
            </w:pPr>
            <w:r>
              <w:rPr>
                <w:rFonts w:hint="eastAsia" w:ascii="宋体" w:hAnsi="宋体"/>
                <w:sz w:val="18"/>
                <w:szCs w:val="18"/>
              </w:rPr>
              <w:t>要产品</w:t>
            </w:r>
          </w:p>
          <w:p>
            <w:pPr>
              <w:rPr>
                <w:rFonts w:ascii="宋体" w:hAnsi="宋体"/>
                <w:sz w:val="18"/>
                <w:szCs w:val="18"/>
              </w:rPr>
            </w:pPr>
            <w:r>
              <w:rPr>
                <w:rFonts w:hint="eastAsia" w:ascii="宋体" w:hAnsi="宋体"/>
                <w:sz w:val="18"/>
                <w:szCs w:val="18"/>
              </w:rPr>
              <w:t>情况</w:t>
            </w:r>
          </w:p>
        </w:tc>
        <w:tc>
          <w:tcPr>
            <w:tcW w:w="1152" w:type="dxa"/>
            <w:gridSpan w:val="2"/>
            <w:vAlign w:val="center"/>
          </w:tcPr>
          <w:p>
            <w:pPr>
              <w:jc w:val="center"/>
              <w:rPr>
                <w:rFonts w:ascii="宋体" w:hAnsi="宋体"/>
                <w:sz w:val="18"/>
                <w:szCs w:val="18"/>
              </w:rPr>
            </w:pPr>
            <w:r>
              <w:rPr>
                <w:rFonts w:hint="eastAsia" w:ascii="宋体" w:hAnsi="宋体"/>
                <w:sz w:val="18"/>
                <w:szCs w:val="18"/>
              </w:rPr>
              <w:t>产品名称</w:t>
            </w:r>
          </w:p>
        </w:tc>
        <w:tc>
          <w:tcPr>
            <w:tcW w:w="351" w:type="dxa"/>
            <w:gridSpan w:val="2"/>
            <w:vAlign w:val="center"/>
          </w:tcPr>
          <w:p>
            <w:pPr>
              <w:jc w:val="center"/>
              <w:rPr>
                <w:rFonts w:ascii="宋体" w:hAnsi="宋体"/>
                <w:sz w:val="18"/>
                <w:szCs w:val="18"/>
              </w:rPr>
            </w:pPr>
            <w:r>
              <w:rPr>
                <w:rFonts w:hint="eastAsia" w:ascii="宋体" w:hAnsi="宋体"/>
                <w:sz w:val="18"/>
                <w:szCs w:val="18"/>
              </w:rPr>
              <w:t>型 号</w:t>
            </w:r>
          </w:p>
        </w:tc>
        <w:tc>
          <w:tcPr>
            <w:tcW w:w="678" w:type="dxa"/>
            <w:gridSpan w:val="3"/>
            <w:vAlign w:val="center"/>
          </w:tcPr>
          <w:p>
            <w:pPr>
              <w:jc w:val="center"/>
              <w:rPr>
                <w:rFonts w:ascii="宋体" w:hAnsi="宋体"/>
                <w:sz w:val="18"/>
                <w:szCs w:val="18"/>
              </w:rPr>
            </w:pPr>
            <w:r>
              <w:rPr>
                <w:rFonts w:hint="eastAsia" w:ascii="宋体" w:hAnsi="宋体"/>
                <w:sz w:val="18"/>
                <w:szCs w:val="18"/>
              </w:rPr>
              <w:t>上年</w:t>
            </w:r>
          </w:p>
          <w:p>
            <w:pPr>
              <w:jc w:val="center"/>
              <w:rPr>
                <w:rFonts w:ascii="宋体" w:hAnsi="宋体"/>
                <w:sz w:val="18"/>
                <w:szCs w:val="18"/>
              </w:rPr>
            </w:pPr>
            <w:r>
              <w:rPr>
                <w:rFonts w:hint="eastAsia" w:ascii="宋体" w:hAnsi="宋体"/>
                <w:sz w:val="18"/>
                <w:szCs w:val="18"/>
              </w:rPr>
              <w:t>产量</w:t>
            </w:r>
          </w:p>
        </w:tc>
        <w:tc>
          <w:tcPr>
            <w:tcW w:w="570" w:type="dxa"/>
            <w:gridSpan w:val="3"/>
            <w:vAlign w:val="center"/>
          </w:tcPr>
          <w:p>
            <w:pPr>
              <w:jc w:val="center"/>
              <w:rPr>
                <w:rFonts w:ascii="宋体" w:hAnsi="宋体"/>
                <w:sz w:val="18"/>
                <w:szCs w:val="18"/>
              </w:rPr>
            </w:pPr>
            <w:r>
              <w:rPr>
                <w:rFonts w:hint="eastAsia" w:ascii="宋体" w:hAnsi="宋体"/>
                <w:sz w:val="18"/>
                <w:szCs w:val="18"/>
              </w:rPr>
              <w:t>上年</w:t>
            </w:r>
          </w:p>
          <w:p>
            <w:pPr>
              <w:jc w:val="center"/>
              <w:rPr>
                <w:rFonts w:ascii="宋体" w:hAnsi="宋体"/>
                <w:sz w:val="18"/>
                <w:szCs w:val="18"/>
              </w:rPr>
            </w:pPr>
            <w:r>
              <w:rPr>
                <w:rFonts w:hint="eastAsia" w:ascii="宋体" w:hAnsi="宋体"/>
                <w:sz w:val="18"/>
                <w:szCs w:val="18"/>
              </w:rPr>
              <w:t>产值</w:t>
            </w:r>
          </w:p>
        </w:tc>
        <w:tc>
          <w:tcPr>
            <w:tcW w:w="1770" w:type="dxa"/>
            <w:gridSpan w:val="4"/>
            <w:vAlign w:val="center"/>
          </w:tcPr>
          <w:p>
            <w:pPr>
              <w:jc w:val="center"/>
              <w:rPr>
                <w:rFonts w:ascii="宋体" w:hAnsi="宋体"/>
                <w:sz w:val="18"/>
                <w:szCs w:val="18"/>
              </w:rPr>
            </w:pPr>
            <w:r>
              <w:rPr>
                <w:rFonts w:hint="eastAsia" w:ascii="宋体" w:hAnsi="宋体"/>
                <w:sz w:val="18"/>
                <w:szCs w:val="18"/>
              </w:rPr>
              <w:t>产品技术先进水平</w:t>
            </w:r>
          </w:p>
        </w:tc>
        <w:tc>
          <w:tcPr>
            <w:tcW w:w="609" w:type="dxa"/>
            <w:gridSpan w:val="2"/>
            <w:vAlign w:val="center"/>
          </w:tcPr>
          <w:p>
            <w:pPr>
              <w:jc w:val="center"/>
              <w:rPr>
                <w:rFonts w:ascii="宋体" w:hAnsi="宋体"/>
                <w:sz w:val="18"/>
                <w:szCs w:val="18"/>
              </w:rPr>
            </w:pPr>
            <w:r>
              <w:rPr>
                <w:rFonts w:hint="eastAsia" w:ascii="宋体" w:hAnsi="宋体"/>
                <w:sz w:val="18"/>
                <w:szCs w:val="18"/>
              </w:rPr>
              <w:t>优质</w:t>
            </w:r>
          </w:p>
          <w:p>
            <w:pPr>
              <w:jc w:val="center"/>
              <w:rPr>
                <w:rFonts w:ascii="宋体" w:hAnsi="宋体"/>
                <w:sz w:val="18"/>
                <w:szCs w:val="18"/>
              </w:rPr>
            </w:pPr>
            <w:r>
              <w:rPr>
                <w:rFonts w:hint="eastAsia" w:ascii="宋体" w:hAnsi="宋体"/>
                <w:sz w:val="18"/>
                <w:szCs w:val="18"/>
              </w:rPr>
              <w:t>品率</w:t>
            </w:r>
          </w:p>
        </w:tc>
        <w:tc>
          <w:tcPr>
            <w:tcW w:w="789" w:type="dxa"/>
            <w:gridSpan w:val="4"/>
            <w:vAlign w:val="center"/>
          </w:tcPr>
          <w:p>
            <w:pPr>
              <w:jc w:val="center"/>
              <w:rPr>
                <w:rFonts w:ascii="宋体" w:hAnsi="宋体"/>
                <w:sz w:val="18"/>
                <w:szCs w:val="18"/>
              </w:rPr>
            </w:pPr>
            <w:r>
              <w:rPr>
                <w:rFonts w:hint="eastAsia" w:ascii="宋体" w:hAnsi="宋体"/>
                <w:sz w:val="18"/>
                <w:szCs w:val="18"/>
              </w:rPr>
              <w:t>一等品率</w:t>
            </w:r>
          </w:p>
        </w:tc>
        <w:tc>
          <w:tcPr>
            <w:tcW w:w="1803" w:type="dxa"/>
            <w:gridSpan w:val="4"/>
            <w:vAlign w:val="center"/>
          </w:tcPr>
          <w:p>
            <w:pPr>
              <w:jc w:val="center"/>
              <w:rPr>
                <w:rFonts w:ascii="宋体" w:hAnsi="宋体"/>
                <w:sz w:val="18"/>
                <w:szCs w:val="18"/>
              </w:rPr>
            </w:pPr>
            <w:r>
              <w:rPr>
                <w:rFonts w:hint="eastAsia" w:ascii="宋体" w:hAnsi="宋体"/>
                <w:sz w:val="18"/>
                <w:szCs w:val="18"/>
              </w:rPr>
              <w:t>曾获何级何种奖励</w:t>
            </w:r>
          </w:p>
        </w:tc>
        <w:tc>
          <w:tcPr>
            <w:tcW w:w="1080" w:type="dxa"/>
            <w:gridSpan w:val="2"/>
            <w:vAlign w:val="center"/>
          </w:tcPr>
          <w:p>
            <w:pPr>
              <w:jc w:val="center"/>
              <w:rPr>
                <w:rFonts w:ascii="宋体" w:hAnsi="宋体"/>
                <w:sz w:val="18"/>
                <w:szCs w:val="18"/>
              </w:rPr>
            </w:pPr>
            <w:r>
              <w:rPr>
                <w:rFonts w:hint="eastAsia" w:ascii="宋体" w:hAnsi="宋体"/>
                <w:sz w:val="18"/>
                <w:szCs w:val="18"/>
              </w:rPr>
              <w:t>主要用户</w:t>
            </w:r>
          </w:p>
          <w:p>
            <w:pPr>
              <w:jc w:val="center"/>
              <w:rPr>
                <w:rFonts w:ascii="宋体" w:hAnsi="宋体"/>
                <w:sz w:val="18"/>
                <w:szCs w:val="18"/>
              </w:rPr>
            </w:pPr>
            <w:r>
              <w:rPr>
                <w:rFonts w:hint="eastAsia" w:ascii="宋体" w:hAnsi="宋体"/>
                <w:sz w:val="18"/>
                <w:szCs w:val="18"/>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54" w:hRule="atLeast"/>
        </w:trPr>
        <w:tc>
          <w:tcPr>
            <w:tcW w:w="723" w:type="dxa"/>
            <w:vMerge w:val="continue"/>
          </w:tcPr>
          <w:p>
            <w:pPr>
              <w:rPr>
                <w:rFonts w:ascii="宋体" w:hAnsi="宋体"/>
                <w:sz w:val="18"/>
                <w:szCs w:val="18"/>
              </w:rPr>
            </w:pPr>
          </w:p>
        </w:tc>
        <w:tc>
          <w:tcPr>
            <w:tcW w:w="1152" w:type="dxa"/>
            <w:gridSpan w:val="2"/>
          </w:tcPr>
          <w:p>
            <w:pPr>
              <w:rPr>
                <w:rFonts w:ascii="宋体" w:hAnsi="宋体"/>
                <w:sz w:val="18"/>
                <w:szCs w:val="18"/>
              </w:rPr>
            </w:pPr>
          </w:p>
        </w:tc>
        <w:tc>
          <w:tcPr>
            <w:tcW w:w="351" w:type="dxa"/>
            <w:gridSpan w:val="2"/>
          </w:tcPr>
          <w:p>
            <w:pPr>
              <w:jc w:val="center"/>
              <w:rPr>
                <w:rFonts w:ascii="宋体" w:hAnsi="宋体"/>
                <w:sz w:val="18"/>
                <w:szCs w:val="18"/>
              </w:rPr>
            </w:pPr>
          </w:p>
        </w:tc>
        <w:tc>
          <w:tcPr>
            <w:tcW w:w="678" w:type="dxa"/>
            <w:gridSpan w:val="3"/>
          </w:tcPr>
          <w:p>
            <w:pPr>
              <w:rPr>
                <w:rFonts w:ascii="宋体" w:hAnsi="宋体"/>
                <w:sz w:val="18"/>
                <w:szCs w:val="18"/>
              </w:rPr>
            </w:pPr>
          </w:p>
        </w:tc>
        <w:tc>
          <w:tcPr>
            <w:tcW w:w="570" w:type="dxa"/>
            <w:gridSpan w:val="3"/>
          </w:tcPr>
          <w:p>
            <w:pPr>
              <w:rPr>
                <w:rFonts w:ascii="宋体" w:hAnsi="宋体"/>
                <w:sz w:val="18"/>
                <w:szCs w:val="18"/>
              </w:rPr>
            </w:pPr>
          </w:p>
        </w:tc>
        <w:tc>
          <w:tcPr>
            <w:tcW w:w="1770" w:type="dxa"/>
            <w:gridSpan w:val="4"/>
          </w:tcPr>
          <w:p>
            <w:pPr>
              <w:rPr>
                <w:rFonts w:ascii="宋体" w:hAnsi="宋体"/>
                <w:sz w:val="18"/>
                <w:szCs w:val="18"/>
              </w:rPr>
            </w:pPr>
          </w:p>
        </w:tc>
        <w:tc>
          <w:tcPr>
            <w:tcW w:w="609" w:type="dxa"/>
            <w:gridSpan w:val="2"/>
          </w:tcPr>
          <w:p>
            <w:pPr>
              <w:rPr>
                <w:rFonts w:ascii="宋体" w:hAnsi="宋体"/>
                <w:sz w:val="18"/>
                <w:szCs w:val="18"/>
              </w:rPr>
            </w:pPr>
          </w:p>
        </w:tc>
        <w:tc>
          <w:tcPr>
            <w:tcW w:w="789" w:type="dxa"/>
            <w:gridSpan w:val="4"/>
          </w:tcPr>
          <w:p>
            <w:pPr>
              <w:rPr>
                <w:rFonts w:ascii="宋体" w:hAnsi="宋体"/>
                <w:sz w:val="18"/>
                <w:szCs w:val="18"/>
              </w:rPr>
            </w:pPr>
          </w:p>
        </w:tc>
        <w:tc>
          <w:tcPr>
            <w:tcW w:w="1803" w:type="dxa"/>
            <w:gridSpan w:val="4"/>
          </w:tcPr>
          <w:p>
            <w:pPr>
              <w:rPr>
                <w:rFonts w:ascii="宋体" w:hAnsi="宋体"/>
                <w:sz w:val="18"/>
                <w:szCs w:val="18"/>
              </w:rPr>
            </w:pPr>
          </w:p>
        </w:tc>
        <w:tc>
          <w:tcPr>
            <w:tcW w:w="1080" w:type="dxa"/>
            <w:gridSpan w:val="2"/>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54" w:hRule="atLeast"/>
        </w:trPr>
        <w:tc>
          <w:tcPr>
            <w:tcW w:w="723" w:type="dxa"/>
            <w:vMerge w:val="continue"/>
          </w:tcPr>
          <w:p>
            <w:pPr>
              <w:rPr>
                <w:rFonts w:ascii="宋体" w:hAnsi="宋体"/>
                <w:sz w:val="18"/>
                <w:szCs w:val="18"/>
              </w:rPr>
            </w:pPr>
          </w:p>
        </w:tc>
        <w:tc>
          <w:tcPr>
            <w:tcW w:w="1152" w:type="dxa"/>
            <w:gridSpan w:val="2"/>
          </w:tcPr>
          <w:p>
            <w:pPr>
              <w:rPr>
                <w:rFonts w:ascii="宋体" w:hAnsi="宋体"/>
                <w:sz w:val="18"/>
                <w:szCs w:val="18"/>
              </w:rPr>
            </w:pPr>
          </w:p>
        </w:tc>
        <w:tc>
          <w:tcPr>
            <w:tcW w:w="351" w:type="dxa"/>
            <w:gridSpan w:val="2"/>
          </w:tcPr>
          <w:p>
            <w:pPr>
              <w:jc w:val="center"/>
              <w:rPr>
                <w:rFonts w:ascii="宋体" w:hAnsi="宋体"/>
                <w:sz w:val="18"/>
                <w:szCs w:val="18"/>
              </w:rPr>
            </w:pPr>
          </w:p>
        </w:tc>
        <w:tc>
          <w:tcPr>
            <w:tcW w:w="678" w:type="dxa"/>
            <w:gridSpan w:val="3"/>
          </w:tcPr>
          <w:p>
            <w:pPr>
              <w:rPr>
                <w:rFonts w:ascii="宋体" w:hAnsi="宋体"/>
                <w:sz w:val="18"/>
                <w:szCs w:val="18"/>
              </w:rPr>
            </w:pPr>
          </w:p>
        </w:tc>
        <w:tc>
          <w:tcPr>
            <w:tcW w:w="570" w:type="dxa"/>
            <w:gridSpan w:val="3"/>
          </w:tcPr>
          <w:p>
            <w:pPr>
              <w:rPr>
                <w:rFonts w:ascii="宋体" w:hAnsi="宋体"/>
                <w:sz w:val="18"/>
                <w:szCs w:val="18"/>
              </w:rPr>
            </w:pPr>
          </w:p>
        </w:tc>
        <w:tc>
          <w:tcPr>
            <w:tcW w:w="1770" w:type="dxa"/>
            <w:gridSpan w:val="4"/>
          </w:tcPr>
          <w:p>
            <w:pPr>
              <w:rPr>
                <w:rFonts w:ascii="宋体" w:hAnsi="宋体"/>
                <w:sz w:val="18"/>
                <w:szCs w:val="18"/>
              </w:rPr>
            </w:pPr>
          </w:p>
        </w:tc>
        <w:tc>
          <w:tcPr>
            <w:tcW w:w="609" w:type="dxa"/>
            <w:gridSpan w:val="2"/>
          </w:tcPr>
          <w:p>
            <w:pPr>
              <w:rPr>
                <w:rFonts w:ascii="宋体" w:hAnsi="宋体"/>
                <w:sz w:val="18"/>
                <w:szCs w:val="18"/>
              </w:rPr>
            </w:pPr>
          </w:p>
        </w:tc>
        <w:tc>
          <w:tcPr>
            <w:tcW w:w="789" w:type="dxa"/>
            <w:gridSpan w:val="4"/>
          </w:tcPr>
          <w:p>
            <w:pPr>
              <w:rPr>
                <w:rFonts w:ascii="宋体" w:hAnsi="宋体"/>
                <w:sz w:val="18"/>
                <w:szCs w:val="18"/>
              </w:rPr>
            </w:pPr>
          </w:p>
        </w:tc>
        <w:tc>
          <w:tcPr>
            <w:tcW w:w="1803" w:type="dxa"/>
            <w:gridSpan w:val="4"/>
          </w:tcPr>
          <w:p>
            <w:pPr>
              <w:rPr>
                <w:rFonts w:ascii="宋体" w:hAnsi="宋体"/>
                <w:sz w:val="18"/>
                <w:szCs w:val="18"/>
              </w:rPr>
            </w:pPr>
          </w:p>
        </w:tc>
        <w:tc>
          <w:tcPr>
            <w:tcW w:w="1080" w:type="dxa"/>
            <w:gridSpan w:val="2"/>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54" w:hRule="atLeast"/>
        </w:trPr>
        <w:tc>
          <w:tcPr>
            <w:tcW w:w="723" w:type="dxa"/>
            <w:vMerge w:val="continue"/>
          </w:tcPr>
          <w:p>
            <w:pPr>
              <w:rPr>
                <w:rFonts w:ascii="宋体" w:hAnsi="宋体"/>
                <w:sz w:val="18"/>
                <w:szCs w:val="18"/>
              </w:rPr>
            </w:pPr>
          </w:p>
        </w:tc>
        <w:tc>
          <w:tcPr>
            <w:tcW w:w="1152" w:type="dxa"/>
            <w:gridSpan w:val="2"/>
          </w:tcPr>
          <w:p>
            <w:pPr>
              <w:rPr>
                <w:rFonts w:ascii="宋体" w:hAnsi="宋体"/>
                <w:sz w:val="18"/>
                <w:szCs w:val="18"/>
              </w:rPr>
            </w:pPr>
          </w:p>
        </w:tc>
        <w:tc>
          <w:tcPr>
            <w:tcW w:w="351" w:type="dxa"/>
            <w:gridSpan w:val="2"/>
          </w:tcPr>
          <w:p>
            <w:pPr>
              <w:jc w:val="center"/>
              <w:rPr>
                <w:rFonts w:ascii="宋体" w:hAnsi="宋体"/>
                <w:sz w:val="18"/>
                <w:szCs w:val="18"/>
              </w:rPr>
            </w:pPr>
          </w:p>
        </w:tc>
        <w:tc>
          <w:tcPr>
            <w:tcW w:w="678" w:type="dxa"/>
            <w:gridSpan w:val="3"/>
          </w:tcPr>
          <w:p>
            <w:pPr>
              <w:rPr>
                <w:rFonts w:ascii="宋体" w:hAnsi="宋体"/>
                <w:sz w:val="18"/>
                <w:szCs w:val="18"/>
              </w:rPr>
            </w:pPr>
          </w:p>
        </w:tc>
        <w:tc>
          <w:tcPr>
            <w:tcW w:w="570" w:type="dxa"/>
            <w:gridSpan w:val="3"/>
          </w:tcPr>
          <w:p>
            <w:pPr>
              <w:rPr>
                <w:rFonts w:ascii="宋体" w:hAnsi="宋体"/>
                <w:sz w:val="18"/>
                <w:szCs w:val="18"/>
              </w:rPr>
            </w:pPr>
          </w:p>
        </w:tc>
        <w:tc>
          <w:tcPr>
            <w:tcW w:w="1770" w:type="dxa"/>
            <w:gridSpan w:val="4"/>
          </w:tcPr>
          <w:p>
            <w:pPr>
              <w:rPr>
                <w:rFonts w:ascii="宋体" w:hAnsi="宋体"/>
                <w:sz w:val="18"/>
                <w:szCs w:val="18"/>
              </w:rPr>
            </w:pPr>
          </w:p>
        </w:tc>
        <w:tc>
          <w:tcPr>
            <w:tcW w:w="609" w:type="dxa"/>
            <w:gridSpan w:val="2"/>
          </w:tcPr>
          <w:p>
            <w:pPr>
              <w:rPr>
                <w:rFonts w:ascii="宋体" w:hAnsi="宋体"/>
                <w:sz w:val="18"/>
                <w:szCs w:val="18"/>
              </w:rPr>
            </w:pPr>
          </w:p>
        </w:tc>
        <w:tc>
          <w:tcPr>
            <w:tcW w:w="789" w:type="dxa"/>
            <w:gridSpan w:val="4"/>
          </w:tcPr>
          <w:p>
            <w:pPr>
              <w:rPr>
                <w:rFonts w:ascii="宋体" w:hAnsi="宋体"/>
                <w:sz w:val="18"/>
                <w:szCs w:val="18"/>
              </w:rPr>
            </w:pPr>
          </w:p>
        </w:tc>
        <w:tc>
          <w:tcPr>
            <w:tcW w:w="1803" w:type="dxa"/>
            <w:gridSpan w:val="4"/>
          </w:tcPr>
          <w:p>
            <w:pPr>
              <w:rPr>
                <w:rFonts w:ascii="宋体" w:hAnsi="宋体"/>
                <w:sz w:val="18"/>
                <w:szCs w:val="18"/>
              </w:rPr>
            </w:pPr>
          </w:p>
        </w:tc>
        <w:tc>
          <w:tcPr>
            <w:tcW w:w="1080" w:type="dxa"/>
            <w:gridSpan w:val="2"/>
          </w:tcPr>
          <w:p>
            <w:pPr>
              <w:rPr>
                <w:rFonts w:ascii="宋体" w:hAnsi="宋体"/>
                <w:sz w:val="18"/>
                <w:szCs w:val="18"/>
              </w:rPr>
            </w:pPr>
          </w:p>
        </w:tc>
      </w:tr>
    </w:tbl>
    <w:p>
      <w:pPr>
        <w:rPr>
          <w:rFonts w:ascii="宋体" w:hAnsi="宋体"/>
        </w:rPr>
      </w:pPr>
    </w:p>
    <w:p>
      <w:pPr>
        <w:rPr>
          <w:rFonts w:ascii="宋体" w:hAnsi="宋体"/>
        </w:rPr>
      </w:pPr>
    </w:p>
    <w:p>
      <w:pPr>
        <w:spacing w:line="660" w:lineRule="exact"/>
        <w:rPr>
          <w:rFonts w:ascii="宋体" w:hAnsi="宋体"/>
          <w:sz w:val="24"/>
        </w:rPr>
      </w:pPr>
      <w:r>
        <w:rPr>
          <w:rFonts w:hint="eastAsia" w:ascii="宋体" w:hAnsi="宋体"/>
          <w:sz w:val="24"/>
        </w:rPr>
        <w:t>投标方：（盖章）</w:t>
      </w:r>
    </w:p>
    <w:p>
      <w:pPr>
        <w:spacing w:line="660" w:lineRule="exact"/>
        <w:rPr>
          <w:rFonts w:ascii="宋体" w:hAnsi="宋体"/>
          <w:sz w:val="24"/>
        </w:rPr>
      </w:pPr>
      <w:r>
        <w:rPr>
          <w:rFonts w:hint="eastAsia" w:ascii="宋体" w:hAnsi="宋体"/>
          <w:sz w:val="24"/>
        </w:rPr>
        <w:t>法定代表人（委托代理人）：（签字）</w:t>
      </w:r>
    </w:p>
    <w:p>
      <w:pPr>
        <w:pStyle w:val="31"/>
        <w:spacing w:after="0" w:line="560" w:lineRule="exact"/>
        <w:rPr>
          <w:rFonts w:ascii="宋体" w:hAnsi="宋体"/>
        </w:rPr>
        <w:sectPr>
          <w:pgSz w:w="11907" w:h="16840"/>
          <w:pgMar w:top="1702" w:right="1418" w:bottom="1418" w:left="1418" w:header="851" w:footer="822" w:gutter="0"/>
          <w:cols w:space="720" w:num="1"/>
          <w:docGrid w:linePitch="290" w:charSpace="-3931"/>
        </w:sectPr>
      </w:pPr>
      <w:r>
        <w:rPr>
          <w:rFonts w:hint="eastAsia" w:ascii="宋体" w:hAnsi="宋体"/>
          <w:sz w:val="24"/>
        </w:rPr>
        <w:t>日  期：年月日</w:t>
      </w:r>
    </w:p>
    <w:p>
      <w:pPr>
        <w:pStyle w:val="5"/>
        <w:spacing w:before="120" w:after="120" w:line="360" w:lineRule="exact"/>
        <w:rPr>
          <w:rFonts w:ascii="宋体" w:hAnsi="宋体"/>
          <w:b w:val="0"/>
          <w:bCs w:val="0"/>
          <w:sz w:val="24"/>
          <w:szCs w:val="24"/>
        </w:rPr>
      </w:pPr>
      <w:bookmarkStart w:id="241" w:name="_Toc453709583"/>
      <w:bookmarkStart w:id="242" w:name="_Toc9440"/>
      <w:r>
        <w:rPr>
          <w:rFonts w:hint="eastAsia" w:ascii="宋体" w:hAnsi="宋体" w:cs="宋体"/>
          <w:b w:val="0"/>
          <w:bCs w:val="0"/>
          <w:sz w:val="24"/>
          <w:szCs w:val="24"/>
        </w:rPr>
        <w:t>附件四：开标一览表</w:t>
      </w:r>
      <w:bookmarkEnd w:id="241"/>
      <w:bookmarkEnd w:id="242"/>
    </w:p>
    <w:p>
      <w:pPr>
        <w:pStyle w:val="31"/>
        <w:spacing w:after="0" w:line="460" w:lineRule="exact"/>
        <w:jc w:val="center"/>
        <w:rPr>
          <w:rFonts w:ascii="宋体" w:hAnsi="宋体"/>
          <w:b/>
          <w:bCs/>
          <w:sz w:val="32"/>
          <w:szCs w:val="32"/>
        </w:rPr>
      </w:pPr>
      <w:r>
        <w:rPr>
          <w:rFonts w:hint="eastAsia" w:ascii="宋体" w:hAnsi="宋体" w:cs="宋体"/>
          <w:b/>
          <w:bCs/>
          <w:sz w:val="32"/>
          <w:szCs w:val="32"/>
        </w:rPr>
        <w:t>开标一览表</w:t>
      </w:r>
    </w:p>
    <w:p>
      <w:pPr>
        <w:pStyle w:val="32"/>
        <w:spacing w:line="360" w:lineRule="exact"/>
        <w:ind w:left="0" w:leftChars="0" w:firstLine="0" w:firstLineChars="0"/>
        <w:rPr>
          <w:rFonts w:ascii="宋体" w:hAnsi="宋体" w:cs="宋体"/>
          <w:sz w:val="24"/>
          <w:szCs w:val="24"/>
        </w:rPr>
      </w:pPr>
      <w:r>
        <w:rPr>
          <w:rFonts w:hint="eastAsia" w:ascii="宋体" w:hAnsi="宋体" w:cs="宋体"/>
          <w:sz w:val="24"/>
          <w:szCs w:val="24"/>
        </w:rPr>
        <w:t>项目编号</w:t>
      </w:r>
      <w:r>
        <w:rPr>
          <w:rFonts w:hint="eastAsia" w:ascii="宋体" w:hAnsi="宋体" w:cs="宋体"/>
          <w:b/>
          <w:bCs/>
          <w:sz w:val="24"/>
          <w:szCs w:val="24"/>
        </w:rPr>
        <w:t>：</w:t>
      </w:r>
    </w:p>
    <w:p>
      <w:pPr>
        <w:pStyle w:val="32"/>
        <w:spacing w:line="360" w:lineRule="exact"/>
        <w:ind w:left="0" w:leftChars="0" w:firstLine="0" w:firstLineChars="0"/>
        <w:rPr>
          <w:rFonts w:ascii="宋体" w:hAnsi="宋体"/>
        </w:rPr>
      </w:pPr>
      <w:r>
        <w:rPr>
          <w:rFonts w:hint="eastAsia" w:ascii="宋体" w:hAnsi="宋体" w:cs="宋体"/>
          <w:sz w:val="24"/>
          <w:szCs w:val="24"/>
        </w:rPr>
        <w:t>项目名称</w:t>
      </w:r>
      <w:r>
        <w:rPr>
          <w:rFonts w:hint="eastAsia" w:ascii="宋体" w:hAnsi="宋体" w:cs="宋体"/>
          <w:b/>
          <w:bCs/>
          <w:sz w:val="24"/>
          <w:szCs w:val="24"/>
        </w:rPr>
        <w:t>：</w:t>
      </w:r>
    </w:p>
    <w:tbl>
      <w:tblPr>
        <w:tblStyle w:val="7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4"/>
        <w:gridCol w:w="6"/>
        <w:gridCol w:w="1177"/>
        <w:gridCol w:w="5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trPr>
        <w:tc>
          <w:tcPr>
            <w:tcW w:w="2070" w:type="dxa"/>
            <w:gridSpan w:val="2"/>
            <w:tcBorders>
              <w:top w:val="single" w:color="auto" w:sz="4" w:space="0"/>
              <w:left w:val="single" w:color="auto" w:sz="4" w:space="0"/>
              <w:bottom w:val="single" w:color="auto" w:sz="4" w:space="0"/>
              <w:right w:val="single" w:color="auto" w:sz="4" w:space="0"/>
            </w:tcBorders>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bCs/>
                <w:sz w:val="24"/>
              </w:rPr>
            </w:pPr>
            <w:r>
              <w:rPr>
                <w:rFonts w:hint="eastAsia" w:ascii="宋体" w:hAnsi="宋体"/>
                <w:sz w:val="24"/>
              </w:rPr>
              <w:t>投标方名称</w:t>
            </w:r>
          </w:p>
        </w:tc>
        <w:tc>
          <w:tcPr>
            <w:tcW w:w="6936" w:type="dxa"/>
            <w:gridSpan w:val="2"/>
            <w:tcBorders>
              <w:top w:val="single" w:color="auto" w:sz="4" w:space="0"/>
              <w:left w:val="single" w:color="auto" w:sz="4" w:space="0"/>
              <w:bottom w:val="single" w:color="auto" w:sz="4" w:space="0"/>
              <w:right w:val="single" w:color="auto" w:sz="4" w:space="0"/>
            </w:tcBorders>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trPr>
        <w:tc>
          <w:tcPr>
            <w:tcW w:w="2064" w:type="dxa"/>
            <w:vMerge w:val="restart"/>
            <w:tcBorders>
              <w:top w:val="single" w:color="auto" w:sz="4" w:space="0"/>
              <w:left w:val="single" w:color="auto" w:sz="4" w:space="0"/>
              <w:bottom w:val="single" w:color="auto" w:sz="4" w:space="0"/>
              <w:right w:val="single" w:color="auto" w:sz="4" w:space="0"/>
            </w:tcBorders>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sz w:val="24"/>
              </w:rPr>
            </w:pPr>
            <w:r>
              <w:rPr>
                <w:rFonts w:hint="eastAsia" w:ascii="宋体" w:hAnsi="宋体"/>
                <w:sz w:val="24"/>
              </w:rPr>
              <w:t>投标总报价</w:t>
            </w:r>
          </w:p>
        </w:tc>
        <w:tc>
          <w:tcPr>
            <w:tcW w:w="6942" w:type="dxa"/>
            <w:gridSpan w:val="3"/>
            <w:tcBorders>
              <w:top w:val="single" w:color="auto" w:sz="4" w:space="0"/>
              <w:left w:val="single" w:color="auto" w:sz="4" w:space="0"/>
              <w:bottom w:val="single" w:color="auto" w:sz="4" w:space="0"/>
              <w:right w:val="single" w:color="auto" w:sz="4" w:space="0"/>
            </w:tcBorders>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bCs/>
                <w:sz w:val="24"/>
              </w:rPr>
            </w:pPr>
            <w:r>
              <w:rPr>
                <w:rFonts w:hint="eastAsia" w:ascii="宋体" w:hAnsi="宋体"/>
                <w:bCs/>
                <w:sz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trPr>
        <w:tc>
          <w:tcPr>
            <w:tcW w:w="206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rPr>
            </w:pPr>
          </w:p>
        </w:tc>
        <w:tc>
          <w:tcPr>
            <w:tcW w:w="6942" w:type="dxa"/>
            <w:gridSpan w:val="3"/>
            <w:tcBorders>
              <w:top w:val="single" w:color="auto" w:sz="4" w:space="0"/>
              <w:left w:val="single" w:color="auto" w:sz="4" w:space="0"/>
              <w:bottom w:val="single" w:color="auto" w:sz="4" w:space="0"/>
              <w:right w:val="single" w:color="auto" w:sz="4" w:space="0"/>
            </w:tcBorders>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bCs/>
                <w:sz w:val="24"/>
              </w:rPr>
            </w:pPr>
            <w:r>
              <w:rPr>
                <w:rFonts w:hint="eastAsia" w:ascii="宋体" w:hAnsi="宋体"/>
                <w:bCs/>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trPr>
        <w:tc>
          <w:tcPr>
            <w:tcW w:w="3247" w:type="dxa"/>
            <w:gridSpan w:val="3"/>
            <w:tcBorders>
              <w:top w:val="single" w:color="auto" w:sz="4" w:space="0"/>
              <w:left w:val="single" w:color="auto" w:sz="4" w:space="0"/>
              <w:bottom w:val="single" w:color="auto" w:sz="4" w:space="0"/>
              <w:right w:val="single" w:color="auto" w:sz="4" w:space="0"/>
            </w:tcBorders>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sz w:val="24"/>
              </w:rPr>
            </w:pPr>
            <w:r>
              <w:rPr>
                <w:rFonts w:hint="eastAsia" w:ascii="宋体" w:hAnsi="宋体"/>
                <w:sz w:val="24"/>
              </w:rPr>
              <w:t>交货期</w:t>
            </w:r>
          </w:p>
        </w:tc>
        <w:tc>
          <w:tcPr>
            <w:tcW w:w="5759" w:type="dxa"/>
            <w:tcBorders>
              <w:top w:val="single" w:color="auto" w:sz="4" w:space="0"/>
              <w:left w:val="single" w:color="auto" w:sz="4" w:space="0"/>
              <w:bottom w:val="single" w:color="auto" w:sz="4" w:space="0"/>
              <w:right w:val="single" w:color="auto" w:sz="4" w:space="0"/>
            </w:tcBorders>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bCs/>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3247" w:type="dxa"/>
            <w:gridSpan w:val="3"/>
            <w:tcBorders>
              <w:top w:val="single" w:color="auto" w:sz="4" w:space="0"/>
              <w:left w:val="single" w:color="auto" w:sz="4" w:space="0"/>
              <w:bottom w:val="single" w:color="auto" w:sz="4" w:space="0"/>
              <w:right w:val="single" w:color="auto" w:sz="4" w:space="0"/>
            </w:tcBorders>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sz w:val="24"/>
              </w:rPr>
            </w:pPr>
            <w:r>
              <w:rPr>
                <w:rFonts w:hint="eastAsia" w:ascii="宋体" w:hAnsi="宋体"/>
                <w:sz w:val="24"/>
              </w:rPr>
              <w:t>质保期</w:t>
            </w:r>
          </w:p>
        </w:tc>
        <w:tc>
          <w:tcPr>
            <w:tcW w:w="5759" w:type="dxa"/>
            <w:tcBorders>
              <w:top w:val="single" w:color="auto" w:sz="4" w:space="0"/>
              <w:left w:val="single" w:color="auto" w:sz="4" w:space="0"/>
              <w:bottom w:val="single" w:color="auto" w:sz="4" w:space="0"/>
              <w:right w:val="single" w:color="auto" w:sz="4" w:space="0"/>
            </w:tcBorders>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bCs/>
                <w:sz w:val="24"/>
              </w:rPr>
            </w:pPr>
            <w:r>
              <w:rPr>
                <w:rFonts w:hint="eastAsia" w:ascii="宋体" w:hAnsi="宋体"/>
                <w:bCs/>
                <w:sz w:val="24"/>
              </w:rPr>
              <w:t>自最终验收报告签署之日（以签署日期最晚者为准）起年。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3247" w:type="dxa"/>
            <w:gridSpan w:val="3"/>
            <w:tcBorders>
              <w:top w:val="single" w:color="auto" w:sz="4" w:space="0"/>
              <w:left w:val="single" w:color="auto" w:sz="4" w:space="0"/>
              <w:bottom w:val="single" w:color="auto" w:sz="4" w:space="0"/>
              <w:right w:val="single" w:color="auto" w:sz="4" w:space="0"/>
            </w:tcBorders>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sz w:val="24"/>
              </w:rPr>
            </w:pPr>
            <w:r>
              <w:rPr>
                <w:rFonts w:hint="eastAsia" w:ascii="宋体" w:hAnsi="宋体"/>
                <w:sz w:val="24"/>
              </w:rPr>
              <w:t>对招标文件的响应程度</w:t>
            </w:r>
          </w:p>
          <w:p>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sz w:val="24"/>
              </w:rPr>
            </w:pPr>
            <w:r>
              <w:rPr>
                <w:rFonts w:hint="eastAsia" w:ascii="宋体" w:hAnsi="宋体"/>
                <w:sz w:val="24"/>
              </w:rPr>
              <w:t>（是否完全响应）</w:t>
            </w:r>
          </w:p>
        </w:tc>
        <w:tc>
          <w:tcPr>
            <w:tcW w:w="5759" w:type="dxa"/>
            <w:tcBorders>
              <w:top w:val="single" w:color="auto" w:sz="4" w:space="0"/>
              <w:left w:val="single" w:color="auto" w:sz="4" w:space="0"/>
              <w:bottom w:val="single" w:color="auto" w:sz="4" w:space="0"/>
              <w:right w:val="single" w:color="auto" w:sz="4" w:space="0"/>
            </w:tcBorders>
          </w:tcPr>
          <w:p>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bCs/>
                <w:sz w:val="24"/>
              </w:rPr>
            </w:pPr>
          </w:p>
        </w:tc>
      </w:tr>
    </w:tbl>
    <w:p>
      <w:pPr>
        <w:spacing w:line="400" w:lineRule="exact"/>
        <w:rPr>
          <w:rFonts w:ascii="宋体" w:hAnsi="宋体"/>
          <w:b/>
          <w:bCs/>
        </w:rPr>
      </w:pPr>
    </w:p>
    <w:p>
      <w:pPr>
        <w:spacing w:line="400" w:lineRule="exact"/>
        <w:rPr>
          <w:rFonts w:ascii="宋体" w:hAnsi="宋体"/>
        </w:rPr>
      </w:pPr>
      <w:r>
        <w:rPr>
          <w:rFonts w:hint="eastAsia" w:ascii="宋体" w:hAnsi="宋体"/>
          <w:b/>
          <w:bCs/>
        </w:rPr>
        <w:t>注：</w:t>
      </w:r>
    </w:p>
    <w:p>
      <w:pPr>
        <w:spacing w:line="520" w:lineRule="exact"/>
        <w:rPr>
          <w:rFonts w:ascii="宋体" w:hAnsi="宋体"/>
          <w:b/>
          <w:bCs/>
        </w:rPr>
      </w:pPr>
      <w:r>
        <w:rPr>
          <w:rFonts w:hint="eastAsia" w:ascii="宋体" w:hAnsi="宋体"/>
          <w:b/>
          <w:bCs/>
        </w:rPr>
        <w:t>1、此表中的报价必须与相应的报价明细表中的报价一致。</w:t>
      </w:r>
    </w:p>
    <w:p>
      <w:pPr>
        <w:spacing w:line="300" w:lineRule="auto"/>
        <w:rPr>
          <w:rFonts w:ascii="宋体" w:hAnsi="宋体"/>
          <w:b/>
          <w:bCs/>
        </w:rPr>
      </w:pPr>
      <w:r>
        <w:rPr>
          <w:rFonts w:hint="eastAsia" w:ascii="宋体" w:hAnsi="宋体"/>
          <w:b/>
          <w:bCs/>
        </w:rPr>
        <w:t>2、本表除附在投标文件中外，还应一式三份单独密封，以便唱标。</w:t>
      </w:r>
    </w:p>
    <w:p>
      <w:pPr>
        <w:spacing w:line="660" w:lineRule="exact"/>
        <w:rPr>
          <w:rFonts w:ascii="宋体" w:hAnsi="宋体"/>
          <w:sz w:val="24"/>
        </w:rPr>
      </w:pPr>
    </w:p>
    <w:p>
      <w:pPr>
        <w:spacing w:line="660" w:lineRule="exact"/>
        <w:rPr>
          <w:rFonts w:ascii="宋体" w:hAnsi="宋体"/>
          <w:sz w:val="24"/>
        </w:rPr>
      </w:pPr>
      <w:r>
        <w:rPr>
          <w:rFonts w:hint="eastAsia" w:ascii="宋体" w:hAnsi="宋体"/>
          <w:sz w:val="24"/>
        </w:rPr>
        <w:t>投标方：（盖章）</w:t>
      </w:r>
    </w:p>
    <w:p>
      <w:pPr>
        <w:spacing w:line="660" w:lineRule="exact"/>
        <w:rPr>
          <w:rFonts w:ascii="宋体" w:hAnsi="宋体"/>
          <w:sz w:val="24"/>
        </w:rPr>
      </w:pPr>
      <w:r>
        <w:rPr>
          <w:rFonts w:hint="eastAsia" w:ascii="宋体" w:hAnsi="宋体"/>
          <w:sz w:val="24"/>
        </w:rPr>
        <w:t>法定代表人（委托代理人）：（签字）</w:t>
      </w:r>
    </w:p>
    <w:p>
      <w:pPr>
        <w:spacing w:line="660" w:lineRule="exact"/>
        <w:rPr>
          <w:rFonts w:ascii="宋体" w:hAnsi="宋体"/>
          <w:sz w:val="24"/>
        </w:rPr>
      </w:pPr>
      <w:r>
        <w:rPr>
          <w:rFonts w:hint="eastAsia" w:ascii="宋体" w:hAnsi="宋体"/>
          <w:sz w:val="24"/>
        </w:rPr>
        <w:t>日  期：年月日</w:t>
      </w:r>
    </w:p>
    <w:p>
      <w:pPr>
        <w:spacing w:line="400" w:lineRule="exact"/>
        <w:ind w:right="120" w:firstLine="720" w:firstLineChars="300"/>
        <w:jc w:val="right"/>
        <w:rPr>
          <w:rFonts w:ascii="宋体" w:hAnsi="宋体"/>
          <w:sz w:val="24"/>
          <w:szCs w:val="24"/>
        </w:rPr>
      </w:pPr>
    </w:p>
    <w:p>
      <w:pPr>
        <w:pStyle w:val="31"/>
        <w:spacing w:after="0"/>
        <w:jc w:val="right"/>
        <w:outlineLvl w:val="0"/>
        <w:rPr>
          <w:rFonts w:ascii="宋体" w:hAnsi="宋体"/>
        </w:rPr>
        <w:sectPr>
          <w:pgSz w:w="11907" w:h="16840"/>
          <w:pgMar w:top="1418" w:right="1418" w:bottom="1418" w:left="1418" w:header="851" w:footer="851" w:gutter="0"/>
          <w:cols w:space="720" w:num="1"/>
          <w:docGrid w:linePitch="290" w:charSpace="-3931"/>
        </w:sectPr>
      </w:pPr>
    </w:p>
    <w:p>
      <w:pPr>
        <w:pStyle w:val="5"/>
        <w:spacing w:before="120" w:after="120" w:line="360" w:lineRule="exact"/>
        <w:rPr>
          <w:rFonts w:ascii="宋体" w:hAnsi="宋体" w:cs="宋体"/>
          <w:b w:val="0"/>
          <w:bCs w:val="0"/>
          <w:sz w:val="24"/>
          <w:szCs w:val="24"/>
        </w:rPr>
      </w:pPr>
      <w:bookmarkStart w:id="243" w:name="_Toc22341"/>
      <w:bookmarkStart w:id="244" w:name="_Toc10773"/>
      <w:bookmarkStart w:id="245" w:name="_Toc424118185"/>
      <w:bookmarkStart w:id="246" w:name="_Toc18551"/>
      <w:bookmarkStart w:id="247" w:name="_Toc353881016"/>
      <w:bookmarkStart w:id="248" w:name="_Toc518655808"/>
      <w:r>
        <w:rPr>
          <w:rFonts w:hint="eastAsia" w:ascii="宋体" w:hAnsi="宋体" w:cs="宋体"/>
          <w:b w:val="0"/>
          <w:bCs w:val="0"/>
          <w:sz w:val="24"/>
          <w:szCs w:val="24"/>
        </w:rPr>
        <w:t>附件五、投标分项报价表</w:t>
      </w:r>
      <w:bookmarkEnd w:id="243"/>
      <w:bookmarkEnd w:id="244"/>
      <w:bookmarkEnd w:id="245"/>
      <w:bookmarkEnd w:id="246"/>
      <w:bookmarkEnd w:id="247"/>
      <w:bookmarkEnd w:id="248"/>
    </w:p>
    <w:p>
      <w:pPr>
        <w:pStyle w:val="31"/>
        <w:spacing w:after="0" w:line="460" w:lineRule="exact"/>
        <w:jc w:val="center"/>
        <w:rPr>
          <w:rFonts w:ascii="宋体" w:hAnsi="宋体" w:cs="宋体"/>
          <w:b/>
          <w:bCs/>
          <w:sz w:val="32"/>
          <w:szCs w:val="32"/>
        </w:rPr>
      </w:pPr>
      <w:r>
        <w:rPr>
          <w:rFonts w:hint="eastAsia" w:ascii="宋体" w:hAnsi="宋体" w:cs="宋体"/>
          <w:b/>
          <w:bCs/>
          <w:sz w:val="32"/>
          <w:szCs w:val="32"/>
        </w:rPr>
        <w:t>投标分项报价表</w:t>
      </w:r>
    </w:p>
    <w:p>
      <w:pPr>
        <w:pStyle w:val="31"/>
        <w:spacing w:after="0" w:line="460" w:lineRule="exact"/>
        <w:jc w:val="center"/>
        <w:rPr>
          <w:rFonts w:ascii="宋体" w:hAnsi="宋体" w:cs="宋体"/>
          <w:b/>
          <w:bCs/>
          <w:sz w:val="32"/>
          <w:szCs w:val="32"/>
        </w:rPr>
      </w:pPr>
      <w:r>
        <w:rPr>
          <w:rFonts w:hint="eastAsia" w:ascii="宋体" w:hAnsi="宋体" w:cs="宋体"/>
          <w:b/>
          <w:bCs/>
          <w:sz w:val="32"/>
          <w:szCs w:val="32"/>
        </w:rPr>
        <w:t>（具体格式件附件5的模具分项报价表）</w:t>
      </w: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r>
        <w:rPr>
          <w:rFonts w:hint="eastAsia" w:ascii="宋体" w:hAnsi="宋体"/>
          <w:b/>
          <w:sz w:val="24"/>
        </w:rPr>
        <w:t>注：</w:t>
      </w:r>
    </w:p>
    <w:p>
      <w:pPr>
        <w:numPr>
          <w:ilvl w:val="0"/>
          <w:numId w:val="8"/>
        </w:numPr>
        <w:rPr>
          <w:rFonts w:ascii="宋体" w:hAnsi="宋体"/>
          <w:sz w:val="24"/>
        </w:rPr>
      </w:pPr>
      <w:r>
        <w:rPr>
          <w:rFonts w:hint="eastAsia" w:ascii="宋体" w:hAnsi="宋体"/>
          <w:sz w:val="24"/>
        </w:rPr>
        <w:t>选购件不包括在本报价表内，应另附纸分项单报。</w:t>
      </w:r>
    </w:p>
    <w:p>
      <w:pPr>
        <w:numPr>
          <w:ilvl w:val="0"/>
          <w:numId w:val="8"/>
        </w:numPr>
        <w:rPr>
          <w:rFonts w:ascii="宋体" w:hAnsi="宋体"/>
          <w:sz w:val="24"/>
        </w:rPr>
      </w:pPr>
      <w:r>
        <w:rPr>
          <w:rFonts w:hint="eastAsia" w:ascii="宋体" w:hAnsi="宋体"/>
          <w:sz w:val="24"/>
        </w:rPr>
        <w:t>如上表中的有关费用投标方免费提供，请注明“免费”字样。</w:t>
      </w:r>
    </w:p>
    <w:p>
      <w:pPr>
        <w:spacing w:line="660" w:lineRule="exact"/>
        <w:rPr>
          <w:rFonts w:ascii="宋体" w:hAnsi="宋体"/>
          <w:sz w:val="24"/>
        </w:rPr>
      </w:pPr>
      <w:r>
        <w:rPr>
          <w:rFonts w:hint="eastAsia" w:ascii="宋体" w:hAnsi="宋体"/>
          <w:sz w:val="24"/>
        </w:rPr>
        <w:t>投标方：（盖章）</w:t>
      </w:r>
    </w:p>
    <w:p>
      <w:pPr>
        <w:spacing w:line="660" w:lineRule="exact"/>
        <w:rPr>
          <w:rFonts w:ascii="宋体" w:hAnsi="宋体"/>
          <w:sz w:val="24"/>
        </w:rPr>
      </w:pPr>
      <w:r>
        <w:rPr>
          <w:rFonts w:hint="eastAsia" w:ascii="宋体" w:hAnsi="宋体"/>
          <w:sz w:val="24"/>
        </w:rPr>
        <w:t>法定代表人（委托代理人）：（签字）</w:t>
      </w:r>
    </w:p>
    <w:p>
      <w:pPr>
        <w:spacing w:line="660" w:lineRule="exact"/>
        <w:rPr>
          <w:rFonts w:ascii="宋体" w:hAnsi="宋体"/>
          <w:sz w:val="24"/>
        </w:rPr>
      </w:pPr>
      <w:r>
        <w:rPr>
          <w:rFonts w:hint="eastAsia" w:ascii="宋体" w:hAnsi="宋体"/>
          <w:sz w:val="24"/>
        </w:rPr>
        <w:t>日  期：年月日</w:t>
      </w:r>
    </w:p>
    <w:p>
      <w:pPr>
        <w:spacing w:line="660" w:lineRule="exact"/>
        <w:rPr>
          <w:rFonts w:ascii="宋体" w:hAnsi="宋体"/>
          <w:sz w:val="24"/>
        </w:rPr>
      </w:pPr>
    </w:p>
    <w:p>
      <w:pPr>
        <w:spacing w:line="660" w:lineRule="exact"/>
        <w:rPr>
          <w:rFonts w:ascii="宋体" w:hAnsi="宋体"/>
          <w:sz w:val="24"/>
        </w:rPr>
      </w:pPr>
    </w:p>
    <w:p>
      <w:pPr>
        <w:spacing w:line="660" w:lineRule="exact"/>
        <w:rPr>
          <w:rFonts w:ascii="宋体" w:hAnsi="宋体"/>
          <w:sz w:val="24"/>
        </w:rPr>
      </w:pPr>
    </w:p>
    <w:p>
      <w:pPr>
        <w:spacing w:line="660" w:lineRule="exact"/>
        <w:rPr>
          <w:rFonts w:ascii="宋体" w:hAnsi="宋体"/>
          <w:sz w:val="24"/>
        </w:rPr>
      </w:pPr>
    </w:p>
    <w:p>
      <w:pPr>
        <w:spacing w:line="660" w:lineRule="exact"/>
        <w:rPr>
          <w:rFonts w:ascii="宋体" w:hAnsi="宋体"/>
          <w:sz w:val="24"/>
        </w:rPr>
      </w:pPr>
    </w:p>
    <w:p>
      <w:pPr>
        <w:spacing w:line="660" w:lineRule="exact"/>
        <w:rPr>
          <w:rFonts w:ascii="宋体" w:hAnsi="宋体"/>
          <w:sz w:val="24"/>
        </w:rPr>
      </w:pPr>
    </w:p>
    <w:p>
      <w:pPr>
        <w:pStyle w:val="5"/>
        <w:spacing w:before="120" w:after="120" w:line="360" w:lineRule="exact"/>
        <w:rPr>
          <w:rFonts w:ascii="宋体" w:hAnsi="宋体" w:cs="宋体"/>
          <w:b w:val="0"/>
          <w:bCs w:val="0"/>
          <w:sz w:val="24"/>
          <w:szCs w:val="24"/>
        </w:rPr>
      </w:pPr>
      <w:bookmarkStart w:id="249" w:name="_Toc28588"/>
      <w:bookmarkStart w:id="250" w:name="_Toc424118186"/>
      <w:bookmarkStart w:id="251" w:name="_Toc26556"/>
      <w:bookmarkStart w:id="252" w:name="_Toc353881017"/>
      <w:bookmarkStart w:id="253" w:name="_Toc23659"/>
      <w:bookmarkStart w:id="254" w:name="_Toc518655809"/>
      <w:r>
        <w:rPr>
          <w:rFonts w:hint="eastAsia" w:ascii="宋体" w:hAnsi="宋体" w:cs="宋体"/>
          <w:b w:val="0"/>
          <w:bCs w:val="0"/>
          <w:sz w:val="24"/>
          <w:szCs w:val="24"/>
        </w:rPr>
        <w:t>附件六、设备投标报价分解表</w:t>
      </w:r>
      <w:bookmarkEnd w:id="249"/>
      <w:bookmarkEnd w:id="250"/>
      <w:bookmarkEnd w:id="251"/>
      <w:bookmarkEnd w:id="252"/>
      <w:bookmarkEnd w:id="253"/>
      <w:bookmarkEnd w:id="254"/>
    </w:p>
    <w:p>
      <w:pPr>
        <w:pStyle w:val="31"/>
        <w:spacing w:after="0" w:line="460" w:lineRule="exact"/>
        <w:jc w:val="center"/>
        <w:rPr>
          <w:rFonts w:ascii="宋体" w:hAnsi="宋体" w:cs="宋体"/>
          <w:b/>
          <w:bCs/>
          <w:sz w:val="32"/>
          <w:szCs w:val="32"/>
        </w:rPr>
      </w:pPr>
      <w:r>
        <w:rPr>
          <w:rFonts w:hint="eastAsia" w:ascii="宋体" w:hAnsi="宋体" w:cs="宋体"/>
          <w:b/>
          <w:bCs/>
          <w:sz w:val="32"/>
          <w:szCs w:val="32"/>
        </w:rPr>
        <w:t>设备投标报价分解表</w:t>
      </w:r>
    </w:p>
    <w:p>
      <w:pPr>
        <w:spacing w:line="520" w:lineRule="exact"/>
        <w:rPr>
          <w:rFonts w:ascii="宋体" w:hAnsi="宋体"/>
          <w:sz w:val="24"/>
          <w:u w:val="single"/>
        </w:rPr>
      </w:pPr>
      <w:r>
        <w:rPr>
          <w:rFonts w:hint="eastAsia" w:ascii="宋体" w:hAnsi="宋体"/>
          <w:sz w:val="24"/>
        </w:rPr>
        <w:t>项目名称：  招标编号：</w:t>
      </w:r>
    </w:p>
    <w:tbl>
      <w:tblPr>
        <w:tblStyle w:val="7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 w:type="dxa"/>
          <w:bottom w:w="0" w:type="dxa"/>
          <w:right w:w="3" w:type="dxa"/>
        </w:tblCellMar>
      </w:tblPr>
      <w:tblGrid>
        <w:gridCol w:w="740"/>
        <w:gridCol w:w="2283"/>
        <w:gridCol w:w="817"/>
        <w:gridCol w:w="736"/>
        <w:gridCol w:w="1337"/>
        <w:gridCol w:w="636"/>
        <w:gridCol w:w="756"/>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748" w:hRule="atLeast"/>
          <w:jc w:val="center"/>
        </w:trPr>
        <w:tc>
          <w:tcPr>
            <w:tcW w:w="740" w:type="dxa"/>
            <w:vAlign w:val="center"/>
          </w:tcPr>
          <w:p>
            <w:pPr>
              <w:jc w:val="center"/>
              <w:rPr>
                <w:rFonts w:ascii="宋体" w:hAnsi="宋体"/>
                <w:b/>
                <w:sz w:val="24"/>
              </w:rPr>
            </w:pPr>
            <w:r>
              <w:rPr>
                <w:rFonts w:hint="eastAsia" w:ascii="宋体" w:hAnsi="宋体"/>
                <w:b/>
                <w:sz w:val="24"/>
              </w:rPr>
              <w:t>序 号</w:t>
            </w:r>
          </w:p>
        </w:tc>
        <w:tc>
          <w:tcPr>
            <w:tcW w:w="2283" w:type="dxa"/>
            <w:vAlign w:val="center"/>
          </w:tcPr>
          <w:p>
            <w:pPr>
              <w:jc w:val="center"/>
              <w:rPr>
                <w:rFonts w:ascii="宋体" w:hAnsi="宋体"/>
                <w:b/>
                <w:sz w:val="24"/>
              </w:rPr>
            </w:pPr>
            <w:r>
              <w:rPr>
                <w:rFonts w:hint="eastAsia" w:ascii="宋体" w:hAnsi="宋体"/>
                <w:b/>
                <w:sz w:val="24"/>
              </w:rPr>
              <w:t>货物或主</w:t>
            </w:r>
          </w:p>
          <w:p>
            <w:pPr>
              <w:jc w:val="center"/>
              <w:rPr>
                <w:rFonts w:ascii="宋体" w:hAnsi="宋体"/>
                <w:b/>
                <w:sz w:val="24"/>
              </w:rPr>
            </w:pPr>
            <w:r>
              <w:rPr>
                <w:rFonts w:hint="eastAsia" w:ascii="宋体" w:hAnsi="宋体"/>
                <w:b/>
                <w:sz w:val="24"/>
              </w:rPr>
              <w:t>部件名称</w:t>
            </w:r>
          </w:p>
        </w:tc>
        <w:tc>
          <w:tcPr>
            <w:tcW w:w="817" w:type="dxa"/>
            <w:vAlign w:val="center"/>
          </w:tcPr>
          <w:p>
            <w:pPr>
              <w:jc w:val="center"/>
              <w:rPr>
                <w:rFonts w:ascii="宋体" w:hAnsi="宋体"/>
                <w:b/>
                <w:sz w:val="24"/>
              </w:rPr>
            </w:pPr>
            <w:r>
              <w:rPr>
                <w:rFonts w:hint="eastAsia" w:ascii="宋体" w:hAnsi="宋体"/>
                <w:b/>
                <w:sz w:val="24"/>
              </w:rPr>
              <w:t>规 格</w:t>
            </w:r>
          </w:p>
        </w:tc>
        <w:tc>
          <w:tcPr>
            <w:tcW w:w="736" w:type="dxa"/>
            <w:vAlign w:val="center"/>
          </w:tcPr>
          <w:p>
            <w:pPr>
              <w:jc w:val="center"/>
              <w:rPr>
                <w:rFonts w:ascii="宋体" w:hAnsi="宋体"/>
                <w:b/>
                <w:sz w:val="24"/>
              </w:rPr>
            </w:pPr>
            <w:r>
              <w:rPr>
                <w:rFonts w:hint="eastAsia" w:ascii="宋体" w:hAnsi="宋体"/>
                <w:b/>
                <w:sz w:val="24"/>
              </w:rPr>
              <w:t>单 位</w:t>
            </w:r>
          </w:p>
        </w:tc>
        <w:tc>
          <w:tcPr>
            <w:tcW w:w="1337" w:type="dxa"/>
            <w:vAlign w:val="center"/>
          </w:tcPr>
          <w:p>
            <w:pPr>
              <w:jc w:val="center"/>
              <w:rPr>
                <w:rFonts w:ascii="宋体" w:hAnsi="宋体"/>
                <w:b/>
                <w:sz w:val="24"/>
              </w:rPr>
            </w:pPr>
            <w:r>
              <w:rPr>
                <w:rFonts w:hint="eastAsia" w:ascii="宋体" w:hAnsi="宋体"/>
                <w:b/>
                <w:sz w:val="24"/>
              </w:rPr>
              <w:t>制造商名称</w:t>
            </w:r>
          </w:p>
        </w:tc>
        <w:tc>
          <w:tcPr>
            <w:tcW w:w="636" w:type="dxa"/>
            <w:vAlign w:val="center"/>
          </w:tcPr>
          <w:p>
            <w:pPr>
              <w:jc w:val="center"/>
              <w:rPr>
                <w:rFonts w:ascii="宋体" w:hAnsi="宋体"/>
                <w:b/>
                <w:sz w:val="24"/>
              </w:rPr>
            </w:pPr>
            <w:r>
              <w:rPr>
                <w:rFonts w:hint="eastAsia" w:ascii="宋体" w:hAnsi="宋体"/>
                <w:b/>
                <w:sz w:val="24"/>
              </w:rPr>
              <w:t>数  量</w:t>
            </w:r>
          </w:p>
        </w:tc>
        <w:tc>
          <w:tcPr>
            <w:tcW w:w="756" w:type="dxa"/>
            <w:vAlign w:val="center"/>
          </w:tcPr>
          <w:p>
            <w:pPr>
              <w:jc w:val="center"/>
              <w:rPr>
                <w:rFonts w:ascii="宋体" w:hAnsi="宋体"/>
                <w:b/>
                <w:sz w:val="24"/>
              </w:rPr>
            </w:pPr>
            <w:r>
              <w:rPr>
                <w:rFonts w:hint="eastAsia" w:ascii="宋体" w:hAnsi="宋体"/>
                <w:b/>
                <w:sz w:val="24"/>
              </w:rPr>
              <w:t>单价</w:t>
            </w:r>
          </w:p>
        </w:tc>
        <w:tc>
          <w:tcPr>
            <w:tcW w:w="1135" w:type="dxa"/>
            <w:vAlign w:val="center"/>
          </w:tcPr>
          <w:p>
            <w:pPr>
              <w:jc w:val="center"/>
              <w:rPr>
                <w:rFonts w:ascii="宋体" w:hAnsi="宋体"/>
                <w:b/>
                <w:sz w:val="24"/>
              </w:rPr>
            </w:pPr>
            <w:r>
              <w:rPr>
                <w:rFonts w:hint="eastAsia" w:ascii="宋体" w:hAnsi="宋体"/>
                <w:b/>
                <w:sz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567" w:hRule="atLeast"/>
          <w:jc w:val="center"/>
        </w:trPr>
        <w:tc>
          <w:tcPr>
            <w:tcW w:w="740" w:type="dxa"/>
            <w:vMerge w:val="restart"/>
            <w:vAlign w:val="center"/>
          </w:tcPr>
          <w:p>
            <w:pPr>
              <w:jc w:val="center"/>
              <w:rPr>
                <w:rFonts w:ascii="宋体" w:hAnsi="宋体"/>
              </w:rPr>
            </w:pPr>
            <w:r>
              <w:rPr>
                <w:rFonts w:hint="eastAsia" w:ascii="宋体" w:hAnsi="宋体"/>
              </w:rPr>
              <w:t>1</w:t>
            </w:r>
          </w:p>
        </w:tc>
        <w:tc>
          <w:tcPr>
            <w:tcW w:w="7700" w:type="dxa"/>
            <w:gridSpan w:val="7"/>
            <w:vAlign w:val="center"/>
          </w:tcPr>
          <w:p>
            <w:pPr>
              <w:jc w:val="center"/>
              <w:rPr>
                <w:rFonts w:ascii="宋体" w:hAnsi="宋体"/>
              </w:rPr>
            </w:pPr>
            <w:r>
              <w:rPr>
                <w:rFonts w:hint="eastAsia" w:ascii="宋体" w:hAnsi="宋体"/>
              </w:rPr>
              <w:t>设备名称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567" w:hRule="atLeast"/>
          <w:jc w:val="center"/>
        </w:trPr>
        <w:tc>
          <w:tcPr>
            <w:tcW w:w="740" w:type="dxa"/>
            <w:vMerge w:val="continue"/>
          </w:tcPr>
          <w:p>
            <w:pPr>
              <w:rPr>
                <w:rFonts w:ascii="宋体" w:hAnsi="宋体"/>
              </w:rPr>
            </w:pPr>
          </w:p>
        </w:tc>
        <w:tc>
          <w:tcPr>
            <w:tcW w:w="2283" w:type="dxa"/>
            <w:vAlign w:val="center"/>
          </w:tcPr>
          <w:p>
            <w:pPr>
              <w:jc w:val="center"/>
              <w:rPr>
                <w:rFonts w:ascii="宋体" w:hAnsi="宋体"/>
              </w:rPr>
            </w:pPr>
            <w:r>
              <w:rPr>
                <w:rFonts w:hint="eastAsia" w:ascii="宋体" w:hAnsi="宋体"/>
              </w:rPr>
              <w:t>主要部件1</w:t>
            </w:r>
          </w:p>
        </w:tc>
        <w:tc>
          <w:tcPr>
            <w:tcW w:w="817" w:type="dxa"/>
            <w:vAlign w:val="center"/>
          </w:tcPr>
          <w:p>
            <w:pPr>
              <w:jc w:val="center"/>
              <w:rPr>
                <w:rFonts w:ascii="宋体" w:hAnsi="宋体"/>
              </w:rPr>
            </w:pPr>
          </w:p>
        </w:tc>
        <w:tc>
          <w:tcPr>
            <w:tcW w:w="736" w:type="dxa"/>
            <w:vAlign w:val="center"/>
          </w:tcPr>
          <w:p>
            <w:pPr>
              <w:jc w:val="center"/>
              <w:rPr>
                <w:rFonts w:ascii="宋体" w:hAnsi="宋体"/>
              </w:rPr>
            </w:pPr>
          </w:p>
        </w:tc>
        <w:tc>
          <w:tcPr>
            <w:tcW w:w="1337" w:type="dxa"/>
            <w:vAlign w:val="center"/>
          </w:tcPr>
          <w:p>
            <w:pPr>
              <w:jc w:val="center"/>
              <w:rPr>
                <w:rFonts w:ascii="宋体" w:hAnsi="宋体"/>
              </w:rPr>
            </w:pPr>
          </w:p>
        </w:tc>
        <w:tc>
          <w:tcPr>
            <w:tcW w:w="636" w:type="dxa"/>
            <w:vAlign w:val="center"/>
          </w:tcPr>
          <w:p>
            <w:pPr>
              <w:jc w:val="center"/>
              <w:rPr>
                <w:rFonts w:ascii="宋体" w:hAnsi="宋体"/>
              </w:rPr>
            </w:pPr>
          </w:p>
        </w:tc>
        <w:tc>
          <w:tcPr>
            <w:tcW w:w="756" w:type="dxa"/>
            <w:vAlign w:val="center"/>
          </w:tcPr>
          <w:p>
            <w:pPr>
              <w:jc w:val="center"/>
              <w:rPr>
                <w:rFonts w:ascii="宋体" w:hAnsi="宋体"/>
              </w:rPr>
            </w:pPr>
          </w:p>
        </w:tc>
        <w:tc>
          <w:tcPr>
            <w:tcW w:w="1135"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567" w:hRule="atLeast"/>
          <w:jc w:val="center"/>
        </w:trPr>
        <w:tc>
          <w:tcPr>
            <w:tcW w:w="740" w:type="dxa"/>
            <w:vMerge w:val="continue"/>
          </w:tcPr>
          <w:p>
            <w:pPr>
              <w:rPr>
                <w:rFonts w:ascii="宋体" w:hAnsi="宋体"/>
              </w:rPr>
            </w:pPr>
          </w:p>
        </w:tc>
        <w:tc>
          <w:tcPr>
            <w:tcW w:w="2283" w:type="dxa"/>
            <w:vAlign w:val="center"/>
          </w:tcPr>
          <w:p>
            <w:pPr>
              <w:jc w:val="center"/>
              <w:rPr>
                <w:rFonts w:ascii="宋体" w:hAnsi="宋体"/>
              </w:rPr>
            </w:pPr>
            <w:r>
              <w:rPr>
                <w:rFonts w:hint="eastAsia" w:ascii="宋体" w:hAnsi="宋体"/>
              </w:rPr>
              <w:t>主要部件2</w:t>
            </w:r>
          </w:p>
        </w:tc>
        <w:tc>
          <w:tcPr>
            <w:tcW w:w="817" w:type="dxa"/>
            <w:vAlign w:val="center"/>
          </w:tcPr>
          <w:p>
            <w:pPr>
              <w:jc w:val="center"/>
              <w:rPr>
                <w:rFonts w:ascii="宋体" w:hAnsi="宋体"/>
              </w:rPr>
            </w:pPr>
          </w:p>
        </w:tc>
        <w:tc>
          <w:tcPr>
            <w:tcW w:w="736" w:type="dxa"/>
            <w:vAlign w:val="center"/>
          </w:tcPr>
          <w:p>
            <w:pPr>
              <w:jc w:val="center"/>
              <w:rPr>
                <w:rFonts w:ascii="宋体" w:hAnsi="宋体"/>
              </w:rPr>
            </w:pPr>
          </w:p>
        </w:tc>
        <w:tc>
          <w:tcPr>
            <w:tcW w:w="1337" w:type="dxa"/>
            <w:vAlign w:val="center"/>
          </w:tcPr>
          <w:p>
            <w:pPr>
              <w:jc w:val="center"/>
              <w:rPr>
                <w:rFonts w:ascii="宋体" w:hAnsi="宋体"/>
              </w:rPr>
            </w:pPr>
          </w:p>
        </w:tc>
        <w:tc>
          <w:tcPr>
            <w:tcW w:w="636" w:type="dxa"/>
            <w:vAlign w:val="center"/>
          </w:tcPr>
          <w:p>
            <w:pPr>
              <w:jc w:val="center"/>
              <w:rPr>
                <w:rFonts w:ascii="宋体" w:hAnsi="宋体"/>
              </w:rPr>
            </w:pPr>
          </w:p>
        </w:tc>
        <w:tc>
          <w:tcPr>
            <w:tcW w:w="756" w:type="dxa"/>
            <w:vAlign w:val="center"/>
          </w:tcPr>
          <w:p>
            <w:pPr>
              <w:jc w:val="center"/>
              <w:rPr>
                <w:rFonts w:ascii="宋体" w:hAnsi="宋体"/>
              </w:rPr>
            </w:pPr>
          </w:p>
        </w:tc>
        <w:tc>
          <w:tcPr>
            <w:tcW w:w="1135"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567" w:hRule="atLeast"/>
          <w:jc w:val="center"/>
        </w:trPr>
        <w:tc>
          <w:tcPr>
            <w:tcW w:w="740" w:type="dxa"/>
            <w:vMerge w:val="continue"/>
          </w:tcPr>
          <w:p>
            <w:pPr>
              <w:rPr>
                <w:rFonts w:ascii="宋体" w:hAnsi="宋体"/>
              </w:rPr>
            </w:pPr>
          </w:p>
        </w:tc>
        <w:tc>
          <w:tcPr>
            <w:tcW w:w="2283" w:type="dxa"/>
            <w:vAlign w:val="center"/>
          </w:tcPr>
          <w:p>
            <w:pPr>
              <w:jc w:val="center"/>
              <w:rPr>
                <w:rFonts w:ascii="宋体" w:hAnsi="宋体"/>
              </w:rPr>
            </w:pPr>
            <w:r>
              <w:rPr>
                <w:rFonts w:hint="eastAsia" w:ascii="宋体" w:hAnsi="宋体"/>
              </w:rPr>
              <w:t>主要部件3</w:t>
            </w:r>
          </w:p>
        </w:tc>
        <w:tc>
          <w:tcPr>
            <w:tcW w:w="817" w:type="dxa"/>
            <w:vAlign w:val="center"/>
          </w:tcPr>
          <w:p>
            <w:pPr>
              <w:jc w:val="center"/>
              <w:rPr>
                <w:rFonts w:ascii="宋体" w:hAnsi="宋体"/>
              </w:rPr>
            </w:pPr>
          </w:p>
        </w:tc>
        <w:tc>
          <w:tcPr>
            <w:tcW w:w="736" w:type="dxa"/>
            <w:vAlign w:val="center"/>
          </w:tcPr>
          <w:p>
            <w:pPr>
              <w:jc w:val="center"/>
              <w:rPr>
                <w:rFonts w:ascii="宋体" w:hAnsi="宋体"/>
              </w:rPr>
            </w:pPr>
          </w:p>
        </w:tc>
        <w:tc>
          <w:tcPr>
            <w:tcW w:w="1337" w:type="dxa"/>
            <w:vAlign w:val="center"/>
          </w:tcPr>
          <w:p>
            <w:pPr>
              <w:jc w:val="center"/>
              <w:rPr>
                <w:rFonts w:ascii="宋体" w:hAnsi="宋体"/>
              </w:rPr>
            </w:pPr>
          </w:p>
        </w:tc>
        <w:tc>
          <w:tcPr>
            <w:tcW w:w="636" w:type="dxa"/>
            <w:vAlign w:val="center"/>
          </w:tcPr>
          <w:p>
            <w:pPr>
              <w:jc w:val="center"/>
              <w:rPr>
                <w:rFonts w:ascii="宋体" w:hAnsi="宋体"/>
              </w:rPr>
            </w:pPr>
          </w:p>
        </w:tc>
        <w:tc>
          <w:tcPr>
            <w:tcW w:w="756" w:type="dxa"/>
            <w:vAlign w:val="center"/>
          </w:tcPr>
          <w:p>
            <w:pPr>
              <w:jc w:val="center"/>
              <w:rPr>
                <w:rFonts w:ascii="宋体" w:hAnsi="宋体"/>
              </w:rPr>
            </w:pPr>
          </w:p>
        </w:tc>
        <w:tc>
          <w:tcPr>
            <w:tcW w:w="1135"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567" w:hRule="atLeast"/>
          <w:jc w:val="center"/>
        </w:trPr>
        <w:tc>
          <w:tcPr>
            <w:tcW w:w="740" w:type="dxa"/>
            <w:vMerge w:val="continue"/>
          </w:tcPr>
          <w:p>
            <w:pPr>
              <w:rPr>
                <w:rFonts w:ascii="宋体" w:hAnsi="宋体"/>
              </w:rPr>
            </w:pPr>
          </w:p>
        </w:tc>
        <w:tc>
          <w:tcPr>
            <w:tcW w:w="2283" w:type="dxa"/>
            <w:vAlign w:val="center"/>
          </w:tcPr>
          <w:p>
            <w:pPr>
              <w:jc w:val="center"/>
              <w:rPr>
                <w:rFonts w:ascii="宋体" w:hAnsi="宋体"/>
              </w:rPr>
            </w:pPr>
            <w:r>
              <w:rPr>
                <w:rFonts w:hint="eastAsia" w:ascii="宋体" w:hAnsi="宋体"/>
              </w:rPr>
              <w:t>...</w:t>
            </w:r>
          </w:p>
        </w:tc>
        <w:tc>
          <w:tcPr>
            <w:tcW w:w="817" w:type="dxa"/>
            <w:vAlign w:val="center"/>
          </w:tcPr>
          <w:p>
            <w:pPr>
              <w:jc w:val="center"/>
              <w:rPr>
                <w:rFonts w:ascii="宋体" w:hAnsi="宋体"/>
              </w:rPr>
            </w:pPr>
          </w:p>
        </w:tc>
        <w:tc>
          <w:tcPr>
            <w:tcW w:w="736" w:type="dxa"/>
            <w:vAlign w:val="center"/>
          </w:tcPr>
          <w:p>
            <w:pPr>
              <w:jc w:val="center"/>
              <w:rPr>
                <w:rFonts w:ascii="宋体" w:hAnsi="宋体"/>
              </w:rPr>
            </w:pPr>
          </w:p>
        </w:tc>
        <w:tc>
          <w:tcPr>
            <w:tcW w:w="1337" w:type="dxa"/>
            <w:vAlign w:val="center"/>
          </w:tcPr>
          <w:p>
            <w:pPr>
              <w:jc w:val="center"/>
              <w:rPr>
                <w:rFonts w:ascii="宋体" w:hAnsi="宋体"/>
              </w:rPr>
            </w:pPr>
          </w:p>
        </w:tc>
        <w:tc>
          <w:tcPr>
            <w:tcW w:w="636" w:type="dxa"/>
            <w:vAlign w:val="center"/>
          </w:tcPr>
          <w:p>
            <w:pPr>
              <w:jc w:val="center"/>
              <w:rPr>
                <w:rFonts w:ascii="宋体" w:hAnsi="宋体"/>
              </w:rPr>
            </w:pPr>
          </w:p>
        </w:tc>
        <w:tc>
          <w:tcPr>
            <w:tcW w:w="756" w:type="dxa"/>
            <w:vAlign w:val="center"/>
          </w:tcPr>
          <w:p>
            <w:pPr>
              <w:jc w:val="center"/>
              <w:rPr>
                <w:rFonts w:ascii="宋体" w:hAnsi="宋体"/>
              </w:rPr>
            </w:pPr>
          </w:p>
        </w:tc>
        <w:tc>
          <w:tcPr>
            <w:tcW w:w="1135"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567" w:hRule="atLeast"/>
          <w:jc w:val="center"/>
        </w:trPr>
        <w:tc>
          <w:tcPr>
            <w:tcW w:w="740" w:type="dxa"/>
            <w:vMerge w:val="continue"/>
          </w:tcPr>
          <w:p>
            <w:pPr>
              <w:rPr>
                <w:rFonts w:ascii="宋体" w:hAnsi="宋体"/>
              </w:rPr>
            </w:pPr>
          </w:p>
        </w:tc>
        <w:tc>
          <w:tcPr>
            <w:tcW w:w="2283" w:type="dxa"/>
            <w:vAlign w:val="center"/>
          </w:tcPr>
          <w:p>
            <w:pPr>
              <w:jc w:val="center"/>
              <w:rPr>
                <w:rFonts w:ascii="宋体" w:hAnsi="宋体"/>
              </w:rPr>
            </w:pPr>
          </w:p>
        </w:tc>
        <w:tc>
          <w:tcPr>
            <w:tcW w:w="817" w:type="dxa"/>
            <w:vAlign w:val="center"/>
          </w:tcPr>
          <w:p>
            <w:pPr>
              <w:jc w:val="center"/>
              <w:rPr>
                <w:rFonts w:ascii="宋体" w:hAnsi="宋体"/>
              </w:rPr>
            </w:pPr>
          </w:p>
        </w:tc>
        <w:tc>
          <w:tcPr>
            <w:tcW w:w="736" w:type="dxa"/>
            <w:vAlign w:val="center"/>
          </w:tcPr>
          <w:p>
            <w:pPr>
              <w:jc w:val="center"/>
              <w:rPr>
                <w:rFonts w:ascii="宋体" w:hAnsi="宋体"/>
              </w:rPr>
            </w:pPr>
          </w:p>
        </w:tc>
        <w:tc>
          <w:tcPr>
            <w:tcW w:w="1337" w:type="dxa"/>
            <w:vAlign w:val="center"/>
          </w:tcPr>
          <w:p>
            <w:pPr>
              <w:jc w:val="center"/>
              <w:rPr>
                <w:rFonts w:ascii="宋体" w:hAnsi="宋体"/>
              </w:rPr>
            </w:pPr>
          </w:p>
        </w:tc>
        <w:tc>
          <w:tcPr>
            <w:tcW w:w="636" w:type="dxa"/>
            <w:vAlign w:val="center"/>
          </w:tcPr>
          <w:p>
            <w:pPr>
              <w:jc w:val="center"/>
              <w:rPr>
                <w:rFonts w:ascii="宋体" w:hAnsi="宋体"/>
              </w:rPr>
            </w:pPr>
          </w:p>
        </w:tc>
        <w:tc>
          <w:tcPr>
            <w:tcW w:w="756" w:type="dxa"/>
            <w:vAlign w:val="center"/>
          </w:tcPr>
          <w:p>
            <w:pPr>
              <w:jc w:val="center"/>
              <w:rPr>
                <w:rFonts w:ascii="宋体" w:hAnsi="宋体"/>
              </w:rPr>
            </w:pPr>
          </w:p>
        </w:tc>
        <w:tc>
          <w:tcPr>
            <w:tcW w:w="1135"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567" w:hRule="atLeast"/>
          <w:jc w:val="center"/>
        </w:trPr>
        <w:tc>
          <w:tcPr>
            <w:tcW w:w="740" w:type="dxa"/>
            <w:vMerge w:val="continue"/>
          </w:tcPr>
          <w:p>
            <w:pPr>
              <w:rPr>
                <w:rFonts w:ascii="宋体" w:hAnsi="宋体"/>
              </w:rPr>
            </w:pPr>
          </w:p>
        </w:tc>
        <w:tc>
          <w:tcPr>
            <w:tcW w:w="2283" w:type="dxa"/>
            <w:vAlign w:val="center"/>
          </w:tcPr>
          <w:p>
            <w:pPr>
              <w:jc w:val="center"/>
              <w:rPr>
                <w:rFonts w:ascii="宋体" w:hAnsi="宋体"/>
              </w:rPr>
            </w:pPr>
          </w:p>
        </w:tc>
        <w:tc>
          <w:tcPr>
            <w:tcW w:w="817" w:type="dxa"/>
            <w:vAlign w:val="center"/>
          </w:tcPr>
          <w:p>
            <w:pPr>
              <w:jc w:val="center"/>
              <w:rPr>
                <w:rFonts w:ascii="宋体" w:hAnsi="宋体"/>
              </w:rPr>
            </w:pPr>
          </w:p>
        </w:tc>
        <w:tc>
          <w:tcPr>
            <w:tcW w:w="736" w:type="dxa"/>
            <w:vAlign w:val="center"/>
          </w:tcPr>
          <w:p>
            <w:pPr>
              <w:jc w:val="center"/>
              <w:rPr>
                <w:rFonts w:ascii="宋体" w:hAnsi="宋体"/>
              </w:rPr>
            </w:pPr>
          </w:p>
        </w:tc>
        <w:tc>
          <w:tcPr>
            <w:tcW w:w="1337" w:type="dxa"/>
            <w:vAlign w:val="center"/>
          </w:tcPr>
          <w:p>
            <w:pPr>
              <w:jc w:val="center"/>
              <w:rPr>
                <w:rFonts w:ascii="宋体" w:hAnsi="宋体"/>
              </w:rPr>
            </w:pPr>
          </w:p>
        </w:tc>
        <w:tc>
          <w:tcPr>
            <w:tcW w:w="636" w:type="dxa"/>
            <w:vAlign w:val="center"/>
          </w:tcPr>
          <w:p>
            <w:pPr>
              <w:jc w:val="center"/>
              <w:rPr>
                <w:rFonts w:ascii="宋体" w:hAnsi="宋体"/>
              </w:rPr>
            </w:pPr>
          </w:p>
        </w:tc>
        <w:tc>
          <w:tcPr>
            <w:tcW w:w="756" w:type="dxa"/>
            <w:vAlign w:val="center"/>
          </w:tcPr>
          <w:p>
            <w:pPr>
              <w:jc w:val="center"/>
              <w:rPr>
                <w:rFonts w:ascii="宋体" w:hAnsi="宋体"/>
              </w:rPr>
            </w:pPr>
          </w:p>
        </w:tc>
        <w:tc>
          <w:tcPr>
            <w:tcW w:w="1135"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567" w:hRule="atLeast"/>
          <w:jc w:val="center"/>
        </w:trPr>
        <w:tc>
          <w:tcPr>
            <w:tcW w:w="740" w:type="dxa"/>
            <w:vMerge w:val="continue"/>
          </w:tcPr>
          <w:p>
            <w:pPr>
              <w:rPr>
                <w:rFonts w:ascii="宋体" w:hAnsi="宋体"/>
              </w:rPr>
            </w:pPr>
          </w:p>
        </w:tc>
        <w:tc>
          <w:tcPr>
            <w:tcW w:w="2283" w:type="dxa"/>
            <w:vAlign w:val="center"/>
          </w:tcPr>
          <w:p>
            <w:pPr>
              <w:jc w:val="center"/>
              <w:rPr>
                <w:rFonts w:ascii="宋体" w:hAnsi="宋体"/>
              </w:rPr>
            </w:pPr>
          </w:p>
        </w:tc>
        <w:tc>
          <w:tcPr>
            <w:tcW w:w="817" w:type="dxa"/>
            <w:vAlign w:val="center"/>
          </w:tcPr>
          <w:p>
            <w:pPr>
              <w:jc w:val="center"/>
              <w:rPr>
                <w:rFonts w:ascii="宋体" w:hAnsi="宋体"/>
              </w:rPr>
            </w:pPr>
          </w:p>
        </w:tc>
        <w:tc>
          <w:tcPr>
            <w:tcW w:w="736" w:type="dxa"/>
            <w:vAlign w:val="center"/>
          </w:tcPr>
          <w:p>
            <w:pPr>
              <w:jc w:val="center"/>
              <w:rPr>
                <w:rFonts w:ascii="宋体" w:hAnsi="宋体"/>
              </w:rPr>
            </w:pPr>
          </w:p>
        </w:tc>
        <w:tc>
          <w:tcPr>
            <w:tcW w:w="1337" w:type="dxa"/>
            <w:vAlign w:val="center"/>
          </w:tcPr>
          <w:p>
            <w:pPr>
              <w:jc w:val="center"/>
              <w:rPr>
                <w:rFonts w:ascii="宋体" w:hAnsi="宋体"/>
              </w:rPr>
            </w:pPr>
          </w:p>
        </w:tc>
        <w:tc>
          <w:tcPr>
            <w:tcW w:w="636" w:type="dxa"/>
            <w:vAlign w:val="center"/>
          </w:tcPr>
          <w:p>
            <w:pPr>
              <w:jc w:val="center"/>
              <w:rPr>
                <w:rFonts w:ascii="宋体" w:hAnsi="宋体"/>
              </w:rPr>
            </w:pPr>
          </w:p>
        </w:tc>
        <w:tc>
          <w:tcPr>
            <w:tcW w:w="756" w:type="dxa"/>
            <w:vAlign w:val="center"/>
          </w:tcPr>
          <w:p>
            <w:pPr>
              <w:jc w:val="center"/>
              <w:rPr>
                <w:rFonts w:ascii="宋体" w:hAnsi="宋体"/>
              </w:rPr>
            </w:pPr>
          </w:p>
        </w:tc>
        <w:tc>
          <w:tcPr>
            <w:tcW w:w="1135"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567" w:hRule="atLeast"/>
          <w:jc w:val="center"/>
        </w:trPr>
        <w:tc>
          <w:tcPr>
            <w:tcW w:w="740" w:type="dxa"/>
            <w:vMerge w:val="continue"/>
          </w:tcPr>
          <w:p>
            <w:pPr>
              <w:rPr>
                <w:rFonts w:ascii="宋体" w:hAnsi="宋体"/>
              </w:rPr>
            </w:pPr>
          </w:p>
        </w:tc>
        <w:tc>
          <w:tcPr>
            <w:tcW w:w="2283" w:type="dxa"/>
            <w:vAlign w:val="center"/>
          </w:tcPr>
          <w:p>
            <w:pPr>
              <w:jc w:val="center"/>
              <w:rPr>
                <w:rFonts w:ascii="宋体" w:hAnsi="宋体"/>
              </w:rPr>
            </w:pPr>
          </w:p>
        </w:tc>
        <w:tc>
          <w:tcPr>
            <w:tcW w:w="817" w:type="dxa"/>
            <w:vAlign w:val="center"/>
          </w:tcPr>
          <w:p>
            <w:pPr>
              <w:jc w:val="center"/>
              <w:rPr>
                <w:rFonts w:ascii="宋体" w:hAnsi="宋体"/>
              </w:rPr>
            </w:pPr>
          </w:p>
        </w:tc>
        <w:tc>
          <w:tcPr>
            <w:tcW w:w="736" w:type="dxa"/>
            <w:vAlign w:val="center"/>
          </w:tcPr>
          <w:p>
            <w:pPr>
              <w:jc w:val="center"/>
              <w:rPr>
                <w:rFonts w:ascii="宋体" w:hAnsi="宋体"/>
              </w:rPr>
            </w:pPr>
          </w:p>
        </w:tc>
        <w:tc>
          <w:tcPr>
            <w:tcW w:w="1337" w:type="dxa"/>
            <w:vAlign w:val="center"/>
          </w:tcPr>
          <w:p>
            <w:pPr>
              <w:jc w:val="center"/>
              <w:rPr>
                <w:rFonts w:ascii="宋体" w:hAnsi="宋体"/>
              </w:rPr>
            </w:pPr>
          </w:p>
        </w:tc>
        <w:tc>
          <w:tcPr>
            <w:tcW w:w="636" w:type="dxa"/>
            <w:vAlign w:val="center"/>
          </w:tcPr>
          <w:p>
            <w:pPr>
              <w:jc w:val="center"/>
              <w:rPr>
                <w:rFonts w:ascii="宋体" w:hAnsi="宋体"/>
              </w:rPr>
            </w:pPr>
          </w:p>
        </w:tc>
        <w:tc>
          <w:tcPr>
            <w:tcW w:w="756" w:type="dxa"/>
            <w:vAlign w:val="center"/>
          </w:tcPr>
          <w:p>
            <w:pPr>
              <w:jc w:val="center"/>
              <w:rPr>
                <w:rFonts w:ascii="宋体" w:hAnsi="宋体"/>
              </w:rPr>
            </w:pPr>
          </w:p>
        </w:tc>
        <w:tc>
          <w:tcPr>
            <w:tcW w:w="1135"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577" w:hRule="atLeast"/>
          <w:jc w:val="center"/>
        </w:trPr>
        <w:tc>
          <w:tcPr>
            <w:tcW w:w="740" w:type="dxa"/>
          </w:tcPr>
          <w:p>
            <w:pPr>
              <w:rPr>
                <w:rFonts w:ascii="宋体" w:hAnsi="宋体"/>
              </w:rPr>
            </w:pPr>
          </w:p>
        </w:tc>
        <w:tc>
          <w:tcPr>
            <w:tcW w:w="2283" w:type="dxa"/>
            <w:vAlign w:val="center"/>
          </w:tcPr>
          <w:p>
            <w:pPr>
              <w:jc w:val="center"/>
              <w:rPr>
                <w:rFonts w:ascii="宋体" w:hAnsi="宋体"/>
              </w:rPr>
            </w:pPr>
            <w:r>
              <w:rPr>
                <w:rFonts w:hint="eastAsia" w:ascii="宋体" w:hAnsi="宋体"/>
              </w:rPr>
              <w:t>合计</w:t>
            </w:r>
          </w:p>
        </w:tc>
        <w:tc>
          <w:tcPr>
            <w:tcW w:w="5417" w:type="dxa"/>
            <w:gridSpan w:val="6"/>
            <w:vAlign w:val="center"/>
          </w:tcPr>
          <w:p>
            <w:pPr>
              <w:jc w:val="center"/>
              <w:rPr>
                <w:rFonts w:ascii="宋体" w:hAnsi="宋体"/>
              </w:rPr>
            </w:pPr>
          </w:p>
        </w:tc>
      </w:tr>
    </w:tbl>
    <w:p>
      <w:pPr>
        <w:rPr>
          <w:rFonts w:ascii="宋体" w:hAnsi="宋体"/>
          <w:sz w:val="24"/>
        </w:rPr>
      </w:pPr>
    </w:p>
    <w:p>
      <w:pPr>
        <w:ind w:firstLine="600"/>
        <w:rPr>
          <w:rFonts w:ascii="宋体" w:hAnsi="宋体"/>
          <w:sz w:val="24"/>
        </w:rPr>
      </w:pPr>
      <w:r>
        <w:rPr>
          <w:rFonts w:hint="eastAsia" w:ascii="宋体" w:hAnsi="宋体"/>
          <w:sz w:val="24"/>
        </w:rPr>
        <w:t>除填写本表外，投标方还应提供以下附件</w:t>
      </w:r>
      <w:r>
        <w:rPr>
          <w:rFonts w:ascii="宋体" w:hAnsi="宋体"/>
          <w:sz w:val="24"/>
        </w:rPr>
        <w:t xml:space="preserve"> :</w:t>
      </w:r>
    </w:p>
    <w:p>
      <w:pPr>
        <w:ind w:firstLine="6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特殊工具清单及价目表</w:t>
      </w:r>
    </w:p>
    <w:p>
      <w:pPr>
        <w:ind w:firstLine="6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备品、备件清单及价目表</w:t>
      </w:r>
    </w:p>
    <w:p>
      <w:pPr>
        <w:ind w:firstLine="600"/>
        <w:rPr>
          <w:rFonts w:ascii="宋体" w:hAnsi="宋体"/>
          <w:sz w:val="24"/>
        </w:rPr>
      </w:pPr>
      <w:r>
        <w:rPr>
          <w:rFonts w:hint="eastAsia" w:ascii="宋体" w:hAnsi="宋体"/>
          <w:sz w:val="24"/>
        </w:rPr>
        <w:t>3)  专用耗材清单及价目表</w:t>
      </w:r>
    </w:p>
    <w:p>
      <w:pPr>
        <w:ind w:firstLine="600"/>
        <w:rPr>
          <w:rFonts w:ascii="宋体" w:hAnsi="宋体"/>
          <w:sz w:val="24"/>
        </w:rPr>
      </w:pPr>
      <w:r>
        <w:rPr>
          <w:rFonts w:hint="eastAsia" w:ascii="宋体" w:hAnsi="宋体"/>
          <w:sz w:val="24"/>
        </w:rPr>
        <w:t>4）所需进口关键元器件、原材料清单及价目表</w:t>
      </w:r>
      <w:r>
        <w:rPr>
          <w:rFonts w:ascii="宋体" w:hAnsi="宋体"/>
          <w:sz w:val="24"/>
        </w:rPr>
        <w:tab/>
      </w:r>
    </w:p>
    <w:p>
      <w:pPr>
        <w:spacing w:line="660" w:lineRule="exact"/>
        <w:rPr>
          <w:rFonts w:ascii="宋体" w:hAnsi="宋体"/>
          <w:sz w:val="24"/>
        </w:rPr>
      </w:pPr>
      <w:r>
        <w:rPr>
          <w:rFonts w:hint="eastAsia" w:ascii="宋体" w:hAnsi="宋体"/>
          <w:sz w:val="24"/>
        </w:rPr>
        <w:t>投标方：（盖章）</w:t>
      </w:r>
    </w:p>
    <w:p>
      <w:pPr>
        <w:spacing w:line="660" w:lineRule="exact"/>
        <w:rPr>
          <w:rFonts w:ascii="宋体" w:hAnsi="宋体"/>
          <w:sz w:val="24"/>
        </w:rPr>
      </w:pPr>
      <w:r>
        <w:rPr>
          <w:rFonts w:hint="eastAsia" w:ascii="宋体" w:hAnsi="宋体"/>
          <w:sz w:val="24"/>
        </w:rPr>
        <w:t>法定代表人（委托代理人）：（签字）</w:t>
      </w:r>
    </w:p>
    <w:p>
      <w:pPr>
        <w:spacing w:line="660" w:lineRule="exact"/>
        <w:rPr>
          <w:rFonts w:ascii="宋体" w:hAnsi="宋体"/>
          <w:sz w:val="24"/>
        </w:rPr>
      </w:pPr>
      <w:r>
        <w:rPr>
          <w:rFonts w:hint="eastAsia" w:ascii="宋体" w:hAnsi="宋体"/>
          <w:sz w:val="24"/>
        </w:rPr>
        <w:t>日  期：年月日</w:t>
      </w:r>
    </w:p>
    <w:p>
      <w:pPr>
        <w:spacing w:line="660" w:lineRule="exact"/>
        <w:rPr>
          <w:rFonts w:ascii="宋体" w:hAnsi="宋体"/>
          <w:sz w:val="24"/>
        </w:rPr>
      </w:pPr>
    </w:p>
    <w:p>
      <w:pPr>
        <w:spacing w:line="660" w:lineRule="exact"/>
        <w:rPr>
          <w:rFonts w:ascii="宋体" w:hAnsi="宋体"/>
          <w:sz w:val="24"/>
        </w:rPr>
      </w:pPr>
    </w:p>
    <w:p>
      <w:pPr>
        <w:pStyle w:val="5"/>
        <w:spacing w:before="120" w:after="120" w:line="360" w:lineRule="exact"/>
        <w:rPr>
          <w:rFonts w:ascii="宋体" w:hAnsi="宋体" w:cs="宋体"/>
          <w:b w:val="0"/>
          <w:bCs w:val="0"/>
          <w:sz w:val="24"/>
          <w:szCs w:val="24"/>
        </w:rPr>
      </w:pPr>
      <w:bookmarkStart w:id="255" w:name="_Toc29489"/>
      <w:bookmarkStart w:id="256" w:name="_Toc353881018"/>
      <w:bookmarkStart w:id="257" w:name="_Toc3752"/>
      <w:bookmarkStart w:id="258" w:name="_Toc21644"/>
      <w:bookmarkStart w:id="259" w:name="_Toc424118187"/>
      <w:bookmarkStart w:id="260" w:name="_Toc518655810"/>
      <w:r>
        <w:rPr>
          <w:rFonts w:hint="eastAsia" w:ascii="宋体" w:hAnsi="宋体" w:cs="宋体"/>
          <w:b w:val="0"/>
          <w:bCs w:val="0"/>
          <w:sz w:val="24"/>
          <w:szCs w:val="24"/>
        </w:rPr>
        <w:t>附件七、技术规格偏离表</w:t>
      </w:r>
      <w:bookmarkEnd w:id="255"/>
      <w:bookmarkEnd w:id="256"/>
      <w:bookmarkEnd w:id="257"/>
      <w:bookmarkEnd w:id="258"/>
      <w:bookmarkEnd w:id="259"/>
      <w:bookmarkEnd w:id="260"/>
    </w:p>
    <w:p>
      <w:pPr>
        <w:pStyle w:val="31"/>
        <w:spacing w:after="0" w:line="460" w:lineRule="exact"/>
        <w:jc w:val="center"/>
        <w:rPr>
          <w:rFonts w:ascii="宋体" w:hAnsi="宋体" w:cs="宋体"/>
          <w:b/>
          <w:bCs/>
          <w:sz w:val="32"/>
          <w:szCs w:val="32"/>
        </w:rPr>
      </w:pPr>
      <w:r>
        <w:rPr>
          <w:rFonts w:hint="eastAsia" w:ascii="宋体" w:hAnsi="宋体" w:cs="宋体"/>
          <w:b/>
          <w:bCs/>
          <w:sz w:val="32"/>
          <w:szCs w:val="32"/>
        </w:rPr>
        <w:t>技术规格偏离表</w:t>
      </w:r>
    </w:p>
    <w:p>
      <w:pPr>
        <w:spacing w:line="520" w:lineRule="exact"/>
        <w:rPr>
          <w:rFonts w:ascii="宋体" w:hAnsi="宋体"/>
          <w:sz w:val="24"/>
          <w:u w:val="single"/>
        </w:rPr>
      </w:pPr>
      <w:r>
        <w:rPr>
          <w:rFonts w:hint="eastAsia" w:ascii="宋体" w:hAnsi="宋体"/>
          <w:sz w:val="24"/>
        </w:rPr>
        <w:t>项目名称：      招标编号：</w:t>
      </w:r>
    </w:p>
    <w:tbl>
      <w:tblPr>
        <w:tblStyle w:val="7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1866"/>
        <w:gridCol w:w="2062"/>
        <w:gridCol w:w="2233"/>
        <w:gridCol w:w="878"/>
        <w:gridCol w:w="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58" w:type="dxa"/>
            <w:vAlign w:val="center"/>
          </w:tcPr>
          <w:p>
            <w:pPr>
              <w:jc w:val="center"/>
              <w:rPr>
                <w:rFonts w:ascii="宋体" w:hAnsi="宋体"/>
                <w:b/>
                <w:sz w:val="24"/>
              </w:rPr>
            </w:pPr>
            <w:r>
              <w:rPr>
                <w:rFonts w:hint="eastAsia" w:ascii="宋体" w:hAnsi="宋体"/>
                <w:b/>
                <w:sz w:val="24"/>
              </w:rPr>
              <w:t>序号</w:t>
            </w:r>
          </w:p>
        </w:tc>
        <w:tc>
          <w:tcPr>
            <w:tcW w:w="1866" w:type="dxa"/>
            <w:vAlign w:val="center"/>
          </w:tcPr>
          <w:p>
            <w:pPr>
              <w:jc w:val="center"/>
              <w:rPr>
                <w:rFonts w:ascii="宋体" w:hAnsi="宋体"/>
                <w:b/>
                <w:sz w:val="24"/>
              </w:rPr>
            </w:pPr>
            <w:r>
              <w:rPr>
                <w:rFonts w:hint="eastAsia" w:ascii="宋体" w:hAnsi="宋体"/>
                <w:b/>
                <w:sz w:val="24"/>
              </w:rPr>
              <w:t>货物名称</w:t>
            </w:r>
          </w:p>
        </w:tc>
        <w:tc>
          <w:tcPr>
            <w:tcW w:w="2062" w:type="dxa"/>
            <w:vAlign w:val="center"/>
          </w:tcPr>
          <w:p>
            <w:pPr>
              <w:jc w:val="center"/>
              <w:rPr>
                <w:rFonts w:ascii="宋体" w:hAnsi="宋体"/>
                <w:b/>
                <w:sz w:val="24"/>
              </w:rPr>
            </w:pPr>
            <w:r>
              <w:rPr>
                <w:rFonts w:hint="eastAsia" w:ascii="宋体" w:hAnsi="宋体"/>
                <w:b/>
                <w:sz w:val="24"/>
              </w:rPr>
              <w:t>招标文件条款号</w:t>
            </w:r>
          </w:p>
        </w:tc>
        <w:tc>
          <w:tcPr>
            <w:tcW w:w="2233" w:type="dxa"/>
            <w:vAlign w:val="center"/>
          </w:tcPr>
          <w:p>
            <w:pPr>
              <w:jc w:val="center"/>
              <w:rPr>
                <w:rFonts w:ascii="宋体" w:hAnsi="宋体"/>
                <w:b/>
                <w:sz w:val="24"/>
              </w:rPr>
            </w:pPr>
            <w:r>
              <w:rPr>
                <w:rFonts w:hint="eastAsia" w:ascii="宋体" w:hAnsi="宋体"/>
                <w:b/>
                <w:sz w:val="24"/>
              </w:rPr>
              <w:t>招标文件条款内容</w:t>
            </w:r>
          </w:p>
        </w:tc>
        <w:tc>
          <w:tcPr>
            <w:tcW w:w="878" w:type="dxa"/>
            <w:vAlign w:val="center"/>
          </w:tcPr>
          <w:p>
            <w:pPr>
              <w:jc w:val="center"/>
              <w:rPr>
                <w:rFonts w:ascii="宋体" w:hAnsi="宋体"/>
                <w:b/>
                <w:sz w:val="24"/>
              </w:rPr>
            </w:pPr>
            <w:r>
              <w:rPr>
                <w:rFonts w:hint="eastAsia" w:ascii="宋体" w:hAnsi="宋体"/>
                <w:b/>
                <w:sz w:val="24"/>
              </w:rPr>
              <w:t>偏离</w:t>
            </w:r>
          </w:p>
        </w:tc>
        <w:tc>
          <w:tcPr>
            <w:tcW w:w="878" w:type="dxa"/>
            <w:vAlign w:val="center"/>
          </w:tcPr>
          <w:p>
            <w:pPr>
              <w:jc w:val="center"/>
              <w:rPr>
                <w:rFonts w:ascii="宋体" w:hAnsi="宋体"/>
                <w:b/>
                <w:sz w:val="24"/>
              </w:rPr>
            </w:pPr>
            <w:r>
              <w:rPr>
                <w:rFonts w:hint="eastAsia" w:ascii="宋体" w:hAnsi="宋体"/>
                <w:b/>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858" w:type="dxa"/>
          </w:tcPr>
          <w:p>
            <w:pPr>
              <w:rPr>
                <w:rFonts w:ascii="宋体" w:hAnsi="宋体"/>
                <w:sz w:val="24"/>
              </w:rPr>
            </w:pPr>
          </w:p>
        </w:tc>
        <w:tc>
          <w:tcPr>
            <w:tcW w:w="1866" w:type="dxa"/>
          </w:tcPr>
          <w:p>
            <w:pPr>
              <w:rPr>
                <w:rFonts w:ascii="宋体" w:hAnsi="宋体"/>
                <w:sz w:val="24"/>
              </w:rPr>
            </w:pPr>
          </w:p>
        </w:tc>
        <w:tc>
          <w:tcPr>
            <w:tcW w:w="2062" w:type="dxa"/>
          </w:tcPr>
          <w:p>
            <w:pPr>
              <w:rPr>
                <w:rFonts w:ascii="宋体" w:hAnsi="宋体"/>
                <w:sz w:val="24"/>
              </w:rPr>
            </w:pPr>
          </w:p>
        </w:tc>
        <w:tc>
          <w:tcPr>
            <w:tcW w:w="2233" w:type="dxa"/>
          </w:tcPr>
          <w:p>
            <w:pPr>
              <w:rPr>
                <w:rFonts w:ascii="宋体" w:hAnsi="宋体"/>
                <w:sz w:val="24"/>
              </w:rPr>
            </w:pPr>
          </w:p>
        </w:tc>
        <w:tc>
          <w:tcPr>
            <w:tcW w:w="878" w:type="dxa"/>
          </w:tcPr>
          <w:p>
            <w:pPr>
              <w:rPr>
                <w:rFonts w:ascii="宋体" w:hAnsi="宋体"/>
                <w:sz w:val="24"/>
              </w:rPr>
            </w:pPr>
          </w:p>
        </w:tc>
        <w:tc>
          <w:tcPr>
            <w:tcW w:w="878"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58" w:type="dxa"/>
          </w:tcPr>
          <w:p>
            <w:pPr>
              <w:rPr>
                <w:rFonts w:ascii="宋体" w:hAnsi="宋体"/>
                <w:sz w:val="24"/>
              </w:rPr>
            </w:pPr>
          </w:p>
        </w:tc>
        <w:tc>
          <w:tcPr>
            <w:tcW w:w="1866" w:type="dxa"/>
          </w:tcPr>
          <w:p>
            <w:pPr>
              <w:rPr>
                <w:rFonts w:ascii="宋体" w:hAnsi="宋体"/>
                <w:sz w:val="24"/>
              </w:rPr>
            </w:pPr>
          </w:p>
        </w:tc>
        <w:tc>
          <w:tcPr>
            <w:tcW w:w="2062" w:type="dxa"/>
          </w:tcPr>
          <w:p>
            <w:pPr>
              <w:rPr>
                <w:rFonts w:ascii="宋体" w:hAnsi="宋体"/>
                <w:sz w:val="24"/>
              </w:rPr>
            </w:pPr>
          </w:p>
        </w:tc>
        <w:tc>
          <w:tcPr>
            <w:tcW w:w="2233" w:type="dxa"/>
          </w:tcPr>
          <w:p>
            <w:pPr>
              <w:rPr>
                <w:rFonts w:ascii="宋体" w:hAnsi="宋体"/>
                <w:sz w:val="24"/>
              </w:rPr>
            </w:pPr>
          </w:p>
        </w:tc>
        <w:tc>
          <w:tcPr>
            <w:tcW w:w="878" w:type="dxa"/>
          </w:tcPr>
          <w:p>
            <w:pPr>
              <w:rPr>
                <w:rFonts w:ascii="宋体" w:hAnsi="宋体"/>
                <w:sz w:val="24"/>
              </w:rPr>
            </w:pPr>
          </w:p>
        </w:tc>
        <w:tc>
          <w:tcPr>
            <w:tcW w:w="878"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858" w:type="dxa"/>
          </w:tcPr>
          <w:p>
            <w:pPr>
              <w:rPr>
                <w:rFonts w:ascii="宋体" w:hAnsi="宋体"/>
                <w:sz w:val="24"/>
              </w:rPr>
            </w:pPr>
          </w:p>
        </w:tc>
        <w:tc>
          <w:tcPr>
            <w:tcW w:w="1866" w:type="dxa"/>
          </w:tcPr>
          <w:p>
            <w:pPr>
              <w:rPr>
                <w:rFonts w:ascii="宋体" w:hAnsi="宋体"/>
                <w:sz w:val="24"/>
              </w:rPr>
            </w:pPr>
          </w:p>
        </w:tc>
        <w:tc>
          <w:tcPr>
            <w:tcW w:w="2062" w:type="dxa"/>
          </w:tcPr>
          <w:p>
            <w:pPr>
              <w:rPr>
                <w:rFonts w:ascii="宋体" w:hAnsi="宋体"/>
                <w:sz w:val="24"/>
              </w:rPr>
            </w:pPr>
          </w:p>
        </w:tc>
        <w:tc>
          <w:tcPr>
            <w:tcW w:w="2233" w:type="dxa"/>
          </w:tcPr>
          <w:p>
            <w:pPr>
              <w:rPr>
                <w:rFonts w:ascii="宋体" w:hAnsi="宋体"/>
                <w:sz w:val="24"/>
              </w:rPr>
            </w:pPr>
          </w:p>
        </w:tc>
        <w:tc>
          <w:tcPr>
            <w:tcW w:w="878" w:type="dxa"/>
          </w:tcPr>
          <w:p>
            <w:pPr>
              <w:rPr>
                <w:rFonts w:ascii="宋体" w:hAnsi="宋体"/>
                <w:sz w:val="24"/>
              </w:rPr>
            </w:pPr>
          </w:p>
        </w:tc>
        <w:tc>
          <w:tcPr>
            <w:tcW w:w="878"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58" w:type="dxa"/>
          </w:tcPr>
          <w:p>
            <w:pPr>
              <w:rPr>
                <w:rFonts w:ascii="宋体" w:hAnsi="宋体"/>
                <w:sz w:val="24"/>
              </w:rPr>
            </w:pPr>
          </w:p>
        </w:tc>
        <w:tc>
          <w:tcPr>
            <w:tcW w:w="1866" w:type="dxa"/>
          </w:tcPr>
          <w:p>
            <w:pPr>
              <w:rPr>
                <w:rFonts w:ascii="宋体" w:hAnsi="宋体"/>
                <w:sz w:val="24"/>
              </w:rPr>
            </w:pPr>
          </w:p>
        </w:tc>
        <w:tc>
          <w:tcPr>
            <w:tcW w:w="2062" w:type="dxa"/>
          </w:tcPr>
          <w:p>
            <w:pPr>
              <w:rPr>
                <w:rFonts w:ascii="宋体" w:hAnsi="宋体"/>
                <w:sz w:val="24"/>
              </w:rPr>
            </w:pPr>
          </w:p>
        </w:tc>
        <w:tc>
          <w:tcPr>
            <w:tcW w:w="2233" w:type="dxa"/>
          </w:tcPr>
          <w:p>
            <w:pPr>
              <w:rPr>
                <w:rFonts w:ascii="宋体" w:hAnsi="宋体"/>
                <w:sz w:val="24"/>
              </w:rPr>
            </w:pPr>
          </w:p>
        </w:tc>
        <w:tc>
          <w:tcPr>
            <w:tcW w:w="878" w:type="dxa"/>
          </w:tcPr>
          <w:p>
            <w:pPr>
              <w:rPr>
                <w:rFonts w:ascii="宋体" w:hAnsi="宋体"/>
                <w:sz w:val="24"/>
              </w:rPr>
            </w:pPr>
          </w:p>
        </w:tc>
        <w:tc>
          <w:tcPr>
            <w:tcW w:w="878"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858" w:type="dxa"/>
          </w:tcPr>
          <w:p>
            <w:pPr>
              <w:rPr>
                <w:rFonts w:ascii="宋体" w:hAnsi="宋体"/>
                <w:sz w:val="24"/>
              </w:rPr>
            </w:pPr>
          </w:p>
        </w:tc>
        <w:tc>
          <w:tcPr>
            <w:tcW w:w="1866" w:type="dxa"/>
          </w:tcPr>
          <w:p>
            <w:pPr>
              <w:rPr>
                <w:rFonts w:ascii="宋体" w:hAnsi="宋体"/>
                <w:sz w:val="24"/>
              </w:rPr>
            </w:pPr>
          </w:p>
        </w:tc>
        <w:tc>
          <w:tcPr>
            <w:tcW w:w="2062" w:type="dxa"/>
          </w:tcPr>
          <w:p>
            <w:pPr>
              <w:rPr>
                <w:rFonts w:ascii="宋体" w:hAnsi="宋体"/>
                <w:sz w:val="24"/>
              </w:rPr>
            </w:pPr>
          </w:p>
        </w:tc>
        <w:tc>
          <w:tcPr>
            <w:tcW w:w="2233" w:type="dxa"/>
          </w:tcPr>
          <w:p>
            <w:pPr>
              <w:rPr>
                <w:rFonts w:ascii="宋体" w:hAnsi="宋体"/>
                <w:sz w:val="24"/>
              </w:rPr>
            </w:pPr>
          </w:p>
        </w:tc>
        <w:tc>
          <w:tcPr>
            <w:tcW w:w="878" w:type="dxa"/>
          </w:tcPr>
          <w:p>
            <w:pPr>
              <w:rPr>
                <w:rFonts w:ascii="宋体" w:hAnsi="宋体"/>
                <w:sz w:val="24"/>
              </w:rPr>
            </w:pPr>
          </w:p>
        </w:tc>
        <w:tc>
          <w:tcPr>
            <w:tcW w:w="878"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58" w:type="dxa"/>
          </w:tcPr>
          <w:p>
            <w:pPr>
              <w:rPr>
                <w:rFonts w:ascii="宋体" w:hAnsi="宋体"/>
                <w:sz w:val="24"/>
              </w:rPr>
            </w:pPr>
          </w:p>
        </w:tc>
        <w:tc>
          <w:tcPr>
            <w:tcW w:w="1866" w:type="dxa"/>
          </w:tcPr>
          <w:p>
            <w:pPr>
              <w:rPr>
                <w:rFonts w:ascii="宋体" w:hAnsi="宋体"/>
                <w:sz w:val="24"/>
              </w:rPr>
            </w:pPr>
          </w:p>
        </w:tc>
        <w:tc>
          <w:tcPr>
            <w:tcW w:w="2062" w:type="dxa"/>
          </w:tcPr>
          <w:p>
            <w:pPr>
              <w:rPr>
                <w:rFonts w:ascii="宋体" w:hAnsi="宋体"/>
                <w:sz w:val="24"/>
              </w:rPr>
            </w:pPr>
          </w:p>
        </w:tc>
        <w:tc>
          <w:tcPr>
            <w:tcW w:w="2233" w:type="dxa"/>
          </w:tcPr>
          <w:p>
            <w:pPr>
              <w:rPr>
                <w:rFonts w:ascii="宋体" w:hAnsi="宋体"/>
                <w:sz w:val="24"/>
              </w:rPr>
            </w:pPr>
          </w:p>
        </w:tc>
        <w:tc>
          <w:tcPr>
            <w:tcW w:w="878" w:type="dxa"/>
          </w:tcPr>
          <w:p>
            <w:pPr>
              <w:rPr>
                <w:rFonts w:ascii="宋体" w:hAnsi="宋体"/>
                <w:sz w:val="24"/>
              </w:rPr>
            </w:pPr>
          </w:p>
        </w:tc>
        <w:tc>
          <w:tcPr>
            <w:tcW w:w="878"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858" w:type="dxa"/>
          </w:tcPr>
          <w:p>
            <w:pPr>
              <w:rPr>
                <w:rFonts w:ascii="宋体" w:hAnsi="宋体"/>
                <w:sz w:val="24"/>
              </w:rPr>
            </w:pPr>
          </w:p>
        </w:tc>
        <w:tc>
          <w:tcPr>
            <w:tcW w:w="1866" w:type="dxa"/>
          </w:tcPr>
          <w:p>
            <w:pPr>
              <w:rPr>
                <w:rFonts w:ascii="宋体" w:hAnsi="宋体"/>
                <w:sz w:val="24"/>
              </w:rPr>
            </w:pPr>
          </w:p>
        </w:tc>
        <w:tc>
          <w:tcPr>
            <w:tcW w:w="2062" w:type="dxa"/>
          </w:tcPr>
          <w:p>
            <w:pPr>
              <w:rPr>
                <w:rFonts w:ascii="宋体" w:hAnsi="宋体"/>
                <w:sz w:val="24"/>
              </w:rPr>
            </w:pPr>
          </w:p>
        </w:tc>
        <w:tc>
          <w:tcPr>
            <w:tcW w:w="2233" w:type="dxa"/>
          </w:tcPr>
          <w:p>
            <w:pPr>
              <w:rPr>
                <w:rFonts w:ascii="宋体" w:hAnsi="宋体"/>
                <w:sz w:val="24"/>
              </w:rPr>
            </w:pPr>
          </w:p>
        </w:tc>
        <w:tc>
          <w:tcPr>
            <w:tcW w:w="878" w:type="dxa"/>
          </w:tcPr>
          <w:p>
            <w:pPr>
              <w:rPr>
                <w:rFonts w:ascii="宋体" w:hAnsi="宋体"/>
                <w:sz w:val="24"/>
              </w:rPr>
            </w:pPr>
          </w:p>
        </w:tc>
        <w:tc>
          <w:tcPr>
            <w:tcW w:w="878"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58" w:type="dxa"/>
          </w:tcPr>
          <w:p>
            <w:pPr>
              <w:rPr>
                <w:rFonts w:ascii="宋体" w:hAnsi="宋体"/>
                <w:sz w:val="24"/>
              </w:rPr>
            </w:pPr>
          </w:p>
        </w:tc>
        <w:tc>
          <w:tcPr>
            <w:tcW w:w="1866" w:type="dxa"/>
          </w:tcPr>
          <w:p>
            <w:pPr>
              <w:rPr>
                <w:rFonts w:ascii="宋体" w:hAnsi="宋体"/>
                <w:sz w:val="24"/>
              </w:rPr>
            </w:pPr>
          </w:p>
        </w:tc>
        <w:tc>
          <w:tcPr>
            <w:tcW w:w="2062" w:type="dxa"/>
          </w:tcPr>
          <w:p>
            <w:pPr>
              <w:rPr>
                <w:rFonts w:ascii="宋体" w:hAnsi="宋体"/>
                <w:sz w:val="24"/>
              </w:rPr>
            </w:pPr>
          </w:p>
        </w:tc>
        <w:tc>
          <w:tcPr>
            <w:tcW w:w="2233" w:type="dxa"/>
          </w:tcPr>
          <w:p>
            <w:pPr>
              <w:rPr>
                <w:rFonts w:ascii="宋体" w:hAnsi="宋体"/>
                <w:sz w:val="24"/>
              </w:rPr>
            </w:pPr>
          </w:p>
        </w:tc>
        <w:tc>
          <w:tcPr>
            <w:tcW w:w="878" w:type="dxa"/>
          </w:tcPr>
          <w:p>
            <w:pPr>
              <w:rPr>
                <w:rFonts w:ascii="宋体" w:hAnsi="宋体"/>
                <w:sz w:val="24"/>
              </w:rPr>
            </w:pPr>
          </w:p>
        </w:tc>
        <w:tc>
          <w:tcPr>
            <w:tcW w:w="878"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858" w:type="dxa"/>
          </w:tcPr>
          <w:p>
            <w:pPr>
              <w:rPr>
                <w:rFonts w:ascii="宋体" w:hAnsi="宋体"/>
                <w:sz w:val="24"/>
              </w:rPr>
            </w:pPr>
          </w:p>
        </w:tc>
        <w:tc>
          <w:tcPr>
            <w:tcW w:w="1866" w:type="dxa"/>
          </w:tcPr>
          <w:p>
            <w:pPr>
              <w:rPr>
                <w:rFonts w:ascii="宋体" w:hAnsi="宋体"/>
                <w:sz w:val="24"/>
              </w:rPr>
            </w:pPr>
          </w:p>
        </w:tc>
        <w:tc>
          <w:tcPr>
            <w:tcW w:w="2062" w:type="dxa"/>
          </w:tcPr>
          <w:p>
            <w:pPr>
              <w:rPr>
                <w:rFonts w:ascii="宋体" w:hAnsi="宋体"/>
                <w:sz w:val="24"/>
              </w:rPr>
            </w:pPr>
          </w:p>
        </w:tc>
        <w:tc>
          <w:tcPr>
            <w:tcW w:w="2233" w:type="dxa"/>
          </w:tcPr>
          <w:p>
            <w:pPr>
              <w:rPr>
                <w:rFonts w:ascii="宋体" w:hAnsi="宋体"/>
                <w:sz w:val="24"/>
              </w:rPr>
            </w:pPr>
          </w:p>
        </w:tc>
        <w:tc>
          <w:tcPr>
            <w:tcW w:w="878" w:type="dxa"/>
          </w:tcPr>
          <w:p>
            <w:pPr>
              <w:rPr>
                <w:rFonts w:ascii="宋体" w:hAnsi="宋体"/>
                <w:sz w:val="24"/>
              </w:rPr>
            </w:pPr>
          </w:p>
        </w:tc>
        <w:tc>
          <w:tcPr>
            <w:tcW w:w="878"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58" w:type="dxa"/>
          </w:tcPr>
          <w:p>
            <w:pPr>
              <w:rPr>
                <w:rFonts w:ascii="宋体" w:hAnsi="宋体"/>
                <w:sz w:val="24"/>
              </w:rPr>
            </w:pPr>
          </w:p>
        </w:tc>
        <w:tc>
          <w:tcPr>
            <w:tcW w:w="1866" w:type="dxa"/>
          </w:tcPr>
          <w:p>
            <w:pPr>
              <w:rPr>
                <w:rFonts w:ascii="宋体" w:hAnsi="宋体"/>
                <w:sz w:val="24"/>
              </w:rPr>
            </w:pPr>
          </w:p>
        </w:tc>
        <w:tc>
          <w:tcPr>
            <w:tcW w:w="2062" w:type="dxa"/>
          </w:tcPr>
          <w:p>
            <w:pPr>
              <w:rPr>
                <w:rFonts w:ascii="宋体" w:hAnsi="宋体"/>
                <w:sz w:val="24"/>
              </w:rPr>
            </w:pPr>
          </w:p>
        </w:tc>
        <w:tc>
          <w:tcPr>
            <w:tcW w:w="2233" w:type="dxa"/>
          </w:tcPr>
          <w:p>
            <w:pPr>
              <w:rPr>
                <w:rFonts w:ascii="宋体" w:hAnsi="宋体"/>
                <w:sz w:val="24"/>
              </w:rPr>
            </w:pPr>
          </w:p>
        </w:tc>
        <w:tc>
          <w:tcPr>
            <w:tcW w:w="878" w:type="dxa"/>
          </w:tcPr>
          <w:p>
            <w:pPr>
              <w:rPr>
                <w:rFonts w:ascii="宋体" w:hAnsi="宋体"/>
                <w:sz w:val="24"/>
              </w:rPr>
            </w:pPr>
          </w:p>
        </w:tc>
        <w:tc>
          <w:tcPr>
            <w:tcW w:w="878"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858" w:type="dxa"/>
          </w:tcPr>
          <w:p>
            <w:pPr>
              <w:rPr>
                <w:rFonts w:ascii="宋体" w:hAnsi="宋体"/>
                <w:sz w:val="24"/>
              </w:rPr>
            </w:pPr>
          </w:p>
        </w:tc>
        <w:tc>
          <w:tcPr>
            <w:tcW w:w="1866" w:type="dxa"/>
          </w:tcPr>
          <w:p>
            <w:pPr>
              <w:rPr>
                <w:rFonts w:ascii="宋体" w:hAnsi="宋体"/>
                <w:sz w:val="24"/>
              </w:rPr>
            </w:pPr>
          </w:p>
        </w:tc>
        <w:tc>
          <w:tcPr>
            <w:tcW w:w="2062" w:type="dxa"/>
          </w:tcPr>
          <w:p>
            <w:pPr>
              <w:rPr>
                <w:rFonts w:ascii="宋体" w:hAnsi="宋体"/>
                <w:sz w:val="24"/>
              </w:rPr>
            </w:pPr>
          </w:p>
        </w:tc>
        <w:tc>
          <w:tcPr>
            <w:tcW w:w="2233" w:type="dxa"/>
          </w:tcPr>
          <w:p>
            <w:pPr>
              <w:rPr>
                <w:rFonts w:ascii="宋体" w:hAnsi="宋体"/>
                <w:sz w:val="24"/>
              </w:rPr>
            </w:pPr>
          </w:p>
        </w:tc>
        <w:tc>
          <w:tcPr>
            <w:tcW w:w="878" w:type="dxa"/>
          </w:tcPr>
          <w:p>
            <w:pPr>
              <w:rPr>
                <w:rFonts w:ascii="宋体" w:hAnsi="宋体"/>
                <w:sz w:val="24"/>
              </w:rPr>
            </w:pPr>
          </w:p>
        </w:tc>
        <w:tc>
          <w:tcPr>
            <w:tcW w:w="878"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58" w:type="dxa"/>
          </w:tcPr>
          <w:p>
            <w:pPr>
              <w:rPr>
                <w:rFonts w:ascii="宋体" w:hAnsi="宋体"/>
                <w:sz w:val="24"/>
              </w:rPr>
            </w:pPr>
          </w:p>
        </w:tc>
        <w:tc>
          <w:tcPr>
            <w:tcW w:w="1866" w:type="dxa"/>
          </w:tcPr>
          <w:p>
            <w:pPr>
              <w:rPr>
                <w:rFonts w:ascii="宋体" w:hAnsi="宋体"/>
                <w:sz w:val="24"/>
              </w:rPr>
            </w:pPr>
          </w:p>
        </w:tc>
        <w:tc>
          <w:tcPr>
            <w:tcW w:w="2062" w:type="dxa"/>
          </w:tcPr>
          <w:p>
            <w:pPr>
              <w:rPr>
                <w:rFonts w:ascii="宋体" w:hAnsi="宋体"/>
                <w:sz w:val="24"/>
              </w:rPr>
            </w:pPr>
          </w:p>
        </w:tc>
        <w:tc>
          <w:tcPr>
            <w:tcW w:w="2233" w:type="dxa"/>
          </w:tcPr>
          <w:p>
            <w:pPr>
              <w:rPr>
                <w:rFonts w:ascii="宋体" w:hAnsi="宋体"/>
                <w:sz w:val="24"/>
              </w:rPr>
            </w:pPr>
          </w:p>
        </w:tc>
        <w:tc>
          <w:tcPr>
            <w:tcW w:w="878" w:type="dxa"/>
          </w:tcPr>
          <w:p>
            <w:pPr>
              <w:rPr>
                <w:rFonts w:ascii="宋体" w:hAnsi="宋体"/>
                <w:sz w:val="24"/>
              </w:rPr>
            </w:pPr>
          </w:p>
        </w:tc>
        <w:tc>
          <w:tcPr>
            <w:tcW w:w="878"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858" w:type="dxa"/>
          </w:tcPr>
          <w:p>
            <w:pPr>
              <w:rPr>
                <w:rFonts w:ascii="宋体" w:hAnsi="宋体"/>
                <w:sz w:val="24"/>
              </w:rPr>
            </w:pPr>
          </w:p>
        </w:tc>
        <w:tc>
          <w:tcPr>
            <w:tcW w:w="1866" w:type="dxa"/>
          </w:tcPr>
          <w:p>
            <w:pPr>
              <w:rPr>
                <w:rFonts w:ascii="宋体" w:hAnsi="宋体"/>
                <w:sz w:val="24"/>
              </w:rPr>
            </w:pPr>
          </w:p>
        </w:tc>
        <w:tc>
          <w:tcPr>
            <w:tcW w:w="2062" w:type="dxa"/>
          </w:tcPr>
          <w:p>
            <w:pPr>
              <w:rPr>
                <w:rFonts w:ascii="宋体" w:hAnsi="宋体"/>
                <w:sz w:val="24"/>
              </w:rPr>
            </w:pPr>
          </w:p>
        </w:tc>
        <w:tc>
          <w:tcPr>
            <w:tcW w:w="2233" w:type="dxa"/>
          </w:tcPr>
          <w:p>
            <w:pPr>
              <w:rPr>
                <w:rFonts w:ascii="宋体" w:hAnsi="宋体"/>
                <w:sz w:val="24"/>
              </w:rPr>
            </w:pPr>
          </w:p>
        </w:tc>
        <w:tc>
          <w:tcPr>
            <w:tcW w:w="878" w:type="dxa"/>
          </w:tcPr>
          <w:p>
            <w:pPr>
              <w:rPr>
                <w:rFonts w:ascii="宋体" w:hAnsi="宋体"/>
                <w:sz w:val="24"/>
              </w:rPr>
            </w:pPr>
          </w:p>
        </w:tc>
        <w:tc>
          <w:tcPr>
            <w:tcW w:w="878"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58" w:type="dxa"/>
          </w:tcPr>
          <w:p>
            <w:pPr>
              <w:rPr>
                <w:rFonts w:ascii="宋体" w:hAnsi="宋体"/>
                <w:sz w:val="24"/>
              </w:rPr>
            </w:pPr>
          </w:p>
        </w:tc>
        <w:tc>
          <w:tcPr>
            <w:tcW w:w="1866" w:type="dxa"/>
          </w:tcPr>
          <w:p>
            <w:pPr>
              <w:rPr>
                <w:rFonts w:ascii="宋体" w:hAnsi="宋体"/>
                <w:sz w:val="24"/>
              </w:rPr>
            </w:pPr>
          </w:p>
        </w:tc>
        <w:tc>
          <w:tcPr>
            <w:tcW w:w="2062" w:type="dxa"/>
          </w:tcPr>
          <w:p>
            <w:pPr>
              <w:rPr>
                <w:rFonts w:ascii="宋体" w:hAnsi="宋体"/>
                <w:sz w:val="24"/>
              </w:rPr>
            </w:pPr>
          </w:p>
        </w:tc>
        <w:tc>
          <w:tcPr>
            <w:tcW w:w="2233" w:type="dxa"/>
          </w:tcPr>
          <w:p>
            <w:pPr>
              <w:rPr>
                <w:rFonts w:ascii="宋体" w:hAnsi="宋体"/>
                <w:sz w:val="24"/>
              </w:rPr>
            </w:pPr>
          </w:p>
        </w:tc>
        <w:tc>
          <w:tcPr>
            <w:tcW w:w="878" w:type="dxa"/>
          </w:tcPr>
          <w:p>
            <w:pPr>
              <w:rPr>
                <w:rFonts w:ascii="宋体" w:hAnsi="宋体"/>
                <w:sz w:val="24"/>
              </w:rPr>
            </w:pPr>
          </w:p>
        </w:tc>
        <w:tc>
          <w:tcPr>
            <w:tcW w:w="878"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858" w:type="dxa"/>
          </w:tcPr>
          <w:p>
            <w:pPr>
              <w:rPr>
                <w:rFonts w:ascii="宋体" w:hAnsi="宋体"/>
                <w:sz w:val="24"/>
              </w:rPr>
            </w:pPr>
          </w:p>
        </w:tc>
        <w:tc>
          <w:tcPr>
            <w:tcW w:w="1866" w:type="dxa"/>
          </w:tcPr>
          <w:p>
            <w:pPr>
              <w:rPr>
                <w:rFonts w:ascii="宋体" w:hAnsi="宋体"/>
                <w:sz w:val="24"/>
              </w:rPr>
            </w:pPr>
          </w:p>
        </w:tc>
        <w:tc>
          <w:tcPr>
            <w:tcW w:w="2062" w:type="dxa"/>
          </w:tcPr>
          <w:p>
            <w:pPr>
              <w:rPr>
                <w:rFonts w:ascii="宋体" w:hAnsi="宋体"/>
                <w:sz w:val="24"/>
              </w:rPr>
            </w:pPr>
          </w:p>
        </w:tc>
        <w:tc>
          <w:tcPr>
            <w:tcW w:w="2233" w:type="dxa"/>
          </w:tcPr>
          <w:p>
            <w:pPr>
              <w:rPr>
                <w:rFonts w:ascii="宋体" w:hAnsi="宋体"/>
                <w:sz w:val="24"/>
              </w:rPr>
            </w:pPr>
          </w:p>
        </w:tc>
        <w:tc>
          <w:tcPr>
            <w:tcW w:w="878" w:type="dxa"/>
          </w:tcPr>
          <w:p>
            <w:pPr>
              <w:rPr>
                <w:rFonts w:ascii="宋体" w:hAnsi="宋体"/>
                <w:sz w:val="24"/>
              </w:rPr>
            </w:pPr>
          </w:p>
        </w:tc>
        <w:tc>
          <w:tcPr>
            <w:tcW w:w="878" w:type="dxa"/>
          </w:tcPr>
          <w:p>
            <w:pPr>
              <w:rPr>
                <w:rFonts w:ascii="宋体" w:hAnsi="宋体"/>
                <w:sz w:val="24"/>
              </w:rPr>
            </w:pPr>
          </w:p>
        </w:tc>
      </w:tr>
    </w:tbl>
    <w:p>
      <w:pPr>
        <w:rPr>
          <w:rFonts w:ascii="宋体" w:hAnsi="宋体"/>
          <w:sz w:val="24"/>
        </w:rPr>
      </w:pPr>
    </w:p>
    <w:p>
      <w:pPr>
        <w:spacing w:line="660" w:lineRule="exact"/>
        <w:rPr>
          <w:rFonts w:ascii="宋体" w:hAnsi="宋体"/>
          <w:sz w:val="24"/>
        </w:rPr>
      </w:pPr>
      <w:r>
        <w:rPr>
          <w:rFonts w:hint="eastAsia" w:ascii="宋体" w:hAnsi="宋体"/>
          <w:sz w:val="24"/>
        </w:rPr>
        <w:t>投标方：（盖章）</w:t>
      </w:r>
    </w:p>
    <w:p>
      <w:pPr>
        <w:spacing w:line="660" w:lineRule="exact"/>
        <w:rPr>
          <w:rFonts w:ascii="宋体" w:hAnsi="宋体"/>
          <w:sz w:val="24"/>
        </w:rPr>
      </w:pPr>
      <w:r>
        <w:rPr>
          <w:rFonts w:hint="eastAsia" w:ascii="宋体" w:hAnsi="宋体"/>
          <w:sz w:val="24"/>
        </w:rPr>
        <w:t>法定代表人（委托代理人）：（签字）</w:t>
      </w:r>
    </w:p>
    <w:p>
      <w:pPr>
        <w:spacing w:line="660" w:lineRule="exact"/>
        <w:rPr>
          <w:rFonts w:ascii="宋体" w:hAnsi="宋体"/>
          <w:sz w:val="24"/>
        </w:rPr>
      </w:pPr>
      <w:r>
        <w:rPr>
          <w:rFonts w:hint="eastAsia" w:ascii="宋体" w:hAnsi="宋体"/>
          <w:sz w:val="24"/>
        </w:rPr>
        <w:t>日  期：年月日</w:t>
      </w:r>
    </w:p>
    <w:p>
      <w:pPr>
        <w:rPr>
          <w:rFonts w:ascii="宋体" w:hAnsi="宋体"/>
        </w:rPr>
      </w:pPr>
    </w:p>
    <w:p>
      <w:pPr>
        <w:pStyle w:val="5"/>
        <w:spacing w:before="120" w:after="120" w:line="360" w:lineRule="exact"/>
        <w:rPr>
          <w:rFonts w:ascii="宋体" w:hAnsi="宋体" w:cs="宋体"/>
          <w:b w:val="0"/>
          <w:bCs w:val="0"/>
          <w:sz w:val="24"/>
          <w:szCs w:val="24"/>
        </w:rPr>
      </w:pPr>
      <w:bookmarkStart w:id="261" w:name="_Toc28134"/>
      <w:bookmarkStart w:id="262" w:name="_Toc353881019"/>
      <w:bookmarkStart w:id="263" w:name="_Toc11990"/>
      <w:bookmarkStart w:id="264" w:name="_Toc518655811"/>
      <w:bookmarkStart w:id="265" w:name="_Toc19517"/>
      <w:bookmarkStart w:id="266" w:name="_Toc424118188"/>
      <w:r>
        <w:rPr>
          <w:rFonts w:hint="eastAsia" w:ascii="宋体" w:hAnsi="宋体" w:cs="宋体"/>
          <w:b w:val="0"/>
          <w:bCs w:val="0"/>
          <w:sz w:val="24"/>
          <w:szCs w:val="24"/>
        </w:rPr>
        <w:t>附件八、商务条款偏离表</w:t>
      </w:r>
      <w:bookmarkEnd w:id="261"/>
      <w:bookmarkEnd w:id="262"/>
      <w:bookmarkEnd w:id="263"/>
      <w:bookmarkEnd w:id="264"/>
      <w:bookmarkEnd w:id="265"/>
      <w:bookmarkEnd w:id="266"/>
    </w:p>
    <w:p>
      <w:pPr>
        <w:pStyle w:val="31"/>
        <w:spacing w:after="0" w:line="460" w:lineRule="exact"/>
        <w:jc w:val="center"/>
      </w:pPr>
      <w:r>
        <w:rPr>
          <w:rFonts w:hint="eastAsia" w:ascii="宋体" w:hAnsi="宋体" w:cs="宋体"/>
          <w:b/>
          <w:bCs/>
          <w:sz w:val="32"/>
          <w:szCs w:val="32"/>
        </w:rPr>
        <w:t>商务条款偏离表</w:t>
      </w:r>
    </w:p>
    <w:p>
      <w:pPr>
        <w:spacing w:line="240" w:lineRule="exact"/>
        <w:rPr>
          <w:rFonts w:ascii="宋体" w:hAnsi="宋体"/>
          <w:sz w:val="24"/>
        </w:rPr>
      </w:pPr>
    </w:p>
    <w:p>
      <w:pPr>
        <w:spacing w:line="520" w:lineRule="exact"/>
        <w:rPr>
          <w:rFonts w:ascii="宋体" w:hAnsi="宋体"/>
          <w:sz w:val="24"/>
          <w:u w:val="single"/>
        </w:rPr>
      </w:pPr>
      <w:r>
        <w:rPr>
          <w:rFonts w:hint="eastAsia" w:ascii="宋体" w:hAnsi="宋体"/>
          <w:sz w:val="24"/>
        </w:rPr>
        <w:t>项目名称：       招标编号：</w:t>
      </w:r>
    </w:p>
    <w:tbl>
      <w:tblPr>
        <w:tblStyle w:val="7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108"/>
        <w:gridCol w:w="3260"/>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28" w:type="dxa"/>
            <w:vAlign w:val="center"/>
          </w:tcPr>
          <w:p>
            <w:pPr>
              <w:rPr>
                <w:rFonts w:ascii="宋体" w:hAnsi="宋体"/>
                <w:b/>
                <w:sz w:val="24"/>
              </w:rPr>
            </w:pPr>
            <w:r>
              <w:rPr>
                <w:rFonts w:hint="eastAsia" w:ascii="宋体" w:hAnsi="宋体"/>
                <w:b/>
                <w:sz w:val="24"/>
              </w:rPr>
              <w:t>序号</w:t>
            </w:r>
          </w:p>
        </w:tc>
        <w:tc>
          <w:tcPr>
            <w:tcW w:w="3108" w:type="dxa"/>
            <w:vAlign w:val="center"/>
          </w:tcPr>
          <w:p>
            <w:pPr>
              <w:jc w:val="center"/>
              <w:rPr>
                <w:rFonts w:ascii="宋体" w:hAnsi="宋体"/>
                <w:b/>
                <w:sz w:val="24"/>
              </w:rPr>
            </w:pPr>
            <w:r>
              <w:rPr>
                <w:rFonts w:hint="eastAsia" w:ascii="宋体" w:hAnsi="宋体"/>
                <w:b/>
                <w:sz w:val="24"/>
              </w:rPr>
              <w:t>招标文件条款号</w:t>
            </w:r>
          </w:p>
        </w:tc>
        <w:tc>
          <w:tcPr>
            <w:tcW w:w="3260" w:type="dxa"/>
            <w:vAlign w:val="center"/>
          </w:tcPr>
          <w:p>
            <w:pPr>
              <w:jc w:val="center"/>
              <w:rPr>
                <w:rFonts w:ascii="宋体" w:hAnsi="宋体"/>
                <w:b/>
                <w:sz w:val="24"/>
              </w:rPr>
            </w:pPr>
            <w:r>
              <w:rPr>
                <w:rFonts w:hint="eastAsia" w:ascii="宋体" w:hAnsi="宋体"/>
                <w:b/>
                <w:sz w:val="24"/>
              </w:rPr>
              <w:t>招标文件条款内容</w:t>
            </w:r>
          </w:p>
        </w:tc>
        <w:tc>
          <w:tcPr>
            <w:tcW w:w="1843" w:type="dxa"/>
            <w:vAlign w:val="center"/>
          </w:tcPr>
          <w:p>
            <w:pPr>
              <w:jc w:val="center"/>
              <w:rPr>
                <w:rFonts w:ascii="宋体" w:hAnsi="宋体"/>
                <w:b/>
                <w:sz w:val="24"/>
              </w:rPr>
            </w:pPr>
            <w:r>
              <w:rPr>
                <w:rFonts w:hint="eastAsia" w:ascii="宋体" w:hAnsi="宋体"/>
                <w:b/>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28" w:type="dxa"/>
          </w:tcPr>
          <w:p>
            <w:pPr>
              <w:rPr>
                <w:rFonts w:ascii="宋体" w:hAnsi="宋体"/>
                <w:sz w:val="24"/>
              </w:rPr>
            </w:pPr>
          </w:p>
        </w:tc>
        <w:tc>
          <w:tcPr>
            <w:tcW w:w="3108" w:type="dxa"/>
          </w:tcPr>
          <w:p>
            <w:pPr>
              <w:rPr>
                <w:rFonts w:ascii="宋体" w:hAnsi="宋体"/>
                <w:sz w:val="24"/>
              </w:rPr>
            </w:pPr>
          </w:p>
        </w:tc>
        <w:tc>
          <w:tcPr>
            <w:tcW w:w="3260" w:type="dxa"/>
          </w:tcPr>
          <w:p>
            <w:pPr>
              <w:rPr>
                <w:rFonts w:ascii="宋体" w:hAnsi="宋体"/>
                <w:sz w:val="24"/>
              </w:rPr>
            </w:pPr>
          </w:p>
        </w:tc>
        <w:tc>
          <w:tcPr>
            <w:tcW w:w="1843"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28" w:type="dxa"/>
          </w:tcPr>
          <w:p>
            <w:pPr>
              <w:rPr>
                <w:rFonts w:ascii="宋体" w:hAnsi="宋体"/>
                <w:sz w:val="24"/>
              </w:rPr>
            </w:pPr>
          </w:p>
        </w:tc>
        <w:tc>
          <w:tcPr>
            <w:tcW w:w="3108" w:type="dxa"/>
          </w:tcPr>
          <w:p>
            <w:pPr>
              <w:rPr>
                <w:rFonts w:ascii="宋体" w:hAnsi="宋体"/>
                <w:sz w:val="24"/>
              </w:rPr>
            </w:pPr>
          </w:p>
        </w:tc>
        <w:tc>
          <w:tcPr>
            <w:tcW w:w="3260" w:type="dxa"/>
          </w:tcPr>
          <w:p>
            <w:pPr>
              <w:rPr>
                <w:rFonts w:ascii="宋体" w:hAnsi="宋体"/>
                <w:sz w:val="24"/>
              </w:rPr>
            </w:pPr>
          </w:p>
        </w:tc>
        <w:tc>
          <w:tcPr>
            <w:tcW w:w="1843"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28" w:type="dxa"/>
          </w:tcPr>
          <w:p>
            <w:pPr>
              <w:rPr>
                <w:rFonts w:ascii="宋体" w:hAnsi="宋体"/>
                <w:sz w:val="24"/>
              </w:rPr>
            </w:pPr>
          </w:p>
        </w:tc>
        <w:tc>
          <w:tcPr>
            <w:tcW w:w="3108" w:type="dxa"/>
          </w:tcPr>
          <w:p>
            <w:pPr>
              <w:rPr>
                <w:rFonts w:ascii="宋体" w:hAnsi="宋体"/>
                <w:sz w:val="24"/>
              </w:rPr>
            </w:pPr>
          </w:p>
        </w:tc>
        <w:tc>
          <w:tcPr>
            <w:tcW w:w="3260" w:type="dxa"/>
          </w:tcPr>
          <w:p>
            <w:pPr>
              <w:rPr>
                <w:rFonts w:ascii="宋体" w:hAnsi="宋体"/>
                <w:sz w:val="24"/>
              </w:rPr>
            </w:pPr>
          </w:p>
        </w:tc>
        <w:tc>
          <w:tcPr>
            <w:tcW w:w="1843"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28" w:type="dxa"/>
          </w:tcPr>
          <w:p>
            <w:pPr>
              <w:rPr>
                <w:rFonts w:ascii="宋体" w:hAnsi="宋体"/>
                <w:sz w:val="24"/>
              </w:rPr>
            </w:pPr>
          </w:p>
        </w:tc>
        <w:tc>
          <w:tcPr>
            <w:tcW w:w="3108" w:type="dxa"/>
          </w:tcPr>
          <w:p>
            <w:pPr>
              <w:rPr>
                <w:rFonts w:ascii="宋体" w:hAnsi="宋体"/>
                <w:sz w:val="24"/>
              </w:rPr>
            </w:pPr>
          </w:p>
        </w:tc>
        <w:tc>
          <w:tcPr>
            <w:tcW w:w="3260" w:type="dxa"/>
          </w:tcPr>
          <w:p>
            <w:pPr>
              <w:rPr>
                <w:rFonts w:ascii="宋体" w:hAnsi="宋体"/>
                <w:sz w:val="24"/>
              </w:rPr>
            </w:pPr>
          </w:p>
        </w:tc>
        <w:tc>
          <w:tcPr>
            <w:tcW w:w="1843"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28" w:type="dxa"/>
          </w:tcPr>
          <w:p>
            <w:pPr>
              <w:rPr>
                <w:rFonts w:ascii="宋体" w:hAnsi="宋体"/>
                <w:sz w:val="24"/>
              </w:rPr>
            </w:pPr>
          </w:p>
        </w:tc>
        <w:tc>
          <w:tcPr>
            <w:tcW w:w="3108" w:type="dxa"/>
          </w:tcPr>
          <w:p>
            <w:pPr>
              <w:rPr>
                <w:rFonts w:ascii="宋体" w:hAnsi="宋体"/>
                <w:sz w:val="24"/>
              </w:rPr>
            </w:pPr>
          </w:p>
        </w:tc>
        <w:tc>
          <w:tcPr>
            <w:tcW w:w="3260" w:type="dxa"/>
          </w:tcPr>
          <w:p>
            <w:pPr>
              <w:rPr>
                <w:rFonts w:ascii="宋体" w:hAnsi="宋体"/>
                <w:sz w:val="24"/>
              </w:rPr>
            </w:pPr>
          </w:p>
        </w:tc>
        <w:tc>
          <w:tcPr>
            <w:tcW w:w="1843"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28" w:type="dxa"/>
          </w:tcPr>
          <w:p>
            <w:pPr>
              <w:rPr>
                <w:rFonts w:ascii="宋体" w:hAnsi="宋体"/>
                <w:sz w:val="24"/>
              </w:rPr>
            </w:pPr>
          </w:p>
        </w:tc>
        <w:tc>
          <w:tcPr>
            <w:tcW w:w="3108" w:type="dxa"/>
          </w:tcPr>
          <w:p>
            <w:pPr>
              <w:rPr>
                <w:rFonts w:ascii="宋体" w:hAnsi="宋体"/>
                <w:sz w:val="24"/>
              </w:rPr>
            </w:pPr>
          </w:p>
        </w:tc>
        <w:tc>
          <w:tcPr>
            <w:tcW w:w="3260" w:type="dxa"/>
          </w:tcPr>
          <w:p>
            <w:pPr>
              <w:rPr>
                <w:rFonts w:ascii="宋体" w:hAnsi="宋体"/>
                <w:sz w:val="24"/>
              </w:rPr>
            </w:pPr>
          </w:p>
        </w:tc>
        <w:tc>
          <w:tcPr>
            <w:tcW w:w="1843"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28" w:type="dxa"/>
          </w:tcPr>
          <w:p>
            <w:pPr>
              <w:rPr>
                <w:rFonts w:ascii="宋体" w:hAnsi="宋体"/>
                <w:sz w:val="24"/>
              </w:rPr>
            </w:pPr>
          </w:p>
        </w:tc>
        <w:tc>
          <w:tcPr>
            <w:tcW w:w="3108" w:type="dxa"/>
          </w:tcPr>
          <w:p>
            <w:pPr>
              <w:rPr>
                <w:rFonts w:ascii="宋体" w:hAnsi="宋体"/>
                <w:sz w:val="24"/>
              </w:rPr>
            </w:pPr>
          </w:p>
        </w:tc>
        <w:tc>
          <w:tcPr>
            <w:tcW w:w="3260" w:type="dxa"/>
          </w:tcPr>
          <w:p>
            <w:pPr>
              <w:rPr>
                <w:rFonts w:ascii="宋体" w:hAnsi="宋体"/>
                <w:sz w:val="24"/>
              </w:rPr>
            </w:pPr>
          </w:p>
        </w:tc>
        <w:tc>
          <w:tcPr>
            <w:tcW w:w="1843"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28" w:type="dxa"/>
          </w:tcPr>
          <w:p>
            <w:pPr>
              <w:rPr>
                <w:rFonts w:ascii="宋体" w:hAnsi="宋体"/>
                <w:sz w:val="24"/>
              </w:rPr>
            </w:pPr>
          </w:p>
        </w:tc>
        <w:tc>
          <w:tcPr>
            <w:tcW w:w="3108" w:type="dxa"/>
          </w:tcPr>
          <w:p>
            <w:pPr>
              <w:rPr>
                <w:rFonts w:ascii="宋体" w:hAnsi="宋体"/>
                <w:sz w:val="24"/>
              </w:rPr>
            </w:pPr>
          </w:p>
        </w:tc>
        <w:tc>
          <w:tcPr>
            <w:tcW w:w="3260" w:type="dxa"/>
          </w:tcPr>
          <w:p>
            <w:pPr>
              <w:rPr>
                <w:rFonts w:ascii="宋体" w:hAnsi="宋体"/>
                <w:sz w:val="24"/>
              </w:rPr>
            </w:pPr>
          </w:p>
        </w:tc>
        <w:tc>
          <w:tcPr>
            <w:tcW w:w="1843"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28" w:type="dxa"/>
          </w:tcPr>
          <w:p>
            <w:pPr>
              <w:rPr>
                <w:rFonts w:ascii="宋体" w:hAnsi="宋体"/>
                <w:sz w:val="24"/>
              </w:rPr>
            </w:pPr>
          </w:p>
        </w:tc>
        <w:tc>
          <w:tcPr>
            <w:tcW w:w="3108" w:type="dxa"/>
          </w:tcPr>
          <w:p>
            <w:pPr>
              <w:rPr>
                <w:rFonts w:ascii="宋体" w:hAnsi="宋体"/>
                <w:sz w:val="24"/>
              </w:rPr>
            </w:pPr>
          </w:p>
        </w:tc>
        <w:tc>
          <w:tcPr>
            <w:tcW w:w="3260" w:type="dxa"/>
          </w:tcPr>
          <w:p>
            <w:pPr>
              <w:rPr>
                <w:rFonts w:ascii="宋体" w:hAnsi="宋体"/>
                <w:sz w:val="24"/>
              </w:rPr>
            </w:pPr>
          </w:p>
        </w:tc>
        <w:tc>
          <w:tcPr>
            <w:tcW w:w="1843"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28" w:type="dxa"/>
          </w:tcPr>
          <w:p>
            <w:pPr>
              <w:rPr>
                <w:rFonts w:ascii="宋体" w:hAnsi="宋体"/>
                <w:sz w:val="24"/>
              </w:rPr>
            </w:pPr>
          </w:p>
        </w:tc>
        <w:tc>
          <w:tcPr>
            <w:tcW w:w="3108" w:type="dxa"/>
          </w:tcPr>
          <w:p>
            <w:pPr>
              <w:rPr>
                <w:rFonts w:ascii="宋体" w:hAnsi="宋体"/>
                <w:sz w:val="24"/>
              </w:rPr>
            </w:pPr>
          </w:p>
        </w:tc>
        <w:tc>
          <w:tcPr>
            <w:tcW w:w="3260" w:type="dxa"/>
          </w:tcPr>
          <w:p>
            <w:pPr>
              <w:rPr>
                <w:rFonts w:ascii="宋体" w:hAnsi="宋体"/>
                <w:sz w:val="24"/>
              </w:rPr>
            </w:pPr>
          </w:p>
        </w:tc>
        <w:tc>
          <w:tcPr>
            <w:tcW w:w="1843"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28" w:type="dxa"/>
          </w:tcPr>
          <w:p>
            <w:pPr>
              <w:rPr>
                <w:rFonts w:ascii="宋体" w:hAnsi="宋体"/>
                <w:sz w:val="24"/>
              </w:rPr>
            </w:pPr>
          </w:p>
        </w:tc>
        <w:tc>
          <w:tcPr>
            <w:tcW w:w="3108" w:type="dxa"/>
          </w:tcPr>
          <w:p>
            <w:pPr>
              <w:rPr>
                <w:rFonts w:ascii="宋体" w:hAnsi="宋体"/>
                <w:sz w:val="24"/>
              </w:rPr>
            </w:pPr>
          </w:p>
        </w:tc>
        <w:tc>
          <w:tcPr>
            <w:tcW w:w="3260" w:type="dxa"/>
          </w:tcPr>
          <w:p>
            <w:pPr>
              <w:rPr>
                <w:rFonts w:ascii="宋体" w:hAnsi="宋体"/>
                <w:sz w:val="24"/>
              </w:rPr>
            </w:pPr>
          </w:p>
        </w:tc>
        <w:tc>
          <w:tcPr>
            <w:tcW w:w="1843"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28" w:type="dxa"/>
          </w:tcPr>
          <w:p>
            <w:pPr>
              <w:rPr>
                <w:rFonts w:ascii="宋体" w:hAnsi="宋体"/>
                <w:sz w:val="24"/>
              </w:rPr>
            </w:pPr>
          </w:p>
        </w:tc>
        <w:tc>
          <w:tcPr>
            <w:tcW w:w="3108" w:type="dxa"/>
          </w:tcPr>
          <w:p>
            <w:pPr>
              <w:rPr>
                <w:rFonts w:ascii="宋体" w:hAnsi="宋体"/>
                <w:sz w:val="24"/>
              </w:rPr>
            </w:pPr>
          </w:p>
        </w:tc>
        <w:tc>
          <w:tcPr>
            <w:tcW w:w="3260" w:type="dxa"/>
          </w:tcPr>
          <w:p>
            <w:pPr>
              <w:rPr>
                <w:rFonts w:ascii="宋体" w:hAnsi="宋体"/>
                <w:sz w:val="24"/>
              </w:rPr>
            </w:pPr>
          </w:p>
        </w:tc>
        <w:tc>
          <w:tcPr>
            <w:tcW w:w="1843"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28" w:type="dxa"/>
          </w:tcPr>
          <w:p>
            <w:pPr>
              <w:rPr>
                <w:rFonts w:ascii="宋体" w:hAnsi="宋体"/>
                <w:sz w:val="24"/>
              </w:rPr>
            </w:pPr>
          </w:p>
        </w:tc>
        <w:tc>
          <w:tcPr>
            <w:tcW w:w="3108" w:type="dxa"/>
          </w:tcPr>
          <w:p>
            <w:pPr>
              <w:rPr>
                <w:rFonts w:ascii="宋体" w:hAnsi="宋体"/>
                <w:sz w:val="24"/>
              </w:rPr>
            </w:pPr>
          </w:p>
        </w:tc>
        <w:tc>
          <w:tcPr>
            <w:tcW w:w="3260" w:type="dxa"/>
          </w:tcPr>
          <w:p>
            <w:pPr>
              <w:rPr>
                <w:rFonts w:ascii="宋体" w:hAnsi="宋体"/>
                <w:sz w:val="24"/>
              </w:rPr>
            </w:pPr>
          </w:p>
        </w:tc>
        <w:tc>
          <w:tcPr>
            <w:tcW w:w="1843"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28" w:type="dxa"/>
          </w:tcPr>
          <w:p>
            <w:pPr>
              <w:rPr>
                <w:rFonts w:ascii="宋体" w:hAnsi="宋体"/>
                <w:sz w:val="24"/>
              </w:rPr>
            </w:pPr>
          </w:p>
        </w:tc>
        <w:tc>
          <w:tcPr>
            <w:tcW w:w="3108" w:type="dxa"/>
          </w:tcPr>
          <w:p>
            <w:pPr>
              <w:rPr>
                <w:rFonts w:ascii="宋体" w:hAnsi="宋体"/>
                <w:sz w:val="24"/>
              </w:rPr>
            </w:pPr>
          </w:p>
        </w:tc>
        <w:tc>
          <w:tcPr>
            <w:tcW w:w="3260" w:type="dxa"/>
          </w:tcPr>
          <w:p>
            <w:pPr>
              <w:rPr>
                <w:rFonts w:ascii="宋体" w:hAnsi="宋体"/>
                <w:sz w:val="24"/>
              </w:rPr>
            </w:pPr>
          </w:p>
        </w:tc>
        <w:tc>
          <w:tcPr>
            <w:tcW w:w="1843" w:type="dxa"/>
          </w:tcPr>
          <w:p>
            <w:pPr>
              <w:rPr>
                <w:rFonts w:ascii="宋体" w:hAnsi="宋体"/>
                <w:sz w:val="24"/>
              </w:rPr>
            </w:pPr>
          </w:p>
        </w:tc>
      </w:tr>
    </w:tbl>
    <w:p>
      <w:pPr>
        <w:rPr>
          <w:rFonts w:ascii="宋体" w:hAnsi="宋体"/>
          <w:sz w:val="24"/>
        </w:rPr>
      </w:pPr>
    </w:p>
    <w:p>
      <w:pPr>
        <w:spacing w:line="660" w:lineRule="exact"/>
        <w:rPr>
          <w:rFonts w:ascii="宋体" w:hAnsi="宋体"/>
          <w:sz w:val="24"/>
        </w:rPr>
      </w:pPr>
      <w:r>
        <w:rPr>
          <w:rFonts w:hint="eastAsia" w:ascii="宋体" w:hAnsi="宋体"/>
          <w:sz w:val="24"/>
        </w:rPr>
        <w:t>投标方：（盖章）</w:t>
      </w:r>
    </w:p>
    <w:p>
      <w:pPr>
        <w:spacing w:line="660" w:lineRule="exact"/>
        <w:rPr>
          <w:rFonts w:ascii="宋体" w:hAnsi="宋体"/>
          <w:sz w:val="24"/>
        </w:rPr>
      </w:pPr>
      <w:r>
        <w:rPr>
          <w:rFonts w:hint="eastAsia" w:ascii="宋体" w:hAnsi="宋体"/>
          <w:sz w:val="24"/>
        </w:rPr>
        <w:t>法定代表人（委托代理人）：（签字）</w:t>
      </w:r>
    </w:p>
    <w:p>
      <w:pPr>
        <w:spacing w:line="660" w:lineRule="exact"/>
        <w:rPr>
          <w:rFonts w:ascii="宋体" w:hAnsi="宋体"/>
          <w:sz w:val="24"/>
        </w:rPr>
      </w:pPr>
      <w:r>
        <w:rPr>
          <w:rFonts w:hint="eastAsia" w:ascii="宋体" w:hAnsi="宋体"/>
          <w:sz w:val="24"/>
        </w:rPr>
        <w:t>日  期：年月日</w:t>
      </w:r>
    </w:p>
    <w:p>
      <w:pPr>
        <w:rPr>
          <w:rFonts w:ascii="宋体" w:hAnsi="宋体"/>
          <w:sz w:val="24"/>
        </w:rPr>
      </w:pPr>
    </w:p>
    <w:p>
      <w:pPr>
        <w:rPr>
          <w:rFonts w:ascii="宋体" w:hAnsi="宋体"/>
          <w:sz w:val="24"/>
        </w:rPr>
      </w:pPr>
    </w:p>
    <w:p>
      <w:pPr>
        <w:pStyle w:val="5"/>
        <w:spacing w:before="120" w:after="120" w:line="360" w:lineRule="exact"/>
        <w:rPr>
          <w:rFonts w:ascii="宋体" w:hAnsi="宋体" w:cs="宋体"/>
          <w:b w:val="0"/>
          <w:bCs w:val="0"/>
          <w:sz w:val="24"/>
          <w:szCs w:val="24"/>
        </w:rPr>
      </w:pPr>
      <w:bookmarkStart w:id="267" w:name="_Toc518655812"/>
      <w:bookmarkStart w:id="268" w:name="_Toc23535"/>
      <w:bookmarkStart w:id="269" w:name="_Toc23672"/>
      <w:bookmarkStart w:id="270" w:name="_Toc424118189"/>
      <w:bookmarkStart w:id="271" w:name="_Toc30155"/>
      <w:bookmarkStart w:id="272" w:name="_Toc353881020"/>
      <w:r>
        <w:rPr>
          <w:rFonts w:hint="eastAsia" w:ascii="宋体" w:hAnsi="宋体" w:cs="宋体"/>
          <w:b w:val="0"/>
          <w:bCs w:val="0"/>
          <w:sz w:val="24"/>
          <w:szCs w:val="24"/>
        </w:rPr>
        <w:t>附件九、经营业绩一览表</w:t>
      </w:r>
      <w:bookmarkEnd w:id="267"/>
      <w:bookmarkEnd w:id="268"/>
      <w:bookmarkEnd w:id="269"/>
      <w:bookmarkEnd w:id="270"/>
      <w:bookmarkEnd w:id="271"/>
      <w:bookmarkEnd w:id="272"/>
    </w:p>
    <w:p>
      <w:pPr>
        <w:pStyle w:val="31"/>
        <w:spacing w:after="0" w:line="460" w:lineRule="exact"/>
        <w:jc w:val="center"/>
        <w:rPr>
          <w:rFonts w:ascii="宋体" w:hAnsi="宋体" w:cs="宋体"/>
          <w:b/>
          <w:bCs/>
          <w:sz w:val="32"/>
          <w:szCs w:val="32"/>
        </w:rPr>
      </w:pPr>
      <w:r>
        <w:rPr>
          <w:rFonts w:hint="eastAsia" w:ascii="宋体" w:hAnsi="宋体" w:cs="宋体"/>
          <w:b/>
          <w:bCs/>
          <w:sz w:val="32"/>
          <w:szCs w:val="32"/>
        </w:rPr>
        <w:t>经营业绩一览表</w:t>
      </w:r>
    </w:p>
    <w:p>
      <w:pPr>
        <w:spacing w:line="240" w:lineRule="exact"/>
        <w:jc w:val="center"/>
        <w:rPr>
          <w:rFonts w:ascii="宋体" w:hAnsi="宋体"/>
          <w:b/>
          <w:bCs/>
          <w:sz w:val="36"/>
        </w:rPr>
      </w:pPr>
    </w:p>
    <w:p>
      <w:pPr>
        <w:spacing w:line="520" w:lineRule="exact"/>
        <w:rPr>
          <w:rFonts w:ascii="宋体" w:hAnsi="宋体"/>
          <w:sz w:val="24"/>
          <w:u w:val="single"/>
        </w:rPr>
      </w:pPr>
      <w:r>
        <w:rPr>
          <w:rFonts w:hint="eastAsia" w:ascii="宋体" w:hAnsi="宋体"/>
          <w:sz w:val="24"/>
        </w:rPr>
        <w:t>项目名称：         招标编号：</w:t>
      </w:r>
    </w:p>
    <w:tbl>
      <w:tblPr>
        <w:tblStyle w:val="7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785"/>
        <w:gridCol w:w="735"/>
        <w:gridCol w:w="840"/>
        <w:gridCol w:w="945"/>
        <w:gridCol w:w="1365"/>
        <w:gridCol w:w="1365"/>
        <w:gridCol w:w="1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38" w:type="dxa"/>
            <w:vAlign w:val="center"/>
          </w:tcPr>
          <w:p>
            <w:pPr>
              <w:pStyle w:val="57"/>
              <w:ind w:left="482" w:hanging="482"/>
              <w:jc w:val="center"/>
              <w:rPr>
                <w:rFonts w:ascii="宋体" w:hAnsi="宋体"/>
                <w:b/>
                <w:sz w:val="24"/>
              </w:rPr>
            </w:pPr>
            <w:r>
              <w:rPr>
                <w:rFonts w:hint="eastAsia" w:ascii="宋体" w:hAnsi="宋体"/>
                <w:b/>
                <w:sz w:val="24"/>
              </w:rPr>
              <w:t>序号</w:t>
            </w:r>
          </w:p>
        </w:tc>
        <w:tc>
          <w:tcPr>
            <w:tcW w:w="1785" w:type="dxa"/>
            <w:vAlign w:val="center"/>
          </w:tcPr>
          <w:p>
            <w:pPr>
              <w:pStyle w:val="57"/>
              <w:ind w:left="482" w:hanging="482"/>
              <w:jc w:val="center"/>
              <w:rPr>
                <w:rFonts w:ascii="宋体" w:hAnsi="宋体"/>
                <w:b/>
                <w:sz w:val="24"/>
              </w:rPr>
            </w:pPr>
            <w:r>
              <w:rPr>
                <w:rFonts w:hint="eastAsia" w:ascii="宋体" w:hAnsi="宋体"/>
                <w:b/>
                <w:sz w:val="24"/>
              </w:rPr>
              <w:t>名称</w:t>
            </w:r>
          </w:p>
        </w:tc>
        <w:tc>
          <w:tcPr>
            <w:tcW w:w="735" w:type="dxa"/>
            <w:vAlign w:val="center"/>
          </w:tcPr>
          <w:p>
            <w:pPr>
              <w:pStyle w:val="57"/>
              <w:ind w:left="482" w:hanging="482"/>
              <w:jc w:val="center"/>
              <w:rPr>
                <w:rFonts w:ascii="宋体" w:hAnsi="宋体"/>
                <w:b/>
                <w:sz w:val="24"/>
              </w:rPr>
            </w:pPr>
            <w:r>
              <w:rPr>
                <w:rFonts w:hint="eastAsia" w:ascii="宋体" w:hAnsi="宋体"/>
                <w:b/>
                <w:sz w:val="24"/>
              </w:rPr>
              <w:t>数量</w:t>
            </w:r>
          </w:p>
        </w:tc>
        <w:tc>
          <w:tcPr>
            <w:tcW w:w="840" w:type="dxa"/>
            <w:vAlign w:val="center"/>
          </w:tcPr>
          <w:p>
            <w:pPr>
              <w:pStyle w:val="57"/>
              <w:ind w:left="34" w:hanging="34" w:hangingChars="14"/>
              <w:jc w:val="center"/>
              <w:rPr>
                <w:rFonts w:ascii="宋体" w:hAnsi="宋体"/>
                <w:b/>
                <w:sz w:val="24"/>
              </w:rPr>
            </w:pPr>
            <w:r>
              <w:rPr>
                <w:rFonts w:hint="eastAsia" w:ascii="宋体" w:hAnsi="宋体"/>
                <w:b/>
                <w:sz w:val="24"/>
              </w:rPr>
              <w:t>规格型号</w:t>
            </w:r>
          </w:p>
        </w:tc>
        <w:tc>
          <w:tcPr>
            <w:tcW w:w="945" w:type="dxa"/>
            <w:vAlign w:val="center"/>
          </w:tcPr>
          <w:p>
            <w:pPr>
              <w:pStyle w:val="57"/>
              <w:ind w:left="482" w:hanging="482"/>
              <w:jc w:val="center"/>
              <w:rPr>
                <w:rFonts w:ascii="宋体" w:hAnsi="宋体"/>
                <w:b/>
                <w:sz w:val="24"/>
              </w:rPr>
            </w:pPr>
            <w:r>
              <w:rPr>
                <w:rFonts w:hint="eastAsia" w:ascii="宋体" w:hAnsi="宋体"/>
                <w:b/>
                <w:sz w:val="24"/>
              </w:rPr>
              <w:t>金额</w:t>
            </w:r>
          </w:p>
        </w:tc>
        <w:tc>
          <w:tcPr>
            <w:tcW w:w="1365" w:type="dxa"/>
            <w:vAlign w:val="center"/>
          </w:tcPr>
          <w:p>
            <w:pPr>
              <w:pStyle w:val="57"/>
              <w:ind w:left="482" w:hanging="482"/>
              <w:jc w:val="center"/>
              <w:rPr>
                <w:rFonts w:ascii="宋体" w:hAnsi="宋体"/>
                <w:b/>
                <w:sz w:val="24"/>
              </w:rPr>
            </w:pPr>
            <w:r>
              <w:rPr>
                <w:rFonts w:hint="eastAsia" w:ascii="宋体" w:hAnsi="宋体"/>
                <w:b/>
                <w:sz w:val="24"/>
              </w:rPr>
              <w:t>用户名称</w:t>
            </w:r>
          </w:p>
        </w:tc>
        <w:tc>
          <w:tcPr>
            <w:tcW w:w="1365" w:type="dxa"/>
            <w:vAlign w:val="center"/>
          </w:tcPr>
          <w:p>
            <w:pPr>
              <w:pStyle w:val="57"/>
              <w:ind w:left="482" w:hanging="482"/>
              <w:jc w:val="center"/>
              <w:rPr>
                <w:rFonts w:ascii="宋体" w:hAnsi="宋体"/>
                <w:b/>
                <w:sz w:val="24"/>
              </w:rPr>
            </w:pPr>
            <w:r>
              <w:rPr>
                <w:rFonts w:hint="eastAsia" w:ascii="宋体" w:hAnsi="宋体"/>
                <w:b/>
                <w:sz w:val="24"/>
              </w:rPr>
              <w:t>联系人及</w:t>
            </w:r>
          </w:p>
          <w:p>
            <w:pPr>
              <w:pStyle w:val="57"/>
              <w:ind w:left="482" w:hanging="482"/>
              <w:jc w:val="center"/>
              <w:rPr>
                <w:rFonts w:ascii="宋体" w:hAnsi="宋体"/>
                <w:b/>
                <w:sz w:val="24"/>
              </w:rPr>
            </w:pPr>
            <w:r>
              <w:rPr>
                <w:rFonts w:hint="eastAsia" w:ascii="宋体" w:hAnsi="宋体"/>
                <w:b/>
                <w:sz w:val="24"/>
              </w:rPr>
              <w:t>联系电话</w:t>
            </w:r>
          </w:p>
        </w:tc>
        <w:tc>
          <w:tcPr>
            <w:tcW w:w="1407" w:type="dxa"/>
            <w:vAlign w:val="center"/>
          </w:tcPr>
          <w:p>
            <w:pPr>
              <w:pStyle w:val="57"/>
              <w:ind w:left="482" w:hanging="482"/>
              <w:jc w:val="center"/>
              <w:rPr>
                <w:rFonts w:ascii="宋体" w:hAnsi="宋体"/>
                <w:b/>
                <w:sz w:val="24"/>
              </w:rPr>
            </w:pPr>
            <w:r>
              <w:rPr>
                <w:rFonts w:hint="eastAsia" w:ascii="宋体" w:hAnsi="宋体"/>
                <w:b/>
                <w:sz w:val="24"/>
              </w:rPr>
              <w:t>投产日期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38" w:type="dxa"/>
          </w:tcPr>
          <w:p>
            <w:pPr>
              <w:pStyle w:val="57"/>
              <w:ind w:left="422" w:hanging="422"/>
              <w:rPr>
                <w:rFonts w:ascii="宋体" w:hAnsi="宋体"/>
                <w:b/>
              </w:rPr>
            </w:pPr>
          </w:p>
        </w:tc>
        <w:tc>
          <w:tcPr>
            <w:tcW w:w="1785" w:type="dxa"/>
          </w:tcPr>
          <w:p>
            <w:pPr>
              <w:pStyle w:val="57"/>
              <w:ind w:left="422" w:hanging="422"/>
              <w:rPr>
                <w:rFonts w:ascii="宋体" w:hAnsi="宋体"/>
                <w:b/>
              </w:rPr>
            </w:pPr>
          </w:p>
        </w:tc>
        <w:tc>
          <w:tcPr>
            <w:tcW w:w="735" w:type="dxa"/>
          </w:tcPr>
          <w:p>
            <w:pPr>
              <w:pStyle w:val="57"/>
              <w:ind w:left="422" w:hanging="422"/>
              <w:rPr>
                <w:rFonts w:ascii="宋体" w:hAnsi="宋体"/>
                <w:b/>
              </w:rPr>
            </w:pPr>
          </w:p>
        </w:tc>
        <w:tc>
          <w:tcPr>
            <w:tcW w:w="840" w:type="dxa"/>
          </w:tcPr>
          <w:p>
            <w:pPr>
              <w:pStyle w:val="57"/>
              <w:ind w:left="422" w:hanging="422"/>
              <w:rPr>
                <w:rFonts w:ascii="宋体" w:hAnsi="宋体"/>
                <w:b/>
              </w:rPr>
            </w:pPr>
          </w:p>
        </w:tc>
        <w:tc>
          <w:tcPr>
            <w:tcW w:w="945" w:type="dxa"/>
          </w:tcPr>
          <w:p>
            <w:pPr>
              <w:pStyle w:val="57"/>
              <w:ind w:left="422" w:hanging="422"/>
              <w:rPr>
                <w:rFonts w:ascii="宋体" w:hAnsi="宋体"/>
                <w:b/>
              </w:rPr>
            </w:pPr>
          </w:p>
        </w:tc>
        <w:tc>
          <w:tcPr>
            <w:tcW w:w="1365" w:type="dxa"/>
          </w:tcPr>
          <w:p>
            <w:pPr>
              <w:pStyle w:val="57"/>
              <w:ind w:left="422" w:hanging="422"/>
              <w:rPr>
                <w:rFonts w:ascii="宋体" w:hAnsi="宋体"/>
                <w:b/>
              </w:rPr>
            </w:pPr>
          </w:p>
        </w:tc>
        <w:tc>
          <w:tcPr>
            <w:tcW w:w="1365" w:type="dxa"/>
          </w:tcPr>
          <w:p>
            <w:pPr>
              <w:pStyle w:val="57"/>
              <w:ind w:left="422" w:hanging="422"/>
              <w:rPr>
                <w:rFonts w:ascii="宋体" w:hAnsi="宋体"/>
                <w:b/>
              </w:rPr>
            </w:pPr>
          </w:p>
        </w:tc>
        <w:tc>
          <w:tcPr>
            <w:tcW w:w="1407" w:type="dxa"/>
          </w:tcPr>
          <w:p>
            <w:pPr>
              <w:pStyle w:val="57"/>
              <w:ind w:left="422" w:hanging="422"/>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38" w:type="dxa"/>
          </w:tcPr>
          <w:p>
            <w:pPr>
              <w:pStyle w:val="57"/>
              <w:ind w:left="422" w:hanging="422"/>
              <w:rPr>
                <w:rFonts w:ascii="宋体" w:hAnsi="宋体"/>
                <w:b/>
              </w:rPr>
            </w:pPr>
          </w:p>
        </w:tc>
        <w:tc>
          <w:tcPr>
            <w:tcW w:w="1785" w:type="dxa"/>
          </w:tcPr>
          <w:p>
            <w:pPr>
              <w:pStyle w:val="57"/>
              <w:ind w:left="422" w:hanging="422"/>
              <w:rPr>
                <w:rFonts w:ascii="宋体" w:hAnsi="宋体"/>
                <w:b/>
              </w:rPr>
            </w:pPr>
          </w:p>
        </w:tc>
        <w:tc>
          <w:tcPr>
            <w:tcW w:w="735" w:type="dxa"/>
          </w:tcPr>
          <w:p>
            <w:pPr>
              <w:pStyle w:val="57"/>
              <w:ind w:left="422" w:hanging="422"/>
              <w:rPr>
                <w:rFonts w:ascii="宋体" w:hAnsi="宋体"/>
                <w:b/>
              </w:rPr>
            </w:pPr>
          </w:p>
        </w:tc>
        <w:tc>
          <w:tcPr>
            <w:tcW w:w="840" w:type="dxa"/>
          </w:tcPr>
          <w:p>
            <w:pPr>
              <w:pStyle w:val="57"/>
              <w:ind w:left="422" w:hanging="422"/>
              <w:rPr>
                <w:rFonts w:ascii="宋体" w:hAnsi="宋体"/>
                <w:b/>
              </w:rPr>
            </w:pPr>
          </w:p>
        </w:tc>
        <w:tc>
          <w:tcPr>
            <w:tcW w:w="945" w:type="dxa"/>
          </w:tcPr>
          <w:p>
            <w:pPr>
              <w:pStyle w:val="57"/>
              <w:ind w:left="422" w:hanging="422"/>
              <w:rPr>
                <w:rFonts w:ascii="宋体" w:hAnsi="宋体"/>
                <w:b/>
              </w:rPr>
            </w:pPr>
          </w:p>
        </w:tc>
        <w:tc>
          <w:tcPr>
            <w:tcW w:w="1365" w:type="dxa"/>
          </w:tcPr>
          <w:p>
            <w:pPr>
              <w:pStyle w:val="57"/>
              <w:ind w:left="422" w:hanging="422"/>
              <w:rPr>
                <w:rFonts w:ascii="宋体" w:hAnsi="宋体"/>
                <w:b/>
              </w:rPr>
            </w:pPr>
          </w:p>
        </w:tc>
        <w:tc>
          <w:tcPr>
            <w:tcW w:w="1365" w:type="dxa"/>
          </w:tcPr>
          <w:p>
            <w:pPr>
              <w:pStyle w:val="57"/>
              <w:ind w:left="422" w:hanging="422"/>
              <w:rPr>
                <w:rFonts w:ascii="宋体" w:hAnsi="宋体"/>
                <w:b/>
              </w:rPr>
            </w:pPr>
          </w:p>
        </w:tc>
        <w:tc>
          <w:tcPr>
            <w:tcW w:w="1407" w:type="dxa"/>
          </w:tcPr>
          <w:p>
            <w:pPr>
              <w:pStyle w:val="57"/>
              <w:ind w:left="422" w:hanging="422"/>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38" w:type="dxa"/>
          </w:tcPr>
          <w:p>
            <w:pPr>
              <w:pStyle w:val="57"/>
              <w:ind w:left="422" w:hanging="422"/>
              <w:rPr>
                <w:rFonts w:ascii="宋体" w:hAnsi="宋体"/>
                <w:b/>
              </w:rPr>
            </w:pPr>
          </w:p>
        </w:tc>
        <w:tc>
          <w:tcPr>
            <w:tcW w:w="1785" w:type="dxa"/>
          </w:tcPr>
          <w:p>
            <w:pPr>
              <w:pStyle w:val="57"/>
              <w:ind w:left="422" w:hanging="422"/>
              <w:rPr>
                <w:rFonts w:ascii="宋体" w:hAnsi="宋体"/>
                <w:b/>
              </w:rPr>
            </w:pPr>
          </w:p>
        </w:tc>
        <w:tc>
          <w:tcPr>
            <w:tcW w:w="735" w:type="dxa"/>
          </w:tcPr>
          <w:p>
            <w:pPr>
              <w:pStyle w:val="57"/>
              <w:ind w:left="422" w:hanging="422"/>
              <w:rPr>
                <w:rFonts w:ascii="宋体" w:hAnsi="宋体"/>
                <w:b/>
              </w:rPr>
            </w:pPr>
          </w:p>
        </w:tc>
        <w:tc>
          <w:tcPr>
            <w:tcW w:w="840" w:type="dxa"/>
          </w:tcPr>
          <w:p>
            <w:pPr>
              <w:pStyle w:val="57"/>
              <w:ind w:left="422" w:hanging="422"/>
              <w:rPr>
                <w:rFonts w:ascii="宋体" w:hAnsi="宋体"/>
                <w:b/>
              </w:rPr>
            </w:pPr>
          </w:p>
        </w:tc>
        <w:tc>
          <w:tcPr>
            <w:tcW w:w="945" w:type="dxa"/>
          </w:tcPr>
          <w:p>
            <w:pPr>
              <w:pStyle w:val="57"/>
              <w:ind w:left="422" w:hanging="422"/>
              <w:rPr>
                <w:rFonts w:ascii="宋体" w:hAnsi="宋体"/>
                <w:b/>
              </w:rPr>
            </w:pPr>
          </w:p>
        </w:tc>
        <w:tc>
          <w:tcPr>
            <w:tcW w:w="1365" w:type="dxa"/>
          </w:tcPr>
          <w:p>
            <w:pPr>
              <w:pStyle w:val="57"/>
              <w:ind w:left="422" w:hanging="422"/>
              <w:rPr>
                <w:rFonts w:ascii="宋体" w:hAnsi="宋体"/>
                <w:b/>
              </w:rPr>
            </w:pPr>
          </w:p>
        </w:tc>
        <w:tc>
          <w:tcPr>
            <w:tcW w:w="1365" w:type="dxa"/>
          </w:tcPr>
          <w:p>
            <w:pPr>
              <w:pStyle w:val="57"/>
              <w:ind w:left="422" w:hanging="422"/>
              <w:rPr>
                <w:rFonts w:ascii="宋体" w:hAnsi="宋体"/>
                <w:b/>
              </w:rPr>
            </w:pPr>
          </w:p>
        </w:tc>
        <w:tc>
          <w:tcPr>
            <w:tcW w:w="1407" w:type="dxa"/>
          </w:tcPr>
          <w:p>
            <w:pPr>
              <w:pStyle w:val="57"/>
              <w:ind w:left="422" w:hanging="422"/>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38" w:type="dxa"/>
          </w:tcPr>
          <w:p>
            <w:pPr>
              <w:pStyle w:val="57"/>
              <w:ind w:left="422" w:hanging="422"/>
              <w:rPr>
                <w:rFonts w:ascii="宋体" w:hAnsi="宋体"/>
                <w:b/>
              </w:rPr>
            </w:pPr>
          </w:p>
        </w:tc>
        <w:tc>
          <w:tcPr>
            <w:tcW w:w="1785" w:type="dxa"/>
          </w:tcPr>
          <w:p>
            <w:pPr>
              <w:pStyle w:val="57"/>
              <w:ind w:left="422" w:hanging="422"/>
              <w:rPr>
                <w:rFonts w:ascii="宋体" w:hAnsi="宋体"/>
                <w:b/>
              </w:rPr>
            </w:pPr>
          </w:p>
        </w:tc>
        <w:tc>
          <w:tcPr>
            <w:tcW w:w="735" w:type="dxa"/>
          </w:tcPr>
          <w:p>
            <w:pPr>
              <w:pStyle w:val="57"/>
              <w:ind w:left="422" w:hanging="422"/>
              <w:rPr>
                <w:rFonts w:ascii="宋体" w:hAnsi="宋体"/>
                <w:b/>
              </w:rPr>
            </w:pPr>
          </w:p>
        </w:tc>
        <w:tc>
          <w:tcPr>
            <w:tcW w:w="840" w:type="dxa"/>
          </w:tcPr>
          <w:p>
            <w:pPr>
              <w:pStyle w:val="57"/>
              <w:ind w:left="422" w:hanging="422"/>
              <w:rPr>
                <w:rFonts w:ascii="宋体" w:hAnsi="宋体"/>
                <w:b/>
              </w:rPr>
            </w:pPr>
          </w:p>
        </w:tc>
        <w:tc>
          <w:tcPr>
            <w:tcW w:w="945" w:type="dxa"/>
          </w:tcPr>
          <w:p>
            <w:pPr>
              <w:pStyle w:val="57"/>
              <w:ind w:left="422" w:hanging="422"/>
              <w:rPr>
                <w:rFonts w:ascii="宋体" w:hAnsi="宋体"/>
                <w:b/>
              </w:rPr>
            </w:pPr>
          </w:p>
        </w:tc>
        <w:tc>
          <w:tcPr>
            <w:tcW w:w="1365" w:type="dxa"/>
          </w:tcPr>
          <w:p>
            <w:pPr>
              <w:pStyle w:val="57"/>
              <w:ind w:left="422" w:hanging="422"/>
              <w:rPr>
                <w:rFonts w:ascii="宋体" w:hAnsi="宋体"/>
                <w:b/>
              </w:rPr>
            </w:pPr>
          </w:p>
        </w:tc>
        <w:tc>
          <w:tcPr>
            <w:tcW w:w="1365" w:type="dxa"/>
          </w:tcPr>
          <w:p>
            <w:pPr>
              <w:pStyle w:val="57"/>
              <w:ind w:left="422" w:hanging="422"/>
              <w:rPr>
                <w:rFonts w:ascii="宋体" w:hAnsi="宋体"/>
                <w:b/>
              </w:rPr>
            </w:pPr>
          </w:p>
        </w:tc>
        <w:tc>
          <w:tcPr>
            <w:tcW w:w="1407" w:type="dxa"/>
          </w:tcPr>
          <w:p>
            <w:pPr>
              <w:pStyle w:val="57"/>
              <w:ind w:left="422" w:hanging="422"/>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38" w:type="dxa"/>
          </w:tcPr>
          <w:p>
            <w:pPr>
              <w:pStyle w:val="57"/>
              <w:ind w:left="422" w:hanging="422"/>
              <w:rPr>
                <w:rFonts w:ascii="宋体" w:hAnsi="宋体"/>
                <w:b/>
              </w:rPr>
            </w:pPr>
          </w:p>
        </w:tc>
        <w:tc>
          <w:tcPr>
            <w:tcW w:w="1785" w:type="dxa"/>
          </w:tcPr>
          <w:p>
            <w:pPr>
              <w:pStyle w:val="57"/>
              <w:ind w:left="422" w:hanging="422"/>
              <w:rPr>
                <w:rFonts w:ascii="宋体" w:hAnsi="宋体"/>
                <w:b/>
              </w:rPr>
            </w:pPr>
          </w:p>
        </w:tc>
        <w:tc>
          <w:tcPr>
            <w:tcW w:w="735" w:type="dxa"/>
          </w:tcPr>
          <w:p>
            <w:pPr>
              <w:pStyle w:val="57"/>
              <w:ind w:left="422" w:hanging="422"/>
              <w:rPr>
                <w:rFonts w:ascii="宋体" w:hAnsi="宋体"/>
                <w:b/>
              </w:rPr>
            </w:pPr>
          </w:p>
        </w:tc>
        <w:tc>
          <w:tcPr>
            <w:tcW w:w="840" w:type="dxa"/>
          </w:tcPr>
          <w:p>
            <w:pPr>
              <w:pStyle w:val="57"/>
              <w:ind w:left="422" w:hanging="422"/>
              <w:rPr>
                <w:rFonts w:ascii="宋体" w:hAnsi="宋体"/>
                <w:b/>
              </w:rPr>
            </w:pPr>
          </w:p>
        </w:tc>
        <w:tc>
          <w:tcPr>
            <w:tcW w:w="945" w:type="dxa"/>
          </w:tcPr>
          <w:p>
            <w:pPr>
              <w:pStyle w:val="57"/>
              <w:ind w:left="422" w:hanging="422"/>
              <w:rPr>
                <w:rFonts w:ascii="宋体" w:hAnsi="宋体"/>
                <w:b/>
              </w:rPr>
            </w:pPr>
          </w:p>
        </w:tc>
        <w:tc>
          <w:tcPr>
            <w:tcW w:w="1365" w:type="dxa"/>
          </w:tcPr>
          <w:p>
            <w:pPr>
              <w:pStyle w:val="57"/>
              <w:ind w:left="422" w:hanging="422"/>
              <w:rPr>
                <w:rFonts w:ascii="宋体" w:hAnsi="宋体"/>
                <w:b/>
              </w:rPr>
            </w:pPr>
          </w:p>
        </w:tc>
        <w:tc>
          <w:tcPr>
            <w:tcW w:w="1365" w:type="dxa"/>
          </w:tcPr>
          <w:p>
            <w:pPr>
              <w:pStyle w:val="57"/>
              <w:ind w:left="422" w:hanging="422"/>
              <w:rPr>
                <w:rFonts w:ascii="宋体" w:hAnsi="宋体"/>
                <w:b/>
              </w:rPr>
            </w:pPr>
          </w:p>
        </w:tc>
        <w:tc>
          <w:tcPr>
            <w:tcW w:w="1407" w:type="dxa"/>
          </w:tcPr>
          <w:p>
            <w:pPr>
              <w:pStyle w:val="57"/>
              <w:ind w:left="422" w:hanging="422"/>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38" w:type="dxa"/>
          </w:tcPr>
          <w:p>
            <w:pPr>
              <w:pStyle w:val="57"/>
              <w:ind w:left="422" w:hanging="422"/>
              <w:rPr>
                <w:rFonts w:ascii="宋体" w:hAnsi="宋体"/>
                <w:b/>
              </w:rPr>
            </w:pPr>
          </w:p>
        </w:tc>
        <w:tc>
          <w:tcPr>
            <w:tcW w:w="1785" w:type="dxa"/>
          </w:tcPr>
          <w:p>
            <w:pPr>
              <w:pStyle w:val="57"/>
              <w:ind w:left="422" w:hanging="422"/>
              <w:rPr>
                <w:rFonts w:ascii="宋体" w:hAnsi="宋体"/>
                <w:b/>
              </w:rPr>
            </w:pPr>
          </w:p>
        </w:tc>
        <w:tc>
          <w:tcPr>
            <w:tcW w:w="735" w:type="dxa"/>
          </w:tcPr>
          <w:p>
            <w:pPr>
              <w:pStyle w:val="57"/>
              <w:ind w:left="422" w:hanging="422"/>
              <w:rPr>
                <w:rFonts w:ascii="宋体" w:hAnsi="宋体"/>
                <w:b/>
              </w:rPr>
            </w:pPr>
          </w:p>
        </w:tc>
        <w:tc>
          <w:tcPr>
            <w:tcW w:w="840" w:type="dxa"/>
          </w:tcPr>
          <w:p>
            <w:pPr>
              <w:pStyle w:val="57"/>
              <w:ind w:left="422" w:hanging="422"/>
              <w:rPr>
                <w:rFonts w:ascii="宋体" w:hAnsi="宋体"/>
                <w:b/>
              </w:rPr>
            </w:pPr>
          </w:p>
        </w:tc>
        <w:tc>
          <w:tcPr>
            <w:tcW w:w="945" w:type="dxa"/>
          </w:tcPr>
          <w:p>
            <w:pPr>
              <w:pStyle w:val="57"/>
              <w:ind w:left="422" w:hanging="422"/>
              <w:rPr>
                <w:rFonts w:ascii="宋体" w:hAnsi="宋体"/>
                <w:b/>
              </w:rPr>
            </w:pPr>
          </w:p>
        </w:tc>
        <w:tc>
          <w:tcPr>
            <w:tcW w:w="1365" w:type="dxa"/>
          </w:tcPr>
          <w:p>
            <w:pPr>
              <w:pStyle w:val="57"/>
              <w:ind w:left="422" w:hanging="422"/>
              <w:rPr>
                <w:rFonts w:ascii="宋体" w:hAnsi="宋体"/>
                <w:b/>
              </w:rPr>
            </w:pPr>
          </w:p>
        </w:tc>
        <w:tc>
          <w:tcPr>
            <w:tcW w:w="1365" w:type="dxa"/>
          </w:tcPr>
          <w:p>
            <w:pPr>
              <w:pStyle w:val="57"/>
              <w:ind w:left="422" w:hanging="422"/>
              <w:rPr>
                <w:rFonts w:ascii="宋体" w:hAnsi="宋体"/>
                <w:b/>
              </w:rPr>
            </w:pPr>
          </w:p>
        </w:tc>
        <w:tc>
          <w:tcPr>
            <w:tcW w:w="1407" w:type="dxa"/>
          </w:tcPr>
          <w:p>
            <w:pPr>
              <w:pStyle w:val="57"/>
              <w:ind w:left="422" w:hanging="422"/>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38" w:type="dxa"/>
          </w:tcPr>
          <w:p>
            <w:pPr>
              <w:pStyle w:val="57"/>
              <w:ind w:left="422" w:hanging="422"/>
              <w:rPr>
                <w:rFonts w:ascii="宋体" w:hAnsi="宋体"/>
                <w:b/>
              </w:rPr>
            </w:pPr>
          </w:p>
        </w:tc>
        <w:tc>
          <w:tcPr>
            <w:tcW w:w="1785" w:type="dxa"/>
          </w:tcPr>
          <w:p>
            <w:pPr>
              <w:pStyle w:val="57"/>
              <w:ind w:left="422" w:hanging="422"/>
              <w:rPr>
                <w:rFonts w:ascii="宋体" w:hAnsi="宋体"/>
                <w:b/>
              </w:rPr>
            </w:pPr>
          </w:p>
        </w:tc>
        <w:tc>
          <w:tcPr>
            <w:tcW w:w="735" w:type="dxa"/>
          </w:tcPr>
          <w:p>
            <w:pPr>
              <w:pStyle w:val="57"/>
              <w:ind w:left="422" w:hanging="422"/>
              <w:rPr>
                <w:rFonts w:ascii="宋体" w:hAnsi="宋体"/>
                <w:b/>
              </w:rPr>
            </w:pPr>
          </w:p>
        </w:tc>
        <w:tc>
          <w:tcPr>
            <w:tcW w:w="840" w:type="dxa"/>
          </w:tcPr>
          <w:p>
            <w:pPr>
              <w:pStyle w:val="57"/>
              <w:ind w:left="422" w:hanging="422"/>
              <w:rPr>
                <w:rFonts w:ascii="宋体" w:hAnsi="宋体"/>
                <w:b/>
              </w:rPr>
            </w:pPr>
          </w:p>
        </w:tc>
        <w:tc>
          <w:tcPr>
            <w:tcW w:w="945" w:type="dxa"/>
          </w:tcPr>
          <w:p>
            <w:pPr>
              <w:pStyle w:val="57"/>
              <w:ind w:left="422" w:hanging="422"/>
              <w:rPr>
                <w:rFonts w:ascii="宋体" w:hAnsi="宋体"/>
                <w:b/>
              </w:rPr>
            </w:pPr>
          </w:p>
        </w:tc>
        <w:tc>
          <w:tcPr>
            <w:tcW w:w="1365" w:type="dxa"/>
          </w:tcPr>
          <w:p>
            <w:pPr>
              <w:pStyle w:val="57"/>
              <w:ind w:left="422" w:hanging="422"/>
              <w:rPr>
                <w:rFonts w:ascii="宋体" w:hAnsi="宋体"/>
                <w:b/>
              </w:rPr>
            </w:pPr>
          </w:p>
        </w:tc>
        <w:tc>
          <w:tcPr>
            <w:tcW w:w="1365" w:type="dxa"/>
          </w:tcPr>
          <w:p>
            <w:pPr>
              <w:pStyle w:val="57"/>
              <w:ind w:left="422" w:hanging="422"/>
              <w:rPr>
                <w:rFonts w:ascii="宋体" w:hAnsi="宋体"/>
                <w:b/>
              </w:rPr>
            </w:pPr>
          </w:p>
        </w:tc>
        <w:tc>
          <w:tcPr>
            <w:tcW w:w="1407" w:type="dxa"/>
          </w:tcPr>
          <w:p>
            <w:pPr>
              <w:pStyle w:val="57"/>
              <w:ind w:left="422" w:hanging="422"/>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38" w:type="dxa"/>
          </w:tcPr>
          <w:p>
            <w:pPr>
              <w:pStyle w:val="57"/>
              <w:ind w:left="422" w:hanging="422"/>
              <w:rPr>
                <w:rFonts w:ascii="宋体" w:hAnsi="宋体"/>
                <w:b/>
              </w:rPr>
            </w:pPr>
          </w:p>
        </w:tc>
        <w:tc>
          <w:tcPr>
            <w:tcW w:w="1785" w:type="dxa"/>
          </w:tcPr>
          <w:p>
            <w:pPr>
              <w:pStyle w:val="57"/>
              <w:ind w:left="422" w:hanging="422"/>
              <w:rPr>
                <w:rFonts w:ascii="宋体" w:hAnsi="宋体"/>
                <w:b/>
              </w:rPr>
            </w:pPr>
          </w:p>
        </w:tc>
        <w:tc>
          <w:tcPr>
            <w:tcW w:w="735" w:type="dxa"/>
          </w:tcPr>
          <w:p>
            <w:pPr>
              <w:pStyle w:val="57"/>
              <w:ind w:left="422" w:hanging="422"/>
              <w:rPr>
                <w:rFonts w:ascii="宋体" w:hAnsi="宋体"/>
                <w:b/>
              </w:rPr>
            </w:pPr>
          </w:p>
        </w:tc>
        <w:tc>
          <w:tcPr>
            <w:tcW w:w="840" w:type="dxa"/>
          </w:tcPr>
          <w:p>
            <w:pPr>
              <w:pStyle w:val="57"/>
              <w:ind w:left="422" w:hanging="422"/>
              <w:rPr>
                <w:rFonts w:ascii="宋体" w:hAnsi="宋体"/>
                <w:b/>
              </w:rPr>
            </w:pPr>
          </w:p>
        </w:tc>
        <w:tc>
          <w:tcPr>
            <w:tcW w:w="945" w:type="dxa"/>
          </w:tcPr>
          <w:p>
            <w:pPr>
              <w:pStyle w:val="57"/>
              <w:ind w:left="422" w:hanging="422"/>
              <w:rPr>
                <w:rFonts w:ascii="宋体" w:hAnsi="宋体"/>
                <w:b/>
              </w:rPr>
            </w:pPr>
          </w:p>
        </w:tc>
        <w:tc>
          <w:tcPr>
            <w:tcW w:w="1365" w:type="dxa"/>
          </w:tcPr>
          <w:p>
            <w:pPr>
              <w:pStyle w:val="57"/>
              <w:ind w:left="422" w:hanging="422"/>
              <w:rPr>
                <w:rFonts w:ascii="宋体" w:hAnsi="宋体"/>
                <w:b/>
              </w:rPr>
            </w:pPr>
          </w:p>
        </w:tc>
        <w:tc>
          <w:tcPr>
            <w:tcW w:w="1365" w:type="dxa"/>
          </w:tcPr>
          <w:p>
            <w:pPr>
              <w:pStyle w:val="57"/>
              <w:ind w:left="422" w:hanging="422"/>
              <w:rPr>
                <w:rFonts w:ascii="宋体" w:hAnsi="宋体"/>
                <w:b/>
              </w:rPr>
            </w:pPr>
          </w:p>
        </w:tc>
        <w:tc>
          <w:tcPr>
            <w:tcW w:w="1407" w:type="dxa"/>
          </w:tcPr>
          <w:p>
            <w:pPr>
              <w:pStyle w:val="57"/>
              <w:ind w:left="422" w:hanging="422"/>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38" w:type="dxa"/>
          </w:tcPr>
          <w:p>
            <w:pPr>
              <w:pStyle w:val="57"/>
              <w:ind w:left="422" w:hanging="422"/>
              <w:rPr>
                <w:rFonts w:ascii="宋体" w:hAnsi="宋体"/>
                <w:b/>
              </w:rPr>
            </w:pPr>
          </w:p>
        </w:tc>
        <w:tc>
          <w:tcPr>
            <w:tcW w:w="1785" w:type="dxa"/>
          </w:tcPr>
          <w:p>
            <w:pPr>
              <w:pStyle w:val="57"/>
              <w:ind w:left="422" w:hanging="422"/>
              <w:rPr>
                <w:rFonts w:ascii="宋体" w:hAnsi="宋体"/>
                <w:b/>
              </w:rPr>
            </w:pPr>
          </w:p>
        </w:tc>
        <w:tc>
          <w:tcPr>
            <w:tcW w:w="735" w:type="dxa"/>
          </w:tcPr>
          <w:p>
            <w:pPr>
              <w:pStyle w:val="57"/>
              <w:ind w:left="422" w:hanging="422"/>
              <w:rPr>
                <w:rFonts w:ascii="宋体" w:hAnsi="宋体"/>
                <w:b/>
              </w:rPr>
            </w:pPr>
          </w:p>
        </w:tc>
        <w:tc>
          <w:tcPr>
            <w:tcW w:w="840" w:type="dxa"/>
          </w:tcPr>
          <w:p>
            <w:pPr>
              <w:pStyle w:val="57"/>
              <w:ind w:left="422" w:hanging="422"/>
              <w:rPr>
                <w:rFonts w:ascii="宋体" w:hAnsi="宋体"/>
                <w:b/>
              </w:rPr>
            </w:pPr>
          </w:p>
        </w:tc>
        <w:tc>
          <w:tcPr>
            <w:tcW w:w="945" w:type="dxa"/>
          </w:tcPr>
          <w:p>
            <w:pPr>
              <w:pStyle w:val="57"/>
              <w:ind w:left="422" w:hanging="422"/>
              <w:rPr>
                <w:rFonts w:ascii="宋体" w:hAnsi="宋体"/>
                <w:b/>
              </w:rPr>
            </w:pPr>
          </w:p>
        </w:tc>
        <w:tc>
          <w:tcPr>
            <w:tcW w:w="1365" w:type="dxa"/>
          </w:tcPr>
          <w:p>
            <w:pPr>
              <w:pStyle w:val="57"/>
              <w:ind w:left="422" w:hanging="422"/>
              <w:rPr>
                <w:rFonts w:ascii="宋体" w:hAnsi="宋体"/>
                <w:b/>
              </w:rPr>
            </w:pPr>
          </w:p>
        </w:tc>
        <w:tc>
          <w:tcPr>
            <w:tcW w:w="1365" w:type="dxa"/>
          </w:tcPr>
          <w:p>
            <w:pPr>
              <w:pStyle w:val="57"/>
              <w:ind w:left="422" w:hanging="422"/>
              <w:rPr>
                <w:rFonts w:ascii="宋体" w:hAnsi="宋体"/>
                <w:b/>
              </w:rPr>
            </w:pPr>
          </w:p>
        </w:tc>
        <w:tc>
          <w:tcPr>
            <w:tcW w:w="1407" w:type="dxa"/>
          </w:tcPr>
          <w:p>
            <w:pPr>
              <w:pStyle w:val="57"/>
              <w:ind w:left="422" w:hanging="422"/>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38" w:type="dxa"/>
          </w:tcPr>
          <w:p>
            <w:pPr>
              <w:pStyle w:val="57"/>
              <w:ind w:left="422" w:hanging="422"/>
              <w:rPr>
                <w:rFonts w:ascii="宋体" w:hAnsi="宋体"/>
                <w:b/>
              </w:rPr>
            </w:pPr>
          </w:p>
        </w:tc>
        <w:tc>
          <w:tcPr>
            <w:tcW w:w="1785" w:type="dxa"/>
          </w:tcPr>
          <w:p>
            <w:pPr>
              <w:pStyle w:val="57"/>
              <w:ind w:left="422" w:hanging="422"/>
              <w:rPr>
                <w:rFonts w:ascii="宋体" w:hAnsi="宋体"/>
                <w:b/>
              </w:rPr>
            </w:pPr>
          </w:p>
        </w:tc>
        <w:tc>
          <w:tcPr>
            <w:tcW w:w="735" w:type="dxa"/>
          </w:tcPr>
          <w:p>
            <w:pPr>
              <w:pStyle w:val="57"/>
              <w:ind w:left="422" w:hanging="422"/>
              <w:rPr>
                <w:rFonts w:ascii="宋体" w:hAnsi="宋体"/>
                <w:b/>
              </w:rPr>
            </w:pPr>
          </w:p>
        </w:tc>
        <w:tc>
          <w:tcPr>
            <w:tcW w:w="840" w:type="dxa"/>
          </w:tcPr>
          <w:p>
            <w:pPr>
              <w:pStyle w:val="57"/>
              <w:ind w:left="422" w:hanging="422"/>
              <w:rPr>
                <w:rFonts w:ascii="宋体" w:hAnsi="宋体"/>
                <w:b/>
              </w:rPr>
            </w:pPr>
          </w:p>
        </w:tc>
        <w:tc>
          <w:tcPr>
            <w:tcW w:w="945" w:type="dxa"/>
          </w:tcPr>
          <w:p>
            <w:pPr>
              <w:pStyle w:val="57"/>
              <w:ind w:left="422" w:hanging="422"/>
              <w:rPr>
                <w:rFonts w:ascii="宋体" w:hAnsi="宋体"/>
                <w:b/>
              </w:rPr>
            </w:pPr>
          </w:p>
        </w:tc>
        <w:tc>
          <w:tcPr>
            <w:tcW w:w="1365" w:type="dxa"/>
          </w:tcPr>
          <w:p>
            <w:pPr>
              <w:pStyle w:val="57"/>
              <w:ind w:left="422" w:hanging="422"/>
              <w:rPr>
                <w:rFonts w:ascii="宋体" w:hAnsi="宋体"/>
                <w:b/>
              </w:rPr>
            </w:pPr>
          </w:p>
        </w:tc>
        <w:tc>
          <w:tcPr>
            <w:tcW w:w="1365" w:type="dxa"/>
          </w:tcPr>
          <w:p>
            <w:pPr>
              <w:pStyle w:val="57"/>
              <w:ind w:left="422" w:hanging="422"/>
              <w:rPr>
                <w:rFonts w:ascii="宋体" w:hAnsi="宋体"/>
                <w:b/>
              </w:rPr>
            </w:pPr>
          </w:p>
        </w:tc>
        <w:tc>
          <w:tcPr>
            <w:tcW w:w="1407" w:type="dxa"/>
          </w:tcPr>
          <w:p>
            <w:pPr>
              <w:pStyle w:val="57"/>
              <w:ind w:left="422" w:hanging="422"/>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38" w:type="dxa"/>
          </w:tcPr>
          <w:p>
            <w:pPr>
              <w:pStyle w:val="57"/>
              <w:ind w:left="422" w:hanging="422"/>
              <w:rPr>
                <w:rFonts w:ascii="宋体" w:hAnsi="宋体"/>
                <w:b/>
              </w:rPr>
            </w:pPr>
          </w:p>
        </w:tc>
        <w:tc>
          <w:tcPr>
            <w:tcW w:w="1785" w:type="dxa"/>
          </w:tcPr>
          <w:p>
            <w:pPr>
              <w:pStyle w:val="57"/>
              <w:ind w:left="422" w:hanging="422"/>
              <w:rPr>
                <w:rFonts w:ascii="宋体" w:hAnsi="宋体"/>
                <w:b/>
              </w:rPr>
            </w:pPr>
          </w:p>
        </w:tc>
        <w:tc>
          <w:tcPr>
            <w:tcW w:w="735" w:type="dxa"/>
          </w:tcPr>
          <w:p>
            <w:pPr>
              <w:pStyle w:val="57"/>
              <w:ind w:left="422" w:hanging="422"/>
              <w:rPr>
                <w:rFonts w:ascii="宋体" w:hAnsi="宋体"/>
                <w:b/>
              </w:rPr>
            </w:pPr>
          </w:p>
        </w:tc>
        <w:tc>
          <w:tcPr>
            <w:tcW w:w="840" w:type="dxa"/>
          </w:tcPr>
          <w:p>
            <w:pPr>
              <w:pStyle w:val="57"/>
              <w:ind w:left="422" w:hanging="422"/>
              <w:rPr>
                <w:rFonts w:ascii="宋体" w:hAnsi="宋体"/>
                <w:b/>
              </w:rPr>
            </w:pPr>
          </w:p>
        </w:tc>
        <w:tc>
          <w:tcPr>
            <w:tcW w:w="945" w:type="dxa"/>
          </w:tcPr>
          <w:p>
            <w:pPr>
              <w:pStyle w:val="57"/>
              <w:ind w:left="422" w:hanging="422"/>
              <w:rPr>
                <w:rFonts w:ascii="宋体" w:hAnsi="宋体"/>
                <w:b/>
              </w:rPr>
            </w:pPr>
          </w:p>
        </w:tc>
        <w:tc>
          <w:tcPr>
            <w:tcW w:w="1365" w:type="dxa"/>
          </w:tcPr>
          <w:p>
            <w:pPr>
              <w:pStyle w:val="57"/>
              <w:ind w:left="422" w:hanging="422"/>
              <w:rPr>
                <w:rFonts w:ascii="宋体" w:hAnsi="宋体"/>
                <w:b/>
              </w:rPr>
            </w:pPr>
          </w:p>
        </w:tc>
        <w:tc>
          <w:tcPr>
            <w:tcW w:w="1365" w:type="dxa"/>
          </w:tcPr>
          <w:p>
            <w:pPr>
              <w:pStyle w:val="57"/>
              <w:ind w:left="422" w:hanging="422"/>
              <w:rPr>
                <w:rFonts w:ascii="宋体" w:hAnsi="宋体"/>
                <w:b/>
              </w:rPr>
            </w:pPr>
          </w:p>
        </w:tc>
        <w:tc>
          <w:tcPr>
            <w:tcW w:w="1407" w:type="dxa"/>
          </w:tcPr>
          <w:p>
            <w:pPr>
              <w:pStyle w:val="57"/>
              <w:ind w:left="422" w:hanging="422"/>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38" w:type="dxa"/>
          </w:tcPr>
          <w:p>
            <w:pPr>
              <w:pStyle w:val="57"/>
              <w:ind w:left="422" w:hanging="422"/>
              <w:rPr>
                <w:rFonts w:ascii="宋体" w:hAnsi="宋体"/>
                <w:b/>
              </w:rPr>
            </w:pPr>
          </w:p>
        </w:tc>
        <w:tc>
          <w:tcPr>
            <w:tcW w:w="1785" w:type="dxa"/>
          </w:tcPr>
          <w:p>
            <w:pPr>
              <w:pStyle w:val="57"/>
              <w:ind w:left="422" w:hanging="422"/>
              <w:rPr>
                <w:rFonts w:ascii="宋体" w:hAnsi="宋体"/>
                <w:b/>
              </w:rPr>
            </w:pPr>
          </w:p>
        </w:tc>
        <w:tc>
          <w:tcPr>
            <w:tcW w:w="735" w:type="dxa"/>
          </w:tcPr>
          <w:p>
            <w:pPr>
              <w:pStyle w:val="57"/>
              <w:ind w:left="422" w:hanging="422"/>
              <w:rPr>
                <w:rFonts w:ascii="宋体" w:hAnsi="宋体"/>
                <w:b/>
              </w:rPr>
            </w:pPr>
          </w:p>
        </w:tc>
        <w:tc>
          <w:tcPr>
            <w:tcW w:w="840" w:type="dxa"/>
          </w:tcPr>
          <w:p>
            <w:pPr>
              <w:pStyle w:val="57"/>
              <w:ind w:left="422" w:hanging="422"/>
              <w:rPr>
                <w:rFonts w:ascii="宋体" w:hAnsi="宋体"/>
                <w:b/>
              </w:rPr>
            </w:pPr>
          </w:p>
        </w:tc>
        <w:tc>
          <w:tcPr>
            <w:tcW w:w="945" w:type="dxa"/>
          </w:tcPr>
          <w:p>
            <w:pPr>
              <w:pStyle w:val="57"/>
              <w:ind w:left="422" w:hanging="422"/>
              <w:rPr>
                <w:rFonts w:ascii="宋体" w:hAnsi="宋体"/>
                <w:b/>
              </w:rPr>
            </w:pPr>
          </w:p>
        </w:tc>
        <w:tc>
          <w:tcPr>
            <w:tcW w:w="1365" w:type="dxa"/>
          </w:tcPr>
          <w:p>
            <w:pPr>
              <w:pStyle w:val="57"/>
              <w:ind w:left="422" w:hanging="422"/>
              <w:rPr>
                <w:rFonts w:ascii="宋体" w:hAnsi="宋体"/>
                <w:b/>
              </w:rPr>
            </w:pPr>
          </w:p>
        </w:tc>
        <w:tc>
          <w:tcPr>
            <w:tcW w:w="1365" w:type="dxa"/>
          </w:tcPr>
          <w:p>
            <w:pPr>
              <w:pStyle w:val="57"/>
              <w:ind w:left="422" w:hanging="422"/>
              <w:rPr>
                <w:rFonts w:ascii="宋体" w:hAnsi="宋体"/>
                <w:b/>
              </w:rPr>
            </w:pPr>
          </w:p>
        </w:tc>
        <w:tc>
          <w:tcPr>
            <w:tcW w:w="1407" w:type="dxa"/>
          </w:tcPr>
          <w:p>
            <w:pPr>
              <w:pStyle w:val="57"/>
              <w:ind w:left="422" w:hanging="422"/>
              <w:rPr>
                <w:rFonts w:ascii="宋体" w:hAnsi="宋体"/>
                <w:b/>
              </w:rPr>
            </w:pPr>
          </w:p>
        </w:tc>
      </w:tr>
    </w:tbl>
    <w:p>
      <w:pPr>
        <w:spacing w:line="0" w:lineRule="atLeast"/>
        <w:rPr>
          <w:rFonts w:ascii="宋体" w:hAnsi="宋体"/>
          <w:sz w:val="24"/>
        </w:rPr>
      </w:pPr>
      <w:r>
        <w:rPr>
          <w:rFonts w:hint="eastAsia" w:ascii="宋体" w:hAnsi="宋体"/>
          <w:sz w:val="24"/>
        </w:rPr>
        <w:t>注：</w:t>
      </w:r>
      <w:r>
        <w:rPr>
          <w:rFonts w:hint="eastAsia" w:ascii="宋体" w:hAnsi="宋体" w:cs="宋体"/>
          <w:kern w:val="0"/>
          <w:sz w:val="24"/>
        </w:rPr>
        <w:t>提供近三年同类产品的制造销售业绩（用户名单、联系方式）</w:t>
      </w:r>
      <w:r>
        <w:rPr>
          <w:rFonts w:hint="eastAsia" w:ascii="宋体" w:hAnsi="宋体"/>
          <w:sz w:val="24"/>
        </w:rPr>
        <w:t>，并附合同复印件。</w:t>
      </w:r>
    </w:p>
    <w:p>
      <w:pPr>
        <w:tabs>
          <w:tab w:val="left" w:pos="1578"/>
          <w:tab w:val="left" w:pos="10083"/>
        </w:tabs>
        <w:spacing w:line="500" w:lineRule="exact"/>
        <w:rPr>
          <w:rFonts w:ascii="宋体" w:hAnsi="宋体"/>
          <w:sz w:val="24"/>
        </w:rPr>
      </w:pPr>
    </w:p>
    <w:p>
      <w:pPr>
        <w:spacing w:line="660" w:lineRule="exact"/>
        <w:rPr>
          <w:rFonts w:ascii="宋体" w:hAnsi="宋体"/>
          <w:sz w:val="24"/>
        </w:rPr>
      </w:pPr>
      <w:r>
        <w:rPr>
          <w:rFonts w:hint="eastAsia" w:ascii="宋体" w:hAnsi="宋体"/>
          <w:sz w:val="24"/>
        </w:rPr>
        <w:t>投标方：（盖章）</w:t>
      </w:r>
    </w:p>
    <w:p>
      <w:pPr>
        <w:spacing w:line="660" w:lineRule="exact"/>
        <w:rPr>
          <w:rFonts w:ascii="宋体" w:hAnsi="宋体"/>
          <w:sz w:val="24"/>
        </w:rPr>
      </w:pPr>
      <w:r>
        <w:rPr>
          <w:rFonts w:hint="eastAsia" w:ascii="宋体" w:hAnsi="宋体"/>
          <w:sz w:val="24"/>
        </w:rPr>
        <w:t>法定代表人（委托代理人）：（签字）</w:t>
      </w:r>
    </w:p>
    <w:p>
      <w:pPr>
        <w:spacing w:line="360" w:lineRule="auto"/>
        <w:rPr>
          <w:rFonts w:ascii="宋体" w:hAnsi="宋体"/>
          <w:b/>
          <w:sz w:val="24"/>
          <w:szCs w:val="24"/>
        </w:rPr>
      </w:pPr>
      <w:r>
        <w:rPr>
          <w:rFonts w:hint="eastAsia" w:ascii="宋体" w:hAnsi="宋体"/>
          <w:sz w:val="24"/>
        </w:rPr>
        <w:t>日  期：年月日</w:t>
      </w:r>
      <w:r>
        <w:rPr>
          <w:rFonts w:hint="eastAsia" w:ascii="宋体" w:hAnsi="宋体"/>
          <w:b/>
          <w:sz w:val="24"/>
          <w:szCs w:val="24"/>
        </w:rPr>
        <w:t>。</w:t>
      </w:r>
    </w:p>
    <w:p/>
    <w:p/>
    <w:p>
      <w:pPr>
        <w:pStyle w:val="5"/>
        <w:spacing w:before="120" w:after="120" w:line="360" w:lineRule="exact"/>
        <w:rPr>
          <w:rFonts w:ascii="宋体" w:hAnsi="宋体" w:cs="宋体"/>
          <w:b w:val="0"/>
          <w:bCs w:val="0"/>
          <w:sz w:val="24"/>
          <w:szCs w:val="24"/>
        </w:rPr>
      </w:pPr>
      <w:bookmarkStart w:id="273" w:name="_Toc353881021"/>
      <w:bookmarkStart w:id="274" w:name="_Toc424118190"/>
      <w:bookmarkStart w:id="275" w:name="_Toc1499"/>
      <w:bookmarkStart w:id="276" w:name="_Toc28044"/>
      <w:bookmarkStart w:id="277" w:name="_Toc28878"/>
      <w:bookmarkStart w:id="278" w:name="_Toc518655813"/>
      <w:r>
        <w:rPr>
          <w:rFonts w:hint="eastAsia" w:ascii="宋体" w:hAnsi="宋体" w:cs="宋体"/>
          <w:b w:val="0"/>
          <w:bCs w:val="0"/>
          <w:sz w:val="24"/>
          <w:szCs w:val="24"/>
        </w:rPr>
        <w:t>附件十、服务承诺函</w:t>
      </w:r>
      <w:bookmarkEnd w:id="273"/>
      <w:bookmarkEnd w:id="274"/>
      <w:bookmarkEnd w:id="275"/>
      <w:bookmarkEnd w:id="276"/>
      <w:bookmarkEnd w:id="277"/>
      <w:bookmarkEnd w:id="278"/>
    </w:p>
    <w:p>
      <w:pPr>
        <w:pStyle w:val="31"/>
        <w:spacing w:after="0" w:line="460" w:lineRule="exact"/>
        <w:jc w:val="center"/>
        <w:rPr>
          <w:rFonts w:ascii="宋体" w:hAnsi="宋体" w:cs="宋体"/>
          <w:b/>
          <w:bCs/>
          <w:sz w:val="32"/>
          <w:szCs w:val="32"/>
        </w:rPr>
      </w:pPr>
      <w:r>
        <w:rPr>
          <w:rFonts w:hint="eastAsia" w:ascii="宋体" w:hAnsi="宋体" w:cs="宋体"/>
          <w:b/>
          <w:bCs/>
          <w:sz w:val="32"/>
          <w:szCs w:val="32"/>
        </w:rPr>
        <w:t>服务承诺函</w:t>
      </w:r>
    </w:p>
    <w:p>
      <w:pPr>
        <w:spacing w:line="240" w:lineRule="exact"/>
        <w:jc w:val="center"/>
        <w:rPr>
          <w:rFonts w:ascii="宋体" w:hAnsi="宋体"/>
          <w:b/>
          <w:bCs/>
          <w:sz w:val="36"/>
        </w:rPr>
      </w:pPr>
    </w:p>
    <w:p>
      <w:pPr>
        <w:spacing w:line="360" w:lineRule="auto"/>
        <w:rPr>
          <w:rFonts w:ascii="宋体" w:hAnsi="宋体"/>
          <w:sz w:val="24"/>
          <w:u w:val="single"/>
        </w:rPr>
      </w:pPr>
      <w:r>
        <w:rPr>
          <w:rFonts w:hint="eastAsia" w:ascii="宋体" w:hAnsi="宋体"/>
          <w:sz w:val="24"/>
        </w:rPr>
        <w:t>项目名称：</w:t>
      </w:r>
    </w:p>
    <w:p>
      <w:pPr>
        <w:pStyle w:val="44"/>
        <w:adjustRightInd w:val="0"/>
        <w:snapToGrid w:val="0"/>
        <w:spacing w:before="72" w:beforeLines="30" w:line="460" w:lineRule="exact"/>
        <w:ind w:left="0" w:leftChars="0"/>
        <w:rPr>
          <w:rFonts w:ascii="宋体" w:hAnsi="宋体"/>
          <w:i/>
          <w:iCs/>
          <w:sz w:val="24"/>
        </w:rPr>
      </w:pPr>
      <w:r>
        <w:rPr>
          <w:rFonts w:hint="eastAsia" w:ascii="宋体" w:hAnsi="宋体"/>
          <w:sz w:val="24"/>
          <w:u w:val="single"/>
        </w:rPr>
        <w:t xml:space="preserve">        公司:</w:t>
      </w:r>
      <w:r>
        <w:rPr>
          <w:rFonts w:hint="eastAsia" w:ascii="宋体" w:hAnsi="宋体"/>
          <w:i/>
          <w:iCs/>
          <w:sz w:val="24"/>
        </w:rPr>
        <w:t>（招标方全称）</w:t>
      </w:r>
    </w:p>
    <w:p>
      <w:pPr>
        <w:spacing w:line="360" w:lineRule="auto"/>
        <w:ind w:firstLine="480"/>
        <w:rPr>
          <w:rFonts w:ascii="宋体" w:hAnsi="宋体"/>
          <w:sz w:val="24"/>
        </w:rPr>
      </w:pPr>
      <w:r>
        <w:rPr>
          <w:rFonts w:hint="eastAsia" w:ascii="宋体" w:hAnsi="宋体"/>
          <w:sz w:val="24"/>
        </w:rPr>
        <w:t>我代表（投标单位名称）对中标合同产品的服务作如下承诺：</w:t>
      </w:r>
    </w:p>
    <w:p>
      <w:pPr>
        <w:spacing w:line="360" w:lineRule="auto"/>
        <w:ind w:firstLine="480" w:firstLineChars="200"/>
        <w:rPr>
          <w:rFonts w:ascii="宋体" w:hAnsi="宋体"/>
          <w:sz w:val="24"/>
          <w:u w:val="single"/>
        </w:rPr>
      </w:pPr>
    </w:p>
    <w:p>
      <w:pPr>
        <w:spacing w:line="360" w:lineRule="auto"/>
        <w:ind w:firstLine="480" w:firstLineChars="200"/>
        <w:rPr>
          <w:rFonts w:ascii="宋体" w:hAnsi="宋体"/>
          <w:sz w:val="24"/>
          <w:u w:val="single"/>
        </w:rPr>
      </w:pPr>
    </w:p>
    <w:p>
      <w:pPr>
        <w:spacing w:line="360" w:lineRule="auto"/>
        <w:ind w:firstLine="480" w:firstLineChars="200"/>
        <w:rPr>
          <w:rFonts w:ascii="宋体" w:hAnsi="宋体"/>
          <w:sz w:val="24"/>
          <w:u w:val="single"/>
        </w:rPr>
      </w:pPr>
    </w:p>
    <w:p>
      <w:pPr>
        <w:spacing w:line="360" w:lineRule="auto"/>
        <w:ind w:firstLine="480" w:firstLineChars="200"/>
        <w:rPr>
          <w:rFonts w:ascii="宋体" w:hAnsi="宋体"/>
          <w:sz w:val="24"/>
          <w:u w:val="single"/>
        </w:rPr>
      </w:pPr>
    </w:p>
    <w:p>
      <w:pPr>
        <w:spacing w:line="360" w:lineRule="auto"/>
        <w:ind w:firstLine="480" w:firstLineChars="200"/>
        <w:rPr>
          <w:rFonts w:ascii="宋体" w:hAnsi="宋体"/>
          <w:sz w:val="24"/>
          <w:u w:val="single"/>
        </w:rPr>
      </w:pPr>
    </w:p>
    <w:p>
      <w:pPr>
        <w:spacing w:line="360" w:lineRule="auto"/>
        <w:ind w:firstLine="480" w:firstLineChars="200"/>
        <w:rPr>
          <w:rFonts w:ascii="宋体" w:hAnsi="宋体"/>
          <w:sz w:val="24"/>
          <w:u w:val="single"/>
        </w:rPr>
      </w:pPr>
    </w:p>
    <w:p>
      <w:pPr>
        <w:spacing w:line="360" w:lineRule="auto"/>
        <w:ind w:firstLine="480" w:firstLineChars="200"/>
        <w:rPr>
          <w:rFonts w:ascii="宋体" w:hAnsi="宋体"/>
          <w:sz w:val="24"/>
          <w:u w:val="single"/>
        </w:rPr>
      </w:pPr>
    </w:p>
    <w:p>
      <w:pPr>
        <w:spacing w:line="360" w:lineRule="auto"/>
        <w:ind w:firstLine="480" w:firstLineChars="200"/>
        <w:rPr>
          <w:rFonts w:ascii="宋体" w:hAnsi="宋体"/>
          <w:sz w:val="24"/>
          <w:u w:val="single"/>
        </w:rPr>
      </w:pPr>
    </w:p>
    <w:p>
      <w:pPr>
        <w:spacing w:line="360" w:lineRule="auto"/>
        <w:ind w:firstLine="480" w:firstLineChars="200"/>
        <w:rPr>
          <w:rFonts w:ascii="宋体" w:hAnsi="宋体"/>
          <w:sz w:val="24"/>
          <w:u w:val="single"/>
        </w:rPr>
      </w:pPr>
    </w:p>
    <w:p>
      <w:pPr>
        <w:spacing w:line="360" w:lineRule="auto"/>
        <w:ind w:firstLine="480" w:firstLineChars="200"/>
        <w:rPr>
          <w:rFonts w:ascii="宋体" w:hAnsi="宋体"/>
          <w:sz w:val="24"/>
          <w:u w:val="single"/>
        </w:rPr>
      </w:pPr>
    </w:p>
    <w:p>
      <w:pPr>
        <w:spacing w:line="360" w:lineRule="auto"/>
        <w:ind w:firstLine="480" w:firstLineChars="200"/>
        <w:rPr>
          <w:rFonts w:ascii="宋体" w:hAnsi="宋体"/>
          <w:sz w:val="24"/>
          <w:u w:val="single"/>
        </w:rPr>
      </w:pPr>
    </w:p>
    <w:p>
      <w:pPr>
        <w:spacing w:line="360" w:lineRule="auto"/>
        <w:ind w:firstLine="480" w:firstLineChars="200"/>
        <w:rPr>
          <w:rFonts w:ascii="宋体" w:hAnsi="宋体"/>
          <w:sz w:val="24"/>
          <w:u w:val="single"/>
        </w:rPr>
      </w:pPr>
    </w:p>
    <w:p>
      <w:pPr>
        <w:spacing w:line="360" w:lineRule="auto"/>
        <w:ind w:firstLine="480" w:firstLineChars="200"/>
        <w:rPr>
          <w:rFonts w:ascii="宋体" w:hAnsi="宋体"/>
          <w:sz w:val="24"/>
          <w:u w:val="single"/>
        </w:rPr>
      </w:pPr>
    </w:p>
    <w:p>
      <w:pPr>
        <w:spacing w:line="360" w:lineRule="auto"/>
        <w:ind w:firstLine="480" w:firstLineChars="200"/>
        <w:rPr>
          <w:rFonts w:ascii="宋体" w:hAnsi="宋体"/>
          <w:sz w:val="24"/>
          <w:u w:val="single"/>
        </w:rPr>
      </w:pPr>
    </w:p>
    <w:p>
      <w:pPr>
        <w:spacing w:line="360" w:lineRule="auto"/>
        <w:ind w:firstLine="480" w:firstLineChars="200"/>
        <w:rPr>
          <w:rFonts w:ascii="宋体" w:hAnsi="宋体"/>
          <w:sz w:val="24"/>
          <w:u w:val="single"/>
        </w:rPr>
      </w:pPr>
    </w:p>
    <w:p>
      <w:pPr>
        <w:spacing w:line="360" w:lineRule="auto"/>
        <w:ind w:firstLine="480" w:firstLineChars="200"/>
        <w:rPr>
          <w:rFonts w:ascii="宋体" w:hAnsi="宋体"/>
          <w:sz w:val="24"/>
          <w:u w:val="single"/>
        </w:rPr>
      </w:pPr>
    </w:p>
    <w:p>
      <w:pPr>
        <w:spacing w:line="360" w:lineRule="auto"/>
        <w:ind w:firstLine="480" w:firstLineChars="200"/>
        <w:rPr>
          <w:rFonts w:ascii="宋体" w:hAnsi="宋体"/>
          <w:sz w:val="24"/>
          <w:u w:val="single"/>
        </w:rPr>
      </w:pPr>
    </w:p>
    <w:p>
      <w:pPr>
        <w:spacing w:line="360" w:lineRule="auto"/>
        <w:ind w:firstLine="480" w:firstLineChars="200"/>
        <w:rPr>
          <w:rFonts w:ascii="宋体" w:hAnsi="宋体"/>
          <w:sz w:val="24"/>
          <w:u w:val="single"/>
        </w:rPr>
      </w:pPr>
    </w:p>
    <w:p>
      <w:pPr>
        <w:spacing w:line="660" w:lineRule="exact"/>
        <w:rPr>
          <w:rFonts w:ascii="宋体" w:hAnsi="宋体"/>
          <w:sz w:val="24"/>
        </w:rPr>
      </w:pPr>
      <w:r>
        <w:rPr>
          <w:rFonts w:hint="eastAsia" w:ascii="宋体" w:hAnsi="宋体"/>
          <w:sz w:val="24"/>
        </w:rPr>
        <w:t>投标方：（盖章）</w:t>
      </w:r>
    </w:p>
    <w:p>
      <w:pPr>
        <w:spacing w:line="660" w:lineRule="exact"/>
        <w:rPr>
          <w:rFonts w:ascii="宋体" w:hAnsi="宋体"/>
          <w:sz w:val="24"/>
        </w:rPr>
      </w:pPr>
      <w:r>
        <w:rPr>
          <w:rFonts w:hint="eastAsia" w:ascii="宋体" w:hAnsi="宋体"/>
          <w:sz w:val="24"/>
        </w:rPr>
        <w:t>法定代表人（委托代理人）：（签字）</w:t>
      </w:r>
    </w:p>
    <w:p>
      <w:pPr>
        <w:spacing w:line="660" w:lineRule="exact"/>
        <w:rPr>
          <w:rFonts w:ascii="宋体" w:hAnsi="宋体"/>
          <w:sz w:val="24"/>
        </w:rPr>
      </w:pPr>
      <w:r>
        <w:rPr>
          <w:rFonts w:hint="eastAsia" w:ascii="宋体" w:hAnsi="宋体"/>
          <w:sz w:val="24"/>
        </w:rPr>
        <w:t>日  期：年月日</w:t>
      </w:r>
    </w:p>
    <w:p>
      <w:pPr>
        <w:pStyle w:val="5"/>
        <w:spacing w:before="120" w:after="120" w:line="360" w:lineRule="exact"/>
        <w:rPr>
          <w:rFonts w:ascii="宋体" w:hAnsi="宋体" w:cs="宋体"/>
          <w:b w:val="0"/>
          <w:bCs w:val="0"/>
          <w:sz w:val="24"/>
          <w:szCs w:val="24"/>
        </w:rPr>
      </w:pPr>
      <w:bookmarkStart w:id="279" w:name="_Toc9193"/>
      <w:bookmarkStart w:id="280" w:name="_Toc762"/>
      <w:bookmarkStart w:id="281" w:name="_Toc21645"/>
      <w:bookmarkStart w:id="282" w:name="_Toc518655814"/>
      <w:bookmarkStart w:id="283" w:name="_Toc353881022"/>
      <w:bookmarkStart w:id="284" w:name="_Toc424118191"/>
      <w:r>
        <w:rPr>
          <w:rFonts w:hint="eastAsia" w:ascii="宋体" w:hAnsi="宋体" w:cs="宋体"/>
          <w:b w:val="0"/>
          <w:bCs w:val="0"/>
          <w:sz w:val="24"/>
          <w:szCs w:val="24"/>
        </w:rPr>
        <w:t>附件十一、设备质量承诺函</w:t>
      </w:r>
      <w:bookmarkEnd w:id="279"/>
      <w:bookmarkEnd w:id="280"/>
      <w:bookmarkEnd w:id="281"/>
      <w:bookmarkEnd w:id="282"/>
      <w:bookmarkEnd w:id="283"/>
      <w:bookmarkEnd w:id="284"/>
    </w:p>
    <w:p>
      <w:pPr>
        <w:pStyle w:val="31"/>
        <w:spacing w:after="0" w:line="460" w:lineRule="exact"/>
        <w:jc w:val="center"/>
        <w:rPr>
          <w:rFonts w:ascii="宋体" w:hAnsi="宋体" w:cs="宋体"/>
          <w:b/>
          <w:bCs/>
          <w:sz w:val="32"/>
          <w:szCs w:val="32"/>
        </w:rPr>
      </w:pPr>
      <w:r>
        <w:rPr>
          <w:rFonts w:hint="eastAsia" w:ascii="宋体" w:hAnsi="宋体" w:cs="宋体"/>
          <w:b/>
          <w:bCs/>
          <w:sz w:val="32"/>
          <w:szCs w:val="32"/>
        </w:rPr>
        <w:t>设备质量承诺函</w:t>
      </w:r>
    </w:p>
    <w:p>
      <w:pPr>
        <w:spacing w:line="240" w:lineRule="exact"/>
        <w:rPr>
          <w:rFonts w:ascii="宋体" w:hAnsi="宋体"/>
        </w:rPr>
      </w:pPr>
    </w:p>
    <w:p>
      <w:pPr>
        <w:spacing w:line="360" w:lineRule="auto"/>
        <w:rPr>
          <w:rFonts w:ascii="宋体" w:hAnsi="宋体"/>
          <w:sz w:val="24"/>
          <w:u w:val="single"/>
        </w:rPr>
      </w:pPr>
      <w:r>
        <w:rPr>
          <w:rFonts w:hint="eastAsia" w:ascii="宋体" w:hAnsi="宋体"/>
          <w:sz w:val="24"/>
        </w:rPr>
        <w:t xml:space="preserve">项目名称: </w:t>
      </w:r>
    </w:p>
    <w:p>
      <w:pPr>
        <w:pStyle w:val="44"/>
        <w:adjustRightInd w:val="0"/>
        <w:snapToGrid w:val="0"/>
        <w:spacing w:before="72" w:beforeLines="30" w:line="460" w:lineRule="exact"/>
        <w:ind w:left="0" w:leftChars="0"/>
        <w:rPr>
          <w:rFonts w:ascii="宋体" w:hAnsi="宋体"/>
          <w:i/>
          <w:iCs/>
          <w:sz w:val="24"/>
        </w:rPr>
      </w:pPr>
      <w:r>
        <w:rPr>
          <w:rFonts w:hint="eastAsia" w:ascii="宋体" w:hAnsi="宋体"/>
          <w:sz w:val="24"/>
          <w:u w:val="single"/>
        </w:rPr>
        <w:t xml:space="preserve">        公司:</w:t>
      </w:r>
      <w:r>
        <w:rPr>
          <w:rFonts w:hint="eastAsia" w:ascii="宋体" w:hAnsi="宋体"/>
          <w:i/>
          <w:iCs/>
          <w:sz w:val="24"/>
        </w:rPr>
        <w:t>（招标方全称）</w:t>
      </w:r>
    </w:p>
    <w:p>
      <w:pPr>
        <w:spacing w:line="360" w:lineRule="auto"/>
        <w:ind w:firstLine="480" w:firstLineChars="200"/>
        <w:rPr>
          <w:rFonts w:ascii="宋体" w:hAnsi="宋体"/>
          <w:sz w:val="24"/>
        </w:rPr>
      </w:pPr>
      <w:r>
        <w:rPr>
          <w:rFonts w:hint="eastAsia" w:ascii="宋体" w:hAnsi="宋体"/>
          <w:sz w:val="24"/>
        </w:rPr>
        <w:t>我代表(投标单位名称)为保证中标产品的质量特作如下承诺：</w:t>
      </w:r>
    </w:p>
    <w:p>
      <w:pPr>
        <w:spacing w:line="360" w:lineRule="auto"/>
        <w:ind w:firstLine="480" w:firstLineChars="200"/>
        <w:rPr>
          <w:rFonts w:ascii="宋体" w:hAnsi="宋体"/>
          <w:sz w:val="24"/>
          <w:u w:val="single"/>
        </w:rPr>
      </w:pPr>
    </w:p>
    <w:p>
      <w:pPr>
        <w:spacing w:line="360" w:lineRule="auto"/>
        <w:ind w:firstLine="480" w:firstLineChars="200"/>
        <w:rPr>
          <w:rFonts w:ascii="宋体" w:hAnsi="宋体"/>
          <w:sz w:val="24"/>
          <w:u w:val="single"/>
        </w:rPr>
      </w:pPr>
    </w:p>
    <w:p>
      <w:pPr>
        <w:spacing w:line="360" w:lineRule="auto"/>
        <w:ind w:firstLine="480" w:firstLineChars="200"/>
        <w:rPr>
          <w:rFonts w:ascii="宋体" w:hAnsi="宋体"/>
          <w:sz w:val="24"/>
          <w:u w:val="single"/>
        </w:rPr>
      </w:pPr>
    </w:p>
    <w:p>
      <w:pPr>
        <w:spacing w:line="360" w:lineRule="auto"/>
        <w:ind w:firstLine="480" w:firstLineChars="200"/>
        <w:rPr>
          <w:rFonts w:ascii="宋体" w:hAnsi="宋体"/>
          <w:sz w:val="24"/>
          <w:u w:val="single"/>
        </w:rPr>
      </w:pPr>
    </w:p>
    <w:p>
      <w:pPr>
        <w:spacing w:line="360" w:lineRule="auto"/>
        <w:ind w:firstLine="480" w:firstLineChars="200"/>
        <w:rPr>
          <w:rFonts w:ascii="宋体" w:hAnsi="宋体"/>
          <w:sz w:val="24"/>
          <w:u w:val="single"/>
        </w:rPr>
      </w:pPr>
    </w:p>
    <w:p>
      <w:pPr>
        <w:spacing w:line="360" w:lineRule="auto"/>
        <w:ind w:firstLine="480" w:firstLineChars="200"/>
        <w:rPr>
          <w:rFonts w:ascii="宋体" w:hAnsi="宋体"/>
          <w:sz w:val="24"/>
          <w:u w:val="single"/>
        </w:rPr>
      </w:pPr>
    </w:p>
    <w:p>
      <w:pPr>
        <w:spacing w:line="360" w:lineRule="auto"/>
        <w:ind w:firstLine="480" w:firstLineChars="200"/>
        <w:rPr>
          <w:rFonts w:ascii="宋体" w:hAnsi="宋体"/>
          <w:sz w:val="24"/>
          <w:u w:val="single"/>
        </w:rPr>
      </w:pPr>
    </w:p>
    <w:p>
      <w:pPr>
        <w:spacing w:line="360" w:lineRule="auto"/>
        <w:ind w:firstLine="480" w:firstLineChars="200"/>
        <w:rPr>
          <w:rFonts w:ascii="宋体" w:hAnsi="宋体"/>
          <w:sz w:val="24"/>
          <w:u w:val="single"/>
        </w:rPr>
      </w:pPr>
    </w:p>
    <w:p>
      <w:pPr>
        <w:spacing w:line="360" w:lineRule="auto"/>
        <w:ind w:firstLine="480" w:firstLineChars="200"/>
        <w:rPr>
          <w:rFonts w:ascii="宋体" w:hAnsi="宋体"/>
          <w:sz w:val="24"/>
          <w:u w:val="single"/>
        </w:rPr>
      </w:pPr>
    </w:p>
    <w:p>
      <w:pPr>
        <w:spacing w:line="360" w:lineRule="auto"/>
        <w:ind w:firstLine="480" w:firstLineChars="200"/>
        <w:rPr>
          <w:rFonts w:ascii="宋体" w:hAnsi="宋体"/>
          <w:sz w:val="24"/>
          <w:u w:val="single"/>
        </w:rPr>
      </w:pPr>
    </w:p>
    <w:p>
      <w:pPr>
        <w:spacing w:line="360" w:lineRule="auto"/>
        <w:ind w:firstLine="480" w:firstLineChars="200"/>
        <w:rPr>
          <w:rFonts w:ascii="宋体" w:hAnsi="宋体"/>
          <w:sz w:val="24"/>
          <w:u w:val="single"/>
        </w:rPr>
      </w:pPr>
    </w:p>
    <w:p>
      <w:pPr>
        <w:spacing w:line="360" w:lineRule="auto"/>
        <w:ind w:firstLine="480" w:firstLineChars="200"/>
        <w:rPr>
          <w:rFonts w:ascii="宋体" w:hAnsi="宋体"/>
          <w:sz w:val="24"/>
          <w:u w:val="single"/>
        </w:rPr>
      </w:pPr>
    </w:p>
    <w:p>
      <w:pPr>
        <w:spacing w:line="360" w:lineRule="auto"/>
        <w:ind w:firstLine="480" w:firstLineChars="200"/>
        <w:rPr>
          <w:rFonts w:ascii="宋体" w:hAnsi="宋体"/>
          <w:sz w:val="24"/>
          <w:u w:val="single"/>
        </w:rPr>
      </w:pPr>
    </w:p>
    <w:p>
      <w:pPr>
        <w:spacing w:line="360" w:lineRule="auto"/>
        <w:ind w:firstLine="480" w:firstLineChars="200"/>
        <w:rPr>
          <w:rFonts w:ascii="宋体" w:hAnsi="宋体"/>
          <w:sz w:val="24"/>
          <w:u w:val="single"/>
        </w:rPr>
      </w:pPr>
    </w:p>
    <w:p>
      <w:pPr>
        <w:spacing w:line="360" w:lineRule="auto"/>
        <w:ind w:firstLine="480" w:firstLineChars="200"/>
        <w:rPr>
          <w:rFonts w:ascii="宋体" w:hAnsi="宋体"/>
          <w:sz w:val="24"/>
          <w:u w:val="single"/>
        </w:rPr>
      </w:pPr>
    </w:p>
    <w:p>
      <w:pPr>
        <w:spacing w:line="360" w:lineRule="auto"/>
        <w:ind w:firstLine="480" w:firstLineChars="200"/>
        <w:rPr>
          <w:rFonts w:ascii="宋体" w:hAnsi="宋体"/>
          <w:sz w:val="24"/>
          <w:u w:val="single"/>
        </w:rPr>
      </w:pPr>
    </w:p>
    <w:p>
      <w:pPr>
        <w:spacing w:line="360" w:lineRule="auto"/>
        <w:ind w:left="480"/>
        <w:rPr>
          <w:rFonts w:ascii="宋体" w:hAnsi="宋体"/>
          <w:sz w:val="24"/>
        </w:rPr>
      </w:pPr>
    </w:p>
    <w:p>
      <w:pPr>
        <w:spacing w:line="660" w:lineRule="exact"/>
        <w:rPr>
          <w:rFonts w:ascii="宋体" w:hAnsi="宋体"/>
          <w:sz w:val="24"/>
        </w:rPr>
      </w:pPr>
      <w:r>
        <w:rPr>
          <w:rFonts w:hint="eastAsia" w:ascii="宋体" w:hAnsi="宋体"/>
          <w:sz w:val="24"/>
        </w:rPr>
        <w:t>投标方：（盖章）</w:t>
      </w:r>
    </w:p>
    <w:p>
      <w:pPr>
        <w:spacing w:line="660" w:lineRule="exact"/>
        <w:rPr>
          <w:rFonts w:ascii="宋体" w:hAnsi="宋体"/>
          <w:sz w:val="24"/>
        </w:rPr>
      </w:pPr>
      <w:r>
        <w:rPr>
          <w:rFonts w:hint="eastAsia" w:ascii="宋体" w:hAnsi="宋体"/>
          <w:sz w:val="24"/>
        </w:rPr>
        <w:t>法定代表人（委托代理人）：（签字）</w:t>
      </w:r>
    </w:p>
    <w:p>
      <w:pPr>
        <w:spacing w:line="660" w:lineRule="exact"/>
        <w:rPr>
          <w:rFonts w:ascii="宋体" w:hAnsi="宋体"/>
          <w:sz w:val="24"/>
        </w:rPr>
      </w:pPr>
      <w:r>
        <w:rPr>
          <w:rFonts w:hint="eastAsia" w:ascii="宋体" w:hAnsi="宋体"/>
          <w:sz w:val="24"/>
        </w:rPr>
        <w:t>日  期：年月日</w:t>
      </w:r>
    </w:p>
    <w:p>
      <w:pPr>
        <w:pStyle w:val="5"/>
        <w:spacing w:before="120" w:after="120" w:line="560" w:lineRule="exact"/>
        <w:rPr>
          <w:rFonts w:ascii="宋体" w:hAnsi="宋体" w:cs="宋体"/>
          <w:b w:val="0"/>
          <w:bCs w:val="0"/>
          <w:sz w:val="24"/>
          <w:szCs w:val="24"/>
        </w:rPr>
        <w:sectPr>
          <w:pgSz w:w="11907" w:h="16840"/>
          <w:pgMar w:top="1785" w:right="1418" w:bottom="1418" w:left="1418" w:header="724" w:footer="851" w:gutter="0"/>
          <w:cols w:space="720" w:num="1"/>
          <w:docGrid w:linePitch="290" w:charSpace="-3931"/>
        </w:sectPr>
      </w:pPr>
    </w:p>
    <w:p>
      <w:pPr>
        <w:pStyle w:val="5"/>
        <w:spacing w:before="120" w:after="120" w:line="560" w:lineRule="exact"/>
        <w:rPr>
          <w:rFonts w:ascii="宋体" w:hAnsi="宋体"/>
          <w:b w:val="0"/>
          <w:bCs w:val="0"/>
          <w:sz w:val="24"/>
          <w:szCs w:val="24"/>
        </w:rPr>
      </w:pPr>
      <w:bookmarkStart w:id="285" w:name="_Toc8902"/>
      <w:r>
        <w:rPr>
          <w:rFonts w:hint="eastAsia" w:ascii="宋体" w:hAnsi="宋体" w:cs="宋体"/>
          <w:b w:val="0"/>
          <w:bCs w:val="0"/>
          <w:sz w:val="24"/>
          <w:szCs w:val="24"/>
        </w:rPr>
        <w:t>附件十二</w:t>
      </w:r>
      <w:r>
        <w:rPr>
          <w:rFonts w:ascii="宋体" w:hAnsi="宋体" w:cs="宋体"/>
          <w:b w:val="0"/>
          <w:bCs w:val="0"/>
          <w:sz w:val="24"/>
          <w:szCs w:val="24"/>
        </w:rPr>
        <w:t xml:space="preserve">: </w:t>
      </w:r>
      <w:r>
        <w:rPr>
          <w:rFonts w:hint="eastAsia" w:ascii="宋体" w:hAnsi="宋体" w:cs="宋体"/>
          <w:b w:val="0"/>
          <w:bCs w:val="0"/>
          <w:sz w:val="24"/>
          <w:szCs w:val="24"/>
        </w:rPr>
        <w:t>封面格式（参考）</w:t>
      </w:r>
      <w:bookmarkEnd w:id="285"/>
    </w:p>
    <w:p>
      <w:pPr>
        <w:pStyle w:val="32"/>
        <w:spacing w:line="240" w:lineRule="auto"/>
        <w:ind w:left="0" w:leftChars="0" w:firstLine="0" w:firstLineChars="0"/>
        <w:jc w:val="center"/>
        <w:rPr>
          <w:rFonts w:ascii="宋体" w:hAnsi="宋体"/>
        </w:rPr>
      </w:pPr>
      <w:r>
        <w:rPr>
          <w:rFonts w:hint="eastAsia" w:ascii="宋体" w:hAnsi="宋体" w:cs="宋体"/>
          <w:b/>
          <w:bCs/>
          <w:sz w:val="32"/>
          <w:szCs w:val="32"/>
        </w:rPr>
        <w:t>封面格式（参考）</w:t>
      </w:r>
    </w:p>
    <w:tbl>
      <w:tblPr>
        <w:tblStyle w:val="7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5"/>
        <w:gridCol w:w="4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0" w:hRule="atLeast"/>
          <w:jc w:val="center"/>
        </w:trPr>
        <w:tc>
          <w:tcPr>
            <w:tcW w:w="4285" w:type="dxa"/>
          </w:tcPr>
          <w:p>
            <w:pPr>
              <w:pStyle w:val="32"/>
              <w:spacing w:line="240" w:lineRule="auto"/>
              <w:ind w:left="1747" w:firstLine="470"/>
              <w:jc w:val="left"/>
              <w:rPr>
                <w:rFonts w:ascii="宋体" w:hAnsi="宋体"/>
                <w:kern w:val="2"/>
                <w:sz w:val="24"/>
                <w:szCs w:val="24"/>
              </w:rPr>
            </w:pPr>
          </w:p>
          <w:p>
            <w:pPr>
              <w:pStyle w:val="32"/>
              <w:spacing w:line="240" w:lineRule="auto"/>
              <w:ind w:left="0" w:leftChars="0" w:firstLine="0" w:firstLineChars="0"/>
              <w:jc w:val="left"/>
              <w:rPr>
                <w:rFonts w:ascii="宋体" w:hAnsi="宋体"/>
                <w:b/>
                <w:bCs/>
                <w:kern w:val="2"/>
                <w:sz w:val="30"/>
                <w:szCs w:val="30"/>
              </w:rPr>
            </w:pPr>
            <w:r>
              <w:rPr>
                <w:rFonts w:hint="eastAsia" w:ascii="宋体" w:hAnsi="宋体" w:cs="宋体"/>
                <w:b/>
                <w:bCs/>
                <w:kern w:val="2"/>
                <w:sz w:val="30"/>
                <w:szCs w:val="30"/>
              </w:rPr>
              <w:t>投标文件</w:t>
            </w:r>
          </w:p>
          <w:p>
            <w:pPr>
              <w:pStyle w:val="32"/>
              <w:spacing w:line="240" w:lineRule="auto"/>
              <w:ind w:left="0" w:leftChars="0" w:firstLine="0" w:firstLineChars="0"/>
              <w:jc w:val="left"/>
              <w:rPr>
                <w:rFonts w:ascii="宋体" w:hAnsi="宋体"/>
                <w:kern w:val="2"/>
                <w:sz w:val="30"/>
                <w:szCs w:val="30"/>
              </w:rPr>
            </w:pPr>
            <w:r>
              <w:rPr>
                <w:rFonts w:hint="eastAsia" w:ascii="宋体" w:hAnsi="宋体" w:cs="宋体"/>
                <w:b/>
                <w:bCs/>
                <w:kern w:val="2"/>
                <w:sz w:val="30"/>
                <w:szCs w:val="30"/>
              </w:rPr>
              <w:t>（正本）</w:t>
            </w:r>
          </w:p>
          <w:p>
            <w:pPr>
              <w:pStyle w:val="32"/>
              <w:spacing w:line="240" w:lineRule="auto"/>
              <w:ind w:left="1747" w:firstLine="353"/>
              <w:jc w:val="left"/>
              <w:rPr>
                <w:rFonts w:ascii="宋体" w:hAnsi="宋体"/>
                <w:kern w:val="2"/>
                <w:sz w:val="18"/>
                <w:szCs w:val="18"/>
              </w:rPr>
            </w:pPr>
          </w:p>
          <w:p>
            <w:pPr>
              <w:pStyle w:val="32"/>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项目名称：</w:t>
            </w:r>
          </w:p>
          <w:p>
            <w:pPr>
              <w:pStyle w:val="32"/>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投标方名称（公章）：</w:t>
            </w:r>
          </w:p>
          <w:p>
            <w:pPr>
              <w:pStyle w:val="32"/>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地址：</w:t>
            </w:r>
          </w:p>
          <w:p>
            <w:pPr>
              <w:pStyle w:val="32"/>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电话：</w:t>
            </w:r>
          </w:p>
          <w:p>
            <w:pPr>
              <w:pStyle w:val="32"/>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传真：</w:t>
            </w:r>
          </w:p>
          <w:p>
            <w:pPr>
              <w:pStyle w:val="32"/>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邮编：</w:t>
            </w:r>
          </w:p>
        </w:tc>
        <w:tc>
          <w:tcPr>
            <w:tcW w:w="4775" w:type="dxa"/>
          </w:tcPr>
          <w:p>
            <w:pPr>
              <w:pStyle w:val="32"/>
              <w:spacing w:line="240" w:lineRule="auto"/>
              <w:ind w:left="1747" w:firstLine="470"/>
              <w:jc w:val="left"/>
              <w:rPr>
                <w:rFonts w:ascii="宋体" w:hAnsi="宋体"/>
                <w:kern w:val="2"/>
                <w:sz w:val="24"/>
                <w:szCs w:val="24"/>
              </w:rPr>
            </w:pPr>
          </w:p>
          <w:p>
            <w:pPr>
              <w:pStyle w:val="32"/>
              <w:spacing w:line="240" w:lineRule="auto"/>
              <w:ind w:left="0" w:leftChars="0" w:firstLine="0" w:firstLineChars="0"/>
              <w:jc w:val="left"/>
              <w:rPr>
                <w:rFonts w:ascii="宋体" w:hAnsi="宋体"/>
                <w:b/>
                <w:bCs/>
                <w:kern w:val="2"/>
                <w:sz w:val="30"/>
                <w:szCs w:val="30"/>
              </w:rPr>
            </w:pPr>
            <w:r>
              <w:rPr>
                <w:rFonts w:hint="eastAsia" w:ascii="宋体" w:hAnsi="宋体" w:cs="宋体"/>
                <w:b/>
                <w:bCs/>
                <w:kern w:val="2"/>
                <w:sz w:val="30"/>
                <w:szCs w:val="30"/>
              </w:rPr>
              <w:t>投标文件</w:t>
            </w:r>
          </w:p>
          <w:p>
            <w:pPr>
              <w:pStyle w:val="32"/>
              <w:spacing w:line="240" w:lineRule="auto"/>
              <w:ind w:left="0" w:leftChars="0" w:firstLine="0" w:firstLineChars="0"/>
              <w:jc w:val="left"/>
              <w:rPr>
                <w:rFonts w:ascii="宋体" w:hAnsi="宋体"/>
                <w:kern w:val="2"/>
                <w:sz w:val="30"/>
                <w:szCs w:val="30"/>
              </w:rPr>
            </w:pPr>
            <w:r>
              <w:rPr>
                <w:rFonts w:hint="eastAsia" w:ascii="宋体" w:hAnsi="宋体" w:cs="宋体"/>
                <w:b/>
                <w:bCs/>
                <w:kern w:val="2"/>
                <w:sz w:val="30"/>
                <w:szCs w:val="30"/>
              </w:rPr>
              <w:t>（副本）</w:t>
            </w:r>
          </w:p>
          <w:p>
            <w:pPr>
              <w:pStyle w:val="32"/>
              <w:spacing w:line="240" w:lineRule="auto"/>
              <w:ind w:left="1747" w:firstLine="353"/>
              <w:jc w:val="left"/>
              <w:rPr>
                <w:rFonts w:ascii="宋体" w:hAnsi="宋体"/>
                <w:kern w:val="2"/>
                <w:sz w:val="18"/>
                <w:szCs w:val="18"/>
              </w:rPr>
            </w:pPr>
          </w:p>
          <w:p>
            <w:pPr>
              <w:pStyle w:val="32"/>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项目名称：</w:t>
            </w:r>
          </w:p>
          <w:p>
            <w:pPr>
              <w:pStyle w:val="32"/>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投标方名称（公章）：</w:t>
            </w:r>
          </w:p>
          <w:p>
            <w:pPr>
              <w:pStyle w:val="32"/>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地址：</w:t>
            </w:r>
          </w:p>
          <w:p>
            <w:pPr>
              <w:pStyle w:val="32"/>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电话：</w:t>
            </w:r>
          </w:p>
          <w:p>
            <w:pPr>
              <w:pStyle w:val="32"/>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传真：</w:t>
            </w:r>
          </w:p>
          <w:p>
            <w:pPr>
              <w:pStyle w:val="32"/>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邮编：</w:t>
            </w:r>
          </w:p>
        </w:tc>
      </w:tr>
    </w:tbl>
    <w:p>
      <w:pPr>
        <w:pStyle w:val="32"/>
        <w:spacing w:line="240" w:lineRule="auto"/>
        <w:ind w:left="1747" w:firstLine="412"/>
        <w:rPr>
          <w:rFonts w:ascii="宋体" w:hAnsi="宋体"/>
        </w:rPr>
      </w:pPr>
    </w:p>
    <w:tbl>
      <w:tblPr>
        <w:tblStyle w:val="7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5"/>
        <w:gridCol w:w="4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0" w:hRule="atLeast"/>
          <w:jc w:val="center"/>
        </w:trPr>
        <w:tc>
          <w:tcPr>
            <w:tcW w:w="4285" w:type="dxa"/>
          </w:tcPr>
          <w:p>
            <w:pPr>
              <w:pStyle w:val="32"/>
              <w:spacing w:line="400" w:lineRule="exact"/>
              <w:ind w:left="0" w:leftChars="0" w:firstLine="0" w:firstLineChars="0"/>
              <w:jc w:val="left"/>
              <w:rPr>
                <w:rFonts w:ascii="宋体" w:hAnsi="宋体"/>
                <w:kern w:val="2"/>
                <w:sz w:val="24"/>
                <w:szCs w:val="24"/>
              </w:rPr>
            </w:pPr>
          </w:p>
          <w:p>
            <w:pPr>
              <w:pStyle w:val="32"/>
              <w:spacing w:line="240" w:lineRule="auto"/>
              <w:ind w:left="0" w:leftChars="0" w:firstLine="0" w:firstLineChars="0"/>
              <w:jc w:val="left"/>
              <w:rPr>
                <w:rFonts w:ascii="宋体" w:hAnsi="宋体"/>
                <w:kern w:val="2"/>
                <w:sz w:val="24"/>
                <w:szCs w:val="24"/>
              </w:rPr>
            </w:pPr>
            <w:r>
              <w:rPr>
                <w:rFonts w:hint="eastAsia" w:ascii="宋体" w:hAnsi="宋体" w:cs="宋体"/>
                <w:b/>
                <w:bCs/>
                <w:kern w:val="2"/>
                <w:sz w:val="30"/>
                <w:szCs w:val="30"/>
              </w:rPr>
              <w:t>开标一览表</w:t>
            </w:r>
          </w:p>
          <w:p>
            <w:pPr>
              <w:pStyle w:val="32"/>
              <w:spacing w:line="400" w:lineRule="exact"/>
              <w:ind w:left="0" w:leftChars="0" w:firstLine="0" w:firstLineChars="0"/>
              <w:jc w:val="left"/>
              <w:rPr>
                <w:rFonts w:ascii="宋体" w:hAnsi="宋体"/>
                <w:kern w:val="2"/>
                <w:sz w:val="24"/>
                <w:szCs w:val="24"/>
              </w:rPr>
            </w:pPr>
          </w:p>
          <w:p>
            <w:pPr>
              <w:pStyle w:val="32"/>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项目名称：</w:t>
            </w:r>
          </w:p>
          <w:p>
            <w:pPr>
              <w:pStyle w:val="32"/>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投标方名称（公章）：</w:t>
            </w:r>
          </w:p>
          <w:p>
            <w:pPr>
              <w:pStyle w:val="32"/>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地址：</w:t>
            </w:r>
          </w:p>
          <w:p>
            <w:pPr>
              <w:pStyle w:val="32"/>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电话：</w:t>
            </w:r>
          </w:p>
          <w:p>
            <w:pPr>
              <w:pStyle w:val="32"/>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传真：</w:t>
            </w:r>
          </w:p>
          <w:p>
            <w:pPr>
              <w:pStyle w:val="32"/>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邮编：</w:t>
            </w:r>
          </w:p>
          <w:p>
            <w:pPr>
              <w:pStyle w:val="32"/>
              <w:spacing w:line="400" w:lineRule="exact"/>
              <w:ind w:left="0" w:leftChars="0" w:firstLine="0" w:firstLineChars="0"/>
              <w:jc w:val="left"/>
              <w:rPr>
                <w:rFonts w:ascii="宋体" w:hAnsi="宋体"/>
                <w:kern w:val="2"/>
                <w:sz w:val="24"/>
                <w:szCs w:val="24"/>
              </w:rPr>
            </w:pPr>
          </w:p>
        </w:tc>
        <w:tc>
          <w:tcPr>
            <w:tcW w:w="4775" w:type="dxa"/>
          </w:tcPr>
          <w:p>
            <w:pPr>
              <w:pStyle w:val="32"/>
              <w:spacing w:line="400" w:lineRule="exact"/>
              <w:ind w:left="0" w:leftChars="0" w:firstLine="0" w:firstLineChars="0"/>
              <w:jc w:val="left"/>
              <w:rPr>
                <w:rFonts w:ascii="宋体" w:hAnsi="宋体"/>
                <w:kern w:val="2"/>
                <w:sz w:val="24"/>
                <w:szCs w:val="24"/>
              </w:rPr>
            </w:pPr>
          </w:p>
          <w:p>
            <w:pPr>
              <w:pStyle w:val="32"/>
              <w:spacing w:line="240" w:lineRule="auto"/>
              <w:ind w:left="0" w:leftChars="0" w:firstLine="0" w:firstLineChars="0"/>
              <w:jc w:val="left"/>
              <w:rPr>
                <w:rFonts w:ascii="宋体" w:hAnsi="宋体" w:cs="宋体"/>
                <w:b/>
                <w:bCs/>
                <w:kern w:val="2"/>
                <w:sz w:val="30"/>
                <w:szCs w:val="30"/>
              </w:rPr>
            </w:pPr>
            <w:r>
              <w:rPr>
                <w:rFonts w:hint="eastAsia" w:ascii="宋体" w:hAnsi="宋体" w:cs="宋体"/>
                <w:b/>
                <w:bCs/>
                <w:kern w:val="2"/>
                <w:sz w:val="30"/>
                <w:szCs w:val="30"/>
              </w:rPr>
              <w:t>电子版投标文件</w:t>
            </w:r>
          </w:p>
          <w:p>
            <w:pPr>
              <w:pStyle w:val="32"/>
              <w:spacing w:line="240" w:lineRule="auto"/>
              <w:ind w:left="0" w:leftChars="0" w:firstLine="0" w:firstLineChars="0"/>
              <w:jc w:val="left"/>
              <w:rPr>
                <w:rFonts w:ascii="宋体" w:hAnsi="宋体" w:cs="宋体"/>
                <w:b/>
                <w:bCs/>
                <w:kern w:val="2"/>
                <w:sz w:val="30"/>
                <w:szCs w:val="30"/>
              </w:rPr>
            </w:pPr>
          </w:p>
          <w:p>
            <w:pPr>
              <w:pStyle w:val="32"/>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项目名称：</w:t>
            </w:r>
          </w:p>
          <w:p>
            <w:pPr>
              <w:pStyle w:val="32"/>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投标方名称（公章）：</w:t>
            </w:r>
          </w:p>
          <w:p>
            <w:pPr>
              <w:pStyle w:val="32"/>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地址：</w:t>
            </w:r>
          </w:p>
          <w:p>
            <w:pPr>
              <w:pStyle w:val="32"/>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电话：</w:t>
            </w:r>
          </w:p>
          <w:p>
            <w:pPr>
              <w:pStyle w:val="32"/>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传真：</w:t>
            </w:r>
          </w:p>
          <w:p>
            <w:pPr>
              <w:pStyle w:val="32"/>
              <w:spacing w:line="240" w:lineRule="auto"/>
              <w:ind w:left="0" w:leftChars="0" w:firstLine="0" w:firstLineChars="0"/>
              <w:jc w:val="left"/>
              <w:rPr>
                <w:rFonts w:ascii="宋体" w:hAnsi="宋体"/>
                <w:kern w:val="2"/>
                <w:sz w:val="24"/>
                <w:szCs w:val="24"/>
              </w:rPr>
            </w:pPr>
            <w:r>
              <w:rPr>
                <w:rFonts w:hint="eastAsia" w:ascii="宋体" w:hAnsi="宋体" w:cs="宋体"/>
                <w:kern w:val="2"/>
                <w:sz w:val="24"/>
                <w:szCs w:val="24"/>
              </w:rPr>
              <w:t>邮编：</w:t>
            </w:r>
          </w:p>
        </w:tc>
      </w:tr>
    </w:tbl>
    <w:p>
      <w:pPr>
        <w:pStyle w:val="32"/>
        <w:spacing w:line="240" w:lineRule="auto"/>
        <w:ind w:left="1747" w:firstLine="412"/>
        <w:rPr>
          <w:rFonts w:ascii="宋体" w:hAnsi="宋体"/>
        </w:rPr>
      </w:pPr>
    </w:p>
    <w:p>
      <w:pPr>
        <w:pStyle w:val="32"/>
        <w:spacing w:line="240" w:lineRule="auto"/>
        <w:ind w:left="0" w:leftChars="0" w:firstLine="0" w:firstLineChars="0"/>
        <w:rPr>
          <w:rFonts w:ascii="宋体" w:hAnsi="宋体"/>
          <w:b/>
          <w:bCs/>
          <w:sz w:val="32"/>
          <w:szCs w:val="32"/>
        </w:rPr>
      </w:pPr>
      <w:r>
        <w:rPr>
          <w:rFonts w:hint="eastAsia" w:ascii="宋体" w:hAnsi="宋体" w:cs="宋体"/>
          <w:b/>
          <w:bCs/>
          <w:sz w:val="32"/>
          <w:szCs w:val="32"/>
        </w:rPr>
        <w:t>封口格式：</w:t>
      </w:r>
    </w:p>
    <w:tbl>
      <w:tblPr>
        <w:tblStyle w:val="7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9168" w:type="dxa"/>
            <w:vAlign w:val="center"/>
          </w:tcPr>
          <w:p>
            <w:pPr>
              <w:pStyle w:val="32"/>
              <w:spacing w:line="240" w:lineRule="auto"/>
              <w:ind w:left="0" w:leftChars="0" w:firstLine="0" w:firstLineChars="0"/>
              <w:rPr>
                <w:rFonts w:ascii="宋体" w:hAnsi="宋体"/>
                <w:kern w:val="2"/>
                <w:sz w:val="24"/>
                <w:szCs w:val="24"/>
              </w:rPr>
            </w:pPr>
            <w:r>
              <w:rPr>
                <w:rFonts w:hint="eastAsia" w:ascii="宋体" w:hAnsi="宋体" w:cs="宋体"/>
                <w:kern w:val="2"/>
                <w:sz w:val="24"/>
                <w:szCs w:val="24"/>
              </w:rPr>
              <w:t>……………………于</w:t>
            </w:r>
            <w:r>
              <w:rPr>
                <w:rFonts w:ascii="宋体" w:hAnsi="宋体" w:cs="宋体"/>
                <w:kern w:val="2"/>
                <w:sz w:val="24"/>
                <w:szCs w:val="24"/>
              </w:rPr>
              <w:t>年</w:t>
            </w:r>
            <w:r>
              <w:rPr>
                <w:rFonts w:hint="eastAsia" w:ascii="宋体" w:hAnsi="宋体" w:cs="宋体"/>
                <w:kern w:val="2"/>
                <w:sz w:val="24"/>
                <w:szCs w:val="24"/>
              </w:rPr>
              <w:t>月日时之前不准启封（公章）…………………</w:t>
            </w:r>
          </w:p>
        </w:tc>
      </w:tr>
    </w:tbl>
    <w:p>
      <w:pPr>
        <w:pStyle w:val="32"/>
        <w:spacing w:line="240" w:lineRule="auto"/>
        <w:ind w:left="0" w:leftChars="0" w:firstLine="0" w:firstLineChars="0"/>
        <w:rPr>
          <w:rFonts w:ascii="宋体" w:hAnsi="宋体"/>
        </w:rPr>
      </w:pPr>
    </w:p>
    <w:p/>
    <w:p>
      <w:pPr>
        <w:pStyle w:val="5"/>
        <w:spacing w:before="120" w:after="120" w:line="360" w:lineRule="exact"/>
        <w:rPr>
          <w:rFonts w:ascii="宋体" w:hAnsi="宋体"/>
          <w:sz w:val="24"/>
          <w:szCs w:val="24"/>
        </w:rPr>
      </w:pPr>
    </w:p>
    <w:sectPr>
      <w:pgSz w:w="11907" w:h="16840"/>
      <w:pgMar w:top="1785" w:right="1418" w:bottom="1418" w:left="1418" w:header="724" w:footer="851" w:gutter="0"/>
      <w:cols w:space="720" w:num="1"/>
      <w:docGrid w:linePitch="290" w:charSpace="-39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方正大标宋简体">
    <w:altName w:val="Arial Unicode MS"/>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文鼎大标宋简">
    <w:altName w:val="宋体"/>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TimesNewRomanPSMT">
    <w:altName w:val="Times New Roman"/>
    <w:panose1 w:val="00000000000000000000"/>
    <w:charset w:val="00"/>
    <w:family w:val="roman"/>
    <w:pitch w:val="default"/>
    <w:sig w:usb0="00000000" w:usb1="00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fldChar w:fldCharType="begin"/>
    </w:r>
    <w:r>
      <w:instrText xml:space="preserve"> PAGE   \* MERGEFORMAT </w:instrText>
    </w:r>
    <w:r>
      <w:fldChar w:fldCharType="separate"/>
    </w:r>
    <w:r>
      <w:rPr>
        <w:lang w:val="zh-CN"/>
      </w:rPr>
      <w:t>55</w:t>
    </w:r>
    <w:r>
      <w:rPr>
        <w:lang w:val="zh-CN"/>
      </w:rPr>
      <w:fldChar w:fldCharType="end"/>
    </w:r>
  </w:p>
  <w:p>
    <w:pPr>
      <w:pStyle w:val="4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
    <w:nsid w:val="0053208E"/>
    <w:multiLevelType w:val="multilevel"/>
    <w:tmpl w:val="0053208E"/>
    <w:lvl w:ilvl="0" w:tentative="0">
      <w:start w:val="1"/>
      <w:numFmt w:val="bullet"/>
      <w:pStyle w:val="159"/>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229F5DE5"/>
    <w:multiLevelType w:val="multilevel"/>
    <w:tmpl w:val="229F5DE5"/>
    <w:lvl w:ilvl="0" w:tentative="0">
      <w:start w:val="3"/>
      <w:numFmt w:val="decimal"/>
      <w:pStyle w:val="42"/>
      <w:lvlText w:val="%1．"/>
      <w:lvlJc w:val="left"/>
      <w:pPr>
        <w:tabs>
          <w:tab w:val="left" w:pos="360"/>
        </w:tabs>
        <w:ind w:left="360" w:hanging="360"/>
      </w:pPr>
      <w:rPr>
        <w:rFonts w:hint="default" w:cs="Times New Roman"/>
      </w:rPr>
    </w:lvl>
    <w:lvl w:ilvl="1" w:tentative="0">
      <w:start w:val="1"/>
      <w:numFmt w:val="lowerLetter"/>
      <w:pStyle w:val="234"/>
      <w:lvlText w:val="%2)"/>
      <w:lvlJc w:val="left"/>
      <w:pPr>
        <w:tabs>
          <w:tab w:val="left" w:pos="840"/>
        </w:tabs>
        <w:ind w:left="840" w:hanging="420"/>
      </w:pPr>
      <w:rPr>
        <w:rFonts w:cs="Times New Roman"/>
      </w:rPr>
    </w:lvl>
    <w:lvl w:ilvl="2" w:tentative="0">
      <w:start w:val="1"/>
      <w:numFmt w:val="lowerRoman"/>
      <w:pStyle w:val="237"/>
      <w:lvlText w:val="%3."/>
      <w:lvlJc w:val="right"/>
      <w:pPr>
        <w:tabs>
          <w:tab w:val="left" w:pos="1260"/>
        </w:tabs>
        <w:ind w:left="1260" w:hanging="420"/>
      </w:pPr>
      <w:rPr>
        <w:rFonts w:cs="Times New Roman"/>
      </w:rPr>
    </w:lvl>
    <w:lvl w:ilvl="3" w:tentative="0">
      <w:start w:val="1"/>
      <w:numFmt w:val="decimal"/>
      <w:pStyle w:val="162"/>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pStyle w:val="166"/>
      <w:lvlText w:val="%6."/>
      <w:lvlJc w:val="right"/>
      <w:pPr>
        <w:tabs>
          <w:tab w:val="left" w:pos="2520"/>
        </w:tabs>
        <w:ind w:left="2520" w:hanging="420"/>
      </w:pPr>
      <w:rPr>
        <w:rFonts w:cs="Times New Roman"/>
      </w:rPr>
    </w:lvl>
    <w:lvl w:ilvl="6" w:tentative="0">
      <w:start w:val="1"/>
      <w:numFmt w:val="decimal"/>
      <w:pStyle w:val="141"/>
      <w:lvlText w:val="%7."/>
      <w:lvlJc w:val="left"/>
      <w:pPr>
        <w:tabs>
          <w:tab w:val="left" w:pos="2940"/>
        </w:tabs>
        <w:ind w:left="2940" w:hanging="420"/>
      </w:pPr>
      <w:rPr>
        <w:rFonts w:cs="Times New Roman"/>
      </w:rPr>
    </w:lvl>
    <w:lvl w:ilvl="7" w:tentative="0">
      <w:start w:val="1"/>
      <w:numFmt w:val="lowerLetter"/>
      <w:pStyle w:val="239"/>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29A4FF83"/>
    <w:multiLevelType w:val="singleLevel"/>
    <w:tmpl w:val="29A4FF83"/>
    <w:lvl w:ilvl="0" w:tentative="0">
      <w:start w:val="1"/>
      <w:numFmt w:val="decimal"/>
      <w:lvlText w:val="%1."/>
      <w:lvlJc w:val="left"/>
      <w:pPr>
        <w:tabs>
          <w:tab w:val="left" w:pos="312"/>
        </w:tabs>
      </w:pPr>
    </w:lvl>
  </w:abstractNum>
  <w:abstractNum w:abstractNumId="4">
    <w:nsid w:val="53F7654C"/>
    <w:multiLevelType w:val="multilevel"/>
    <w:tmpl w:val="53F7654C"/>
    <w:lvl w:ilvl="0" w:tentative="0">
      <w:start w:val="1"/>
      <w:numFmt w:val="decimal"/>
      <w:lvlText w:val="%1、"/>
      <w:lvlJc w:val="left"/>
      <w:pPr>
        <w:tabs>
          <w:tab w:val="left" w:pos="360"/>
        </w:tabs>
        <w:ind w:left="360" w:hanging="360"/>
      </w:pPr>
      <w:rPr>
        <w:rFonts w:hint="default" w:cs="Times New Roman"/>
      </w:rPr>
    </w:lvl>
    <w:lvl w:ilvl="1" w:tentative="0">
      <w:start w:val="1"/>
      <w:numFmt w:val="lowerLetter"/>
      <w:pStyle w:val="151"/>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5">
    <w:nsid w:val="5CBF4B38"/>
    <w:multiLevelType w:val="singleLevel"/>
    <w:tmpl w:val="5CBF4B38"/>
    <w:lvl w:ilvl="0" w:tentative="0">
      <w:start w:val="1"/>
      <w:numFmt w:val="bullet"/>
      <w:pStyle w:val="165"/>
      <w:lvlText w:val="-"/>
      <w:lvlJc w:val="left"/>
      <w:pPr>
        <w:tabs>
          <w:tab w:val="left" w:pos="360"/>
        </w:tabs>
        <w:ind w:left="360" w:hanging="360"/>
      </w:pPr>
      <w:rPr>
        <w:sz w:val="16"/>
      </w:rPr>
    </w:lvl>
  </w:abstractNum>
  <w:abstractNum w:abstractNumId="6">
    <w:nsid w:val="5D7A57DD"/>
    <w:multiLevelType w:val="multilevel"/>
    <w:tmpl w:val="5D7A57DD"/>
    <w:lvl w:ilvl="0" w:tentative="0">
      <w:start w:val="1"/>
      <w:numFmt w:val="decimal"/>
      <w:lvlText w:val="%1、"/>
      <w:lvlJc w:val="left"/>
      <w:pPr>
        <w:tabs>
          <w:tab w:val="left" w:pos="840"/>
        </w:tabs>
        <w:ind w:left="840" w:hanging="360"/>
      </w:pPr>
      <w:rPr>
        <w:rFonts w:hint="default"/>
      </w:rPr>
    </w:lvl>
    <w:lvl w:ilvl="1" w:tentative="0">
      <w:start w:val="1"/>
      <w:numFmt w:val="lowerLetter"/>
      <w:pStyle w:val="249"/>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7">
    <w:nsid w:val="6E07623C"/>
    <w:multiLevelType w:val="multilevel"/>
    <w:tmpl w:val="6E07623C"/>
    <w:lvl w:ilvl="0" w:tentative="0">
      <w:start w:val="1"/>
      <w:numFmt w:val="japaneseCounting"/>
      <w:lvlText w:val="%1、"/>
      <w:lvlJc w:val="left"/>
      <w:pPr>
        <w:tabs>
          <w:tab w:val="left" w:pos="1140"/>
        </w:tabs>
        <w:ind w:left="1140" w:hanging="720"/>
      </w:pPr>
      <w:rPr>
        <w:rFonts w:hint="eastAsia" w:cs="Times New Roman"/>
      </w:rPr>
    </w:lvl>
    <w:lvl w:ilvl="1" w:tentative="0">
      <w:start w:val="1"/>
      <w:numFmt w:val="decimal"/>
      <w:lvlText w:val="%2."/>
      <w:lvlJc w:val="left"/>
      <w:pPr>
        <w:tabs>
          <w:tab w:val="left" w:pos="1605"/>
        </w:tabs>
        <w:ind w:left="1605" w:hanging="765"/>
      </w:pPr>
      <w:rPr>
        <w:rFonts w:hint="eastAsia" w:cs="Times New Roman"/>
      </w:rPr>
    </w:lvl>
    <w:lvl w:ilvl="2" w:tentative="0">
      <w:start w:val="1"/>
      <w:numFmt w:val="decimal"/>
      <w:lvlText w:val="%3．"/>
      <w:lvlJc w:val="left"/>
      <w:pPr>
        <w:tabs>
          <w:tab w:val="left" w:pos="1980"/>
        </w:tabs>
        <w:ind w:left="1980" w:hanging="720"/>
      </w:pPr>
      <w:rPr>
        <w:rFonts w:hint="eastAsia" w:cs="Times New Roman"/>
      </w:rPr>
    </w:lvl>
    <w:lvl w:ilvl="3" w:tentative="0">
      <w:start w:val="1"/>
      <w:numFmt w:val="upperLetter"/>
      <w:lvlText w:val="%4、"/>
      <w:lvlJc w:val="left"/>
      <w:pPr>
        <w:tabs>
          <w:tab w:val="left" w:pos="2400"/>
        </w:tabs>
        <w:ind w:left="2400" w:hanging="720"/>
      </w:pPr>
      <w:rPr>
        <w:rFonts w:hint="eastAsia" w:cs="Times New Roman"/>
      </w:rPr>
    </w:lvl>
    <w:lvl w:ilvl="4" w:tentative="0">
      <w:start w:val="1"/>
      <w:numFmt w:val="lowerLetter"/>
      <w:lvlText w:val="%5)"/>
      <w:lvlJc w:val="left"/>
      <w:pPr>
        <w:tabs>
          <w:tab w:val="left" w:pos="2520"/>
        </w:tabs>
        <w:ind w:left="2520" w:hanging="420"/>
      </w:pPr>
      <w:rPr>
        <w:rFonts w:cs="Times New Roman"/>
      </w:rPr>
    </w:lvl>
    <w:lvl w:ilvl="5" w:tentative="0">
      <w:start w:val="1"/>
      <w:numFmt w:val="lowerRoman"/>
      <w:lvlText w:val="%6."/>
      <w:lvlJc w:val="right"/>
      <w:pPr>
        <w:tabs>
          <w:tab w:val="left" w:pos="2940"/>
        </w:tabs>
        <w:ind w:left="2940" w:hanging="420"/>
      </w:pPr>
      <w:rPr>
        <w:rFonts w:cs="Times New Roman"/>
      </w:rPr>
    </w:lvl>
    <w:lvl w:ilvl="6" w:tentative="0">
      <w:start w:val="1"/>
      <w:numFmt w:val="decimal"/>
      <w:lvlText w:val="%7."/>
      <w:lvlJc w:val="left"/>
      <w:pPr>
        <w:tabs>
          <w:tab w:val="left" w:pos="3360"/>
        </w:tabs>
        <w:ind w:left="3360" w:hanging="420"/>
      </w:pPr>
      <w:rPr>
        <w:rFonts w:cs="Times New Roman"/>
      </w:rPr>
    </w:lvl>
    <w:lvl w:ilvl="7" w:tentative="0">
      <w:start w:val="1"/>
      <w:numFmt w:val="lowerLetter"/>
      <w:lvlText w:val="%8)"/>
      <w:lvlJc w:val="left"/>
      <w:pPr>
        <w:tabs>
          <w:tab w:val="left" w:pos="3780"/>
        </w:tabs>
        <w:ind w:left="3780" w:hanging="420"/>
      </w:pPr>
      <w:rPr>
        <w:rFonts w:cs="Times New Roman"/>
      </w:rPr>
    </w:lvl>
    <w:lvl w:ilvl="8" w:tentative="0">
      <w:start w:val="1"/>
      <w:numFmt w:val="lowerRoman"/>
      <w:lvlText w:val="%9."/>
      <w:lvlJc w:val="right"/>
      <w:pPr>
        <w:tabs>
          <w:tab w:val="left" w:pos="4200"/>
        </w:tabs>
        <w:ind w:left="4200" w:hanging="420"/>
      </w:pPr>
      <w:rPr>
        <w:rFonts w:cs="Times New Roman"/>
      </w:rPr>
    </w:lvl>
  </w:abstractNum>
  <w:num w:numId="1">
    <w:abstractNumId w:val="2"/>
  </w:num>
  <w:num w:numId="2">
    <w:abstractNumId w:val="4"/>
  </w:num>
  <w:num w:numId="3">
    <w:abstractNumId w:val="1"/>
  </w:num>
  <w:num w:numId="4">
    <w:abstractNumId w:val="5"/>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oNotHyphenateCaps/>
  <w:drawingGridHorizontalSpacing w:val="191"/>
  <w:drawingGridVerticalSpacing w:val="145"/>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jA3MjRkZTcwNjVhMmUwMDJjMWUwZGM1M2I0MzhjMzgifQ=="/>
  </w:docVars>
  <w:rsids>
    <w:rsidRoot w:val="00B9162F"/>
    <w:rsid w:val="000009EA"/>
    <w:rsid w:val="00002009"/>
    <w:rsid w:val="00002033"/>
    <w:rsid w:val="00002350"/>
    <w:rsid w:val="000027CE"/>
    <w:rsid w:val="00003140"/>
    <w:rsid w:val="00003C74"/>
    <w:rsid w:val="00003D85"/>
    <w:rsid w:val="00006123"/>
    <w:rsid w:val="000066A8"/>
    <w:rsid w:val="00007080"/>
    <w:rsid w:val="000070BA"/>
    <w:rsid w:val="00007373"/>
    <w:rsid w:val="00007867"/>
    <w:rsid w:val="00007958"/>
    <w:rsid w:val="00007C4C"/>
    <w:rsid w:val="00007F75"/>
    <w:rsid w:val="0001010F"/>
    <w:rsid w:val="000107DF"/>
    <w:rsid w:val="00010AF1"/>
    <w:rsid w:val="00010B83"/>
    <w:rsid w:val="00010C65"/>
    <w:rsid w:val="000110E0"/>
    <w:rsid w:val="00012350"/>
    <w:rsid w:val="00012AD5"/>
    <w:rsid w:val="00012D90"/>
    <w:rsid w:val="00012F69"/>
    <w:rsid w:val="0001316F"/>
    <w:rsid w:val="000132D4"/>
    <w:rsid w:val="00013F12"/>
    <w:rsid w:val="00013F6C"/>
    <w:rsid w:val="00014205"/>
    <w:rsid w:val="000146C2"/>
    <w:rsid w:val="00015085"/>
    <w:rsid w:val="00015188"/>
    <w:rsid w:val="000154D7"/>
    <w:rsid w:val="00015F0B"/>
    <w:rsid w:val="00016B7F"/>
    <w:rsid w:val="00016FFA"/>
    <w:rsid w:val="00017221"/>
    <w:rsid w:val="0001728C"/>
    <w:rsid w:val="000175BE"/>
    <w:rsid w:val="00017880"/>
    <w:rsid w:val="00020067"/>
    <w:rsid w:val="0002130D"/>
    <w:rsid w:val="0002169C"/>
    <w:rsid w:val="000216B9"/>
    <w:rsid w:val="000222C4"/>
    <w:rsid w:val="00022410"/>
    <w:rsid w:val="00022462"/>
    <w:rsid w:val="000230FC"/>
    <w:rsid w:val="00023291"/>
    <w:rsid w:val="000233AD"/>
    <w:rsid w:val="0002350F"/>
    <w:rsid w:val="00023610"/>
    <w:rsid w:val="00023ED5"/>
    <w:rsid w:val="00024366"/>
    <w:rsid w:val="0002456C"/>
    <w:rsid w:val="0002479A"/>
    <w:rsid w:val="00024840"/>
    <w:rsid w:val="00024854"/>
    <w:rsid w:val="00024AB5"/>
    <w:rsid w:val="00024EE4"/>
    <w:rsid w:val="0002506A"/>
    <w:rsid w:val="00025CF8"/>
    <w:rsid w:val="00026173"/>
    <w:rsid w:val="00026290"/>
    <w:rsid w:val="000267E1"/>
    <w:rsid w:val="00026871"/>
    <w:rsid w:val="000279A8"/>
    <w:rsid w:val="00027BB0"/>
    <w:rsid w:val="00031311"/>
    <w:rsid w:val="00031679"/>
    <w:rsid w:val="000318B5"/>
    <w:rsid w:val="000319A9"/>
    <w:rsid w:val="00031F00"/>
    <w:rsid w:val="000329A4"/>
    <w:rsid w:val="00032B55"/>
    <w:rsid w:val="00032BAF"/>
    <w:rsid w:val="00033020"/>
    <w:rsid w:val="00033562"/>
    <w:rsid w:val="00034281"/>
    <w:rsid w:val="000345A3"/>
    <w:rsid w:val="00034C7F"/>
    <w:rsid w:val="00034D65"/>
    <w:rsid w:val="00034DD1"/>
    <w:rsid w:val="00034DE1"/>
    <w:rsid w:val="00034DFD"/>
    <w:rsid w:val="000350C2"/>
    <w:rsid w:val="000352BA"/>
    <w:rsid w:val="0003571A"/>
    <w:rsid w:val="00035833"/>
    <w:rsid w:val="00035CEB"/>
    <w:rsid w:val="0003624D"/>
    <w:rsid w:val="00036624"/>
    <w:rsid w:val="00036707"/>
    <w:rsid w:val="0003772C"/>
    <w:rsid w:val="00037A2B"/>
    <w:rsid w:val="00037B8E"/>
    <w:rsid w:val="00040C8C"/>
    <w:rsid w:val="00040F52"/>
    <w:rsid w:val="00041204"/>
    <w:rsid w:val="00041249"/>
    <w:rsid w:val="00041C7D"/>
    <w:rsid w:val="000426F9"/>
    <w:rsid w:val="00042716"/>
    <w:rsid w:val="00042F7C"/>
    <w:rsid w:val="000434AA"/>
    <w:rsid w:val="000435A1"/>
    <w:rsid w:val="00043EA2"/>
    <w:rsid w:val="00043F53"/>
    <w:rsid w:val="0004438B"/>
    <w:rsid w:val="000448E4"/>
    <w:rsid w:val="00045404"/>
    <w:rsid w:val="000455C4"/>
    <w:rsid w:val="00045774"/>
    <w:rsid w:val="00046208"/>
    <w:rsid w:val="00046A50"/>
    <w:rsid w:val="00046D8A"/>
    <w:rsid w:val="00046F00"/>
    <w:rsid w:val="00046F1B"/>
    <w:rsid w:val="00047180"/>
    <w:rsid w:val="0004719A"/>
    <w:rsid w:val="000471EC"/>
    <w:rsid w:val="00047582"/>
    <w:rsid w:val="000478F5"/>
    <w:rsid w:val="000503C1"/>
    <w:rsid w:val="000508F9"/>
    <w:rsid w:val="0005095A"/>
    <w:rsid w:val="00050C78"/>
    <w:rsid w:val="00050D52"/>
    <w:rsid w:val="00052447"/>
    <w:rsid w:val="000524A5"/>
    <w:rsid w:val="000525EB"/>
    <w:rsid w:val="00052AAC"/>
    <w:rsid w:val="000533A2"/>
    <w:rsid w:val="00053C01"/>
    <w:rsid w:val="00054386"/>
    <w:rsid w:val="000544A9"/>
    <w:rsid w:val="000546B1"/>
    <w:rsid w:val="000549AA"/>
    <w:rsid w:val="00054DBF"/>
    <w:rsid w:val="00054E7E"/>
    <w:rsid w:val="00055043"/>
    <w:rsid w:val="000557E4"/>
    <w:rsid w:val="000557FE"/>
    <w:rsid w:val="000559CF"/>
    <w:rsid w:val="00055A2F"/>
    <w:rsid w:val="00055BF8"/>
    <w:rsid w:val="00056BAC"/>
    <w:rsid w:val="00056C57"/>
    <w:rsid w:val="00056D9E"/>
    <w:rsid w:val="00060555"/>
    <w:rsid w:val="00060975"/>
    <w:rsid w:val="0006100D"/>
    <w:rsid w:val="0006144D"/>
    <w:rsid w:val="00061477"/>
    <w:rsid w:val="00061AB5"/>
    <w:rsid w:val="00062007"/>
    <w:rsid w:val="0006264A"/>
    <w:rsid w:val="00062ADB"/>
    <w:rsid w:val="00064C64"/>
    <w:rsid w:val="000650E5"/>
    <w:rsid w:val="000651F7"/>
    <w:rsid w:val="00065ED1"/>
    <w:rsid w:val="00066261"/>
    <w:rsid w:val="0006648F"/>
    <w:rsid w:val="000668CA"/>
    <w:rsid w:val="00066DEF"/>
    <w:rsid w:val="0006738C"/>
    <w:rsid w:val="00067493"/>
    <w:rsid w:val="00067AEC"/>
    <w:rsid w:val="00070205"/>
    <w:rsid w:val="000703B4"/>
    <w:rsid w:val="00070D6B"/>
    <w:rsid w:val="00071163"/>
    <w:rsid w:val="000716E2"/>
    <w:rsid w:val="0007186A"/>
    <w:rsid w:val="000719ED"/>
    <w:rsid w:val="00071A6C"/>
    <w:rsid w:val="00072497"/>
    <w:rsid w:val="0007255D"/>
    <w:rsid w:val="00072965"/>
    <w:rsid w:val="00073178"/>
    <w:rsid w:val="000731EE"/>
    <w:rsid w:val="0007345D"/>
    <w:rsid w:val="000737CF"/>
    <w:rsid w:val="0007576A"/>
    <w:rsid w:val="0007590B"/>
    <w:rsid w:val="00075D21"/>
    <w:rsid w:val="0007642E"/>
    <w:rsid w:val="0007697F"/>
    <w:rsid w:val="000769BA"/>
    <w:rsid w:val="00076C5A"/>
    <w:rsid w:val="00077566"/>
    <w:rsid w:val="0007764A"/>
    <w:rsid w:val="00077754"/>
    <w:rsid w:val="0007775E"/>
    <w:rsid w:val="00077888"/>
    <w:rsid w:val="0008005E"/>
    <w:rsid w:val="00080965"/>
    <w:rsid w:val="00081462"/>
    <w:rsid w:val="00081F56"/>
    <w:rsid w:val="00081FE6"/>
    <w:rsid w:val="00082191"/>
    <w:rsid w:val="000822B6"/>
    <w:rsid w:val="000823C8"/>
    <w:rsid w:val="00082719"/>
    <w:rsid w:val="000827EC"/>
    <w:rsid w:val="00082A06"/>
    <w:rsid w:val="0008312C"/>
    <w:rsid w:val="000835DC"/>
    <w:rsid w:val="00083B66"/>
    <w:rsid w:val="00083C98"/>
    <w:rsid w:val="00083E13"/>
    <w:rsid w:val="00084395"/>
    <w:rsid w:val="0008495C"/>
    <w:rsid w:val="00084C50"/>
    <w:rsid w:val="0008520E"/>
    <w:rsid w:val="00085895"/>
    <w:rsid w:val="0008607A"/>
    <w:rsid w:val="00086409"/>
    <w:rsid w:val="00086F32"/>
    <w:rsid w:val="00087790"/>
    <w:rsid w:val="00087A0D"/>
    <w:rsid w:val="00087EDB"/>
    <w:rsid w:val="0009000E"/>
    <w:rsid w:val="0009162A"/>
    <w:rsid w:val="00091E02"/>
    <w:rsid w:val="00092581"/>
    <w:rsid w:val="00093A61"/>
    <w:rsid w:val="00093CAE"/>
    <w:rsid w:val="000943A0"/>
    <w:rsid w:val="0009481E"/>
    <w:rsid w:val="00094F8C"/>
    <w:rsid w:val="000955F3"/>
    <w:rsid w:val="0009573C"/>
    <w:rsid w:val="000963D3"/>
    <w:rsid w:val="000974FB"/>
    <w:rsid w:val="00097F0C"/>
    <w:rsid w:val="000A01B4"/>
    <w:rsid w:val="000A054E"/>
    <w:rsid w:val="000A0933"/>
    <w:rsid w:val="000A0AC8"/>
    <w:rsid w:val="000A0EDF"/>
    <w:rsid w:val="000A1162"/>
    <w:rsid w:val="000A11F7"/>
    <w:rsid w:val="000A123A"/>
    <w:rsid w:val="000A153B"/>
    <w:rsid w:val="000A1957"/>
    <w:rsid w:val="000A1D61"/>
    <w:rsid w:val="000A22DD"/>
    <w:rsid w:val="000A3066"/>
    <w:rsid w:val="000A30DF"/>
    <w:rsid w:val="000A33F3"/>
    <w:rsid w:val="000A4279"/>
    <w:rsid w:val="000A43CC"/>
    <w:rsid w:val="000A446B"/>
    <w:rsid w:val="000A4E21"/>
    <w:rsid w:val="000A501B"/>
    <w:rsid w:val="000A5966"/>
    <w:rsid w:val="000A59D6"/>
    <w:rsid w:val="000A5B54"/>
    <w:rsid w:val="000A6404"/>
    <w:rsid w:val="000A6D07"/>
    <w:rsid w:val="000A738D"/>
    <w:rsid w:val="000A7A27"/>
    <w:rsid w:val="000A7B1B"/>
    <w:rsid w:val="000B05E1"/>
    <w:rsid w:val="000B0837"/>
    <w:rsid w:val="000B0DC1"/>
    <w:rsid w:val="000B15E3"/>
    <w:rsid w:val="000B1AE1"/>
    <w:rsid w:val="000B1E62"/>
    <w:rsid w:val="000B2160"/>
    <w:rsid w:val="000B22F9"/>
    <w:rsid w:val="000B235B"/>
    <w:rsid w:val="000B2D0E"/>
    <w:rsid w:val="000B31E3"/>
    <w:rsid w:val="000B32ED"/>
    <w:rsid w:val="000B33BA"/>
    <w:rsid w:val="000B3C69"/>
    <w:rsid w:val="000B403D"/>
    <w:rsid w:val="000B4653"/>
    <w:rsid w:val="000B46A8"/>
    <w:rsid w:val="000B47E5"/>
    <w:rsid w:val="000B499E"/>
    <w:rsid w:val="000B5380"/>
    <w:rsid w:val="000B5F78"/>
    <w:rsid w:val="000B68A8"/>
    <w:rsid w:val="000B6CFE"/>
    <w:rsid w:val="000B6F17"/>
    <w:rsid w:val="000B74F9"/>
    <w:rsid w:val="000B796D"/>
    <w:rsid w:val="000C0035"/>
    <w:rsid w:val="000C013C"/>
    <w:rsid w:val="000C02B3"/>
    <w:rsid w:val="000C0C09"/>
    <w:rsid w:val="000C147E"/>
    <w:rsid w:val="000C1482"/>
    <w:rsid w:val="000C176E"/>
    <w:rsid w:val="000C2810"/>
    <w:rsid w:val="000C290D"/>
    <w:rsid w:val="000C29D9"/>
    <w:rsid w:val="000C2C3A"/>
    <w:rsid w:val="000C321A"/>
    <w:rsid w:val="000C4FDF"/>
    <w:rsid w:val="000C570B"/>
    <w:rsid w:val="000C5CF9"/>
    <w:rsid w:val="000C5F02"/>
    <w:rsid w:val="000C6059"/>
    <w:rsid w:val="000C6443"/>
    <w:rsid w:val="000C646F"/>
    <w:rsid w:val="000C6631"/>
    <w:rsid w:val="000C69EA"/>
    <w:rsid w:val="000C6C9A"/>
    <w:rsid w:val="000C722B"/>
    <w:rsid w:val="000C7332"/>
    <w:rsid w:val="000C7362"/>
    <w:rsid w:val="000C749A"/>
    <w:rsid w:val="000C771F"/>
    <w:rsid w:val="000C773F"/>
    <w:rsid w:val="000C7D3D"/>
    <w:rsid w:val="000C7D67"/>
    <w:rsid w:val="000C7E61"/>
    <w:rsid w:val="000D04BD"/>
    <w:rsid w:val="000D05AB"/>
    <w:rsid w:val="000D1FBB"/>
    <w:rsid w:val="000D2114"/>
    <w:rsid w:val="000D2284"/>
    <w:rsid w:val="000D2CCE"/>
    <w:rsid w:val="000D2D73"/>
    <w:rsid w:val="000D3C96"/>
    <w:rsid w:val="000D568C"/>
    <w:rsid w:val="000D58DE"/>
    <w:rsid w:val="000D59D3"/>
    <w:rsid w:val="000D688A"/>
    <w:rsid w:val="000D6999"/>
    <w:rsid w:val="000D78F9"/>
    <w:rsid w:val="000D7987"/>
    <w:rsid w:val="000E0831"/>
    <w:rsid w:val="000E0C5A"/>
    <w:rsid w:val="000E1280"/>
    <w:rsid w:val="000E1772"/>
    <w:rsid w:val="000E1775"/>
    <w:rsid w:val="000E1A51"/>
    <w:rsid w:val="000E1B8E"/>
    <w:rsid w:val="000E2110"/>
    <w:rsid w:val="000E2215"/>
    <w:rsid w:val="000E2509"/>
    <w:rsid w:val="000E2F0D"/>
    <w:rsid w:val="000E3179"/>
    <w:rsid w:val="000E32FD"/>
    <w:rsid w:val="000E3DCB"/>
    <w:rsid w:val="000E402C"/>
    <w:rsid w:val="000E41B2"/>
    <w:rsid w:val="000E446E"/>
    <w:rsid w:val="000E4631"/>
    <w:rsid w:val="000E4698"/>
    <w:rsid w:val="000E4BEC"/>
    <w:rsid w:val="000E4F3D"/>
    <w:rsid w:val="000E512D"/>
    <w:rsid w:val="000E5658"/>
    <w:rsid w:val="000E5982"/>
    <w:rsid w:val="000E5E86"/>
    <w:rsid w:val="000E60B9"/>
    <w:rsid w:val="000E62A5"/>
    <w:rsid w:val="000E6470"/>
    <w:rsid w:val="000E6715"/>
    <w:rsid w:val="000E6BA2"/>
    <w:rsid w:val="000E6C2C"/>
    <w:rsid w:val="000E72F4"/>
    <w:rsid w:val="000F0B7A"/>
    <w:rsid w:val="000F0DF8"/>
    <w:rsid w:val="000F0E1F"/>
    <w:rsid w:val="000F12D9"/>
    <w:rsid w:val="000F168C"/>
    <w:rsid w:val="000F2474"/>
    <w:rsid w:val="000F2A9B"/>
    <w:rsid w:val="000F2C66"/>
    <w:rsid w:val="000F2E7D"/>
    <w:rsid w:val="000F329D"/>
    <w:rsid w:val="000F35ED"/>
    <w:rsid w:val="000F3602"/>
    <w:rsid w:val="000F3A6A"/>
    <w:rsid w:val="000F4A24"/>
    <w:rsid w:val="000F4FD5"/>
    <w:rsid w:val="000F5110"/>
    <w:rsid w:val="000F5767"/>
    <w:rsid w:val="000F5887"/>
    <w:rsid w:val="000F678D"/>
    <w:rsid w:val="000F6B95"/>
    <w:rsid w:val="000F6DDB"/>
    <w:rsid w:val="000F6E4D"/>
    <w:rsid w:val="000F70F6"/>
    <w:rsid w:val="000F761F"/>
    <w:rsid w:val="000F7931"/>
    <w:rsid w:val="000F7936"/>
    <w:rsid w:val="000F7AF9"/>
    <w:rsid w:val="000F7D31"/>
    <w:rsid w:val="000F7E96"/>
    <w:rsid w:val="00100197"/>
    <w:rsid w:val="001001DD"/>
    <w:rsid w:val="0010073F"/>
    <w:rsid w:val="00100B8B"/>
    <w:rsid w:val="00100C4E"/>
    <w:rsid w:val="001010D2"/>
    <w:rsid w:val="0010134B"/>
    <w:rsid w:val="0010249F"/>
    <w:rsid w:val="00102DD1"/>
    <w:rsid w:val="0010375E"/>
    <w:rsid w:val="00103822"/>
    <w:rsid w:val="0010473F"/>
    <w:rsid w:val="001049A4"/>
    <w:rsid w:val="00104C7A"/>
    <w:rsid w:val="00105030"/>
    <w:rsid w:val="00105095"/>
    <w:rsid w:val="001056B1"/>
    <w:rsid w:val="001057FF"/>
    <w:rsid w:val="00105D64"/>
    <w:rsid w:val="00105DFD"/>
    <w:rsid w:val="00106B63"/>
    <w:rsid w:val="00106C46"/>
    <w:rsid w:val="00106FEC"/>
    <w:rsid w:val="0010722E"/>
    <w:rsid w:val="0010799E"/>
    <w:rsid w:val="0011018F"/>
    <w:rsid w:val="00110694"/>
    <w:rsid w:val="00110C5A"/>
    <w:rsid w:val="00111282"/>
    <w:rsid w:val="00111C97"/>
    <w:rsid w:val="00111CE0"/>
    <w:rsid w:val="00111FDB"/>
    <w:rsid w:val="001123B3"/>
    <w:rsid w:val="001125DB"/>
    <w:rsid w:val="001133A6"/>
    <w:rsid w:val="00113636"/>
    <w:rsid w:val="00113767"/>
    <w:rsid w:val="00113854"/>
    <w:rsid w:val="001139C1"/>
    <w:rsid w:val="00113B8A"/>
    <w:rsid w:val="00113F6B"/>
    <w:rsid w:val="00114FD4"/>
    <w:rsid w:val="001152B2"/>
    <w:rsid w:val="001157D9"/>
    <w:rsid w:val="00115FCD"/>
    <w:rsid w:val="00116101"/>
    <w:rsid w:val="00116BA9"/>
    <w:rsid w:val="00116CA9"/>
    <w:rsid w:val="0011731A"/>
    <w:rsid w:val="0011740B"/>
    <w:rsid w:val="00117875"/>
    <w:rsid w:val="00117982"/>
    <w:rsid w:val="00117DC0"/>
    <w:rsid w:val="00120692"/>
    <w:rsid w:val="00120B4D"/>
    <w:rsid w:val="00120D04"/>
    <w:rsid w:val="00120FD8"/>
    <w:rsid w:val="001213E1"/>
    <w:rsid w:val="001218A2"/>
    <w:rsid w:val="001221B5"/>
    <w:rsid w:val="00122D7E"/>
    <w:rsid w:val="001233F4"/>
    <w:rsid w:val="00123640"/>
    <w:rsid w:val="00123851"/>
    <w:rsid w:val="00123868"/>
    <w:rsid w:val="00123DEE"/>
    <w:rsid w:val="0012413C"/>
    <w:rsid w:val="001241BC"/>
    <w:rsid w:val="00124260"/>
    <w:rsid w:val="00124649"/>
    <w:rsid w:val="001246EC"/>
    <w:rsid w:val="001247C0"/>
    <w:rsid w:val="001247C3"/>
    <w:rsid w:val="00124BA4"/>
    <w:rsid w:val="00125452"/>
    <w:rsid w:val="00125724"/>
    <w:rsid w:val="00125778"/>
    <w:rsid w:val="0012583B"/>
    <w:rsid w:val="001261B5"/>
    <w:rsid w:val="001261C1"/>
    <w:rsid w:val="00126510"/>
    <w:rsid w:val="001265BF"/>
    <w:rsid w:val="0012679D"/>
    <w:rsid w:val="00126A07"/>
    <w:rsid w:val="001270D7"/>
    <w:rsid w:val="00127B8D"/>
    <w:rsid w:val="00131599"/>
    <w:rsid w:val="001318FC"/>
    <w:rsid w:val="00131AA2"/>
    <w:rsid w:val="00131B54"/>
    <w:rsid w:val="00131DD7"/>
    <w:rsid w:val="0013224E"/>
    <w:rsid w:val="001322AA"/>
    <w:rsid w:val="00132491"/>
    <w:rsid w:val="00132A51"/>
    <w:rsid w:val="00132ACC"/>
    <w:rsid w:val="00133114"/>
    <w:rsid w:val="00134044"/>
    <w:rsid w:val="00134C7A"/>
    <w:rsid w:val="001351CB"/>
    <w:rsid w:val="001352DE"/>
    <w:rsid w:val="0013549A"/>
    <w:rsid w:val="00135B5E"/>
    <w:rsid w:val="001362D5"/>
    <w:rsid w:val="00136877"/>
    <w:rsid w:val="00137DB6"/>
    <w:rsid w:val="00137F42"/>
    <w:rsid w:val="00140A46"/>
    <w:rsid w:val="00140C6D"/>
    <w:rsid w:val="00140E98"/>
    <w:rsid w:val="001413D7"/>
    <w:rsid w:val="00141888"/>
    <w:rsid w:val="00141C46"/>
    <w:rsid w:val="00142789"/>
    <w:rsid w:val="0014283F"/>
    <w:rsid w:val="00142A40"/>
    <w:rsid w:val="0014340C"/>
    <w:rsid w:val="001435FA"/>
    <w:rsid w:val="00143881"/>
    <w:rsid w:val="001438CA"/>
    <w:rsid w:val="001449BD"/>
    <w:rsid w:val="001450D8"/>
    <w:rsid w:val="0014535E"/>
    <w:rsid w:val="00145481"/>
    <w:rsid w:val="001455A5"/>
    <w:rsid w:val="00145D2C"/>
    <w:rsid w:val="00145F32"/>
    <w:rsid w:val="0014619D"/>
    <w:rsid w:val="0014628E"/>
    <w:rsid w:val="00146504"/>
    <w:rsid w:val="00146C64"/>
    <w:rsid w:val="00146F63"/>
    <w:rsid w:val="00147B93"/>
    <w:rsid w:val="00147FDB"/>
    <w:rsid w:val="00150106"/>
    <w:rsid w:val="00150206"/>
    <w:rsid w:val="001513CC"/>
    <w:rsid w:val="00151F11"/>
    <w:rsid w:val="0015252B"/>
    <w:rsid w:val="00152AF2"/>
    <w:rsid w:val="00152E30"/>
    <w:rsid w:val="00154064"/>
    <w:rsid w:val="00154084"/>
    <w:rsid w:val="00154195"/>
    <w:rsid w:val="001547FE"/>
    <w:rsid w:val="00156E9B"/>
    <w:rsid w:val="00156FE4"/>
    <w:rsid w:val="00157AFB"/>
    <w:rsid w:val="001602A4"/>
    <w:rsid w:val="00160808"/>
    <w:rsid w:val="00160C5D"/>
    <w:rsid w:val="00160E55"/>
    <w:rsid w:val="0016100E"/>
    <w:rsid w:val="001622AC"/>
    <w:rsid w:val="00162772"/>
    <w:rsid w:val="0016303B"/>
    <w:rsid w:val="00163172"/>
    <w:rsid w:val="00163628"/>
    <w:rsid w:val="00163B49"/>
    <w:rsid w:val="00163C04"/>
    <w:rsid w:val="00163D37"/>
    <w:rsid w:val="00163E90"/>
    <w:rsid w:val="001644C7"/>
    <w:rsid w:val="00164554"/>
    <w:rsid w:val="00164A47"/>
    <w:rsid w:val="00164EDE"/>
    <w:rsid w:val="00164F10"/>
    <w:rsid w:val="001655A3"/>
    <w:rsid w:val="0016641A"/>
    <w:rsid w:val="001665C5"/>
    <w:rsid w:val="001666F2"/>
    <w:rsid w:val="001667A8"/>
    <w:rsid w:val="001669F3"/>
    <w:rsid w:val="00167550"/>
    <w:rsid w:val="00167B95"/>
    <w:rsid w:val="00167F50"/>
    <w:rsid w:val="00170A57"/>
    <w:rsid w:val="00170C08"/>
    <w:rsid w:val="00170EF6"/>
    <w:rsid w:val="00171326"/>
    <w:rsid w:val="0017209C"/>
    <w:rsid w:val="0017242E"/>
    <w:rsid w:val="00172C8F"/>
    <w:rsid w:val="00172FC7"/>
    <w:rsid w:val="00173066"/>
    <w:rsid w:val="00173077"/>
    <w:rsid w:val="001737E0"/>
    <w:rsid w:val="00173EB7"/>
    <w:rsid w:val="00174270"/>
    <w:rsid w:val="0017531D"/>
    <w:rsid w:val="00175D31"/>
    <w:rsid w:val="001766EE"/>
    <w:rsid w:val="00176E34"/>
    <w:rsid w:val="00177455"/>
    <w:rsid w:val="001774CA"/>
    <w:rsid w:val="001776E3"/>
    <w:rsid w:val="00180F32"/>
    <w:rsid w:val="0018150E"/>
    <w:rsid w:val="001822BB"/>
    <w:rsid w:val="00182A99"/>
    <w:rsid w:val="00182CEF"/>
    <w:rsid w:val="00183099"/>
    <w:rsid w:val="001833E2"/>
    <w:rsid w:val="00183ED5"/>
    <w:rsid w:val="00183F47"/>
    <w:rsid w:val="00184D0F"/>
    <w:rsid w:val="00185BF7"/>
    <w:rsid w:val="00185C3F"/>
    <w:rsid w:val="00185D32"/>
    <w:rsid w:val="00185E6A"/>
    <w:rsid w:val="001860FD"/>
    <w:rsid w:val="00186A6E"/>
    <w:rsid w:val="0018747B"/>
    <w:rsid w:val="00187547"/>
    <w:rsid w:val="00187783"/>
    <w:rsid w:val="00190987"/>
    <w:rsid w:val="00190AFD"/>
    <w:rsid w:val="00190C6A"/>
    <w:rsid w:val="001913C7"/>
    <w:rsid w:val="00191858"/>
    <w:rsid w:val="0019264F"/>
    <w:rsid w:val="00192745"/>
    <w:rsid w:val="001932E2"/>
    <w:rsid w:val="00193F95"/>
    <w:rsid w:val="00194199"/>
    <w:rsid w:val="001949C5"/>
    <w:rsid w:val="00194A8C"/>
    <w:rsid w:val="001952DE"/>
    <w:rsid w:val="001961D2"/>
    <w:rsid w:val="001963DF"/>
    <w:rsid w:val="001968D0"/>
    <w:rsid w:val="00196BEF"/>
    <w:rsid w:val="0019702D"/>
    <w:rsid w:val="00197062"/>
    <w:rsid w:val="0019762E"/>
    <w:rsid w:val="001977E1"/>
    <w:rsid w:val="001978C1"/>
    <w:rsid w:val="0019799C"/>
    <w:rsid w:val="00197D63"/>
    <w:rsid w:val="00197DF9"/>
    <w:rsid w:val="00197F5B"/>
    <w:rsid w:val="001A073F"/>
    <w:rsid w:val="001A081B"/>
    <w:rsid w:val="001A1268"/>
    <w:rsid w:val="001A12CC"/>
    <w:rsid w:val="001A161E"/>
    <w:rsid w:val="001A17DB"/>
    <w:rsid w:val="001A24BD"/>
    <w:rsid w:val="001A26F4"/>
    <w:rsid w:val="001A281C"/>
    <w:rsid w:val="001A29CD"/>
    <w:rsid w:val="001A2C60"/>
    <w:rsid w:val="001A3453"/>
    <w:rsid w:val="001A3E4D"/>
    <w:rsid w:val="001A4016"/>
    <w:rsid w:val="001A4145"/>
    <w:rsid w:val="001A4A08"/>
    <w:rsid w:val="001A4E1E"/>
    <w:rsid w:val="001A528B"/>
    <w:rsid w:val="001A5B04"/>
    <w:rsid w:val="001A5D71"/>
    <w:rsid w:val="001A60E7"/>
    <w:rsid w:val="001A6DB8"/>
    <w:rsid w:val="001A7328"/>
    <w:rsid w:val="001A78F6"/>
    <w:rsid w:val="001B06A9"/>
    <w:rsid w:val="001B0A67"/>
    <w:rsid w:val="001B0CD1"/>
    <w:rsid w:val="001B0EF8"/>
    <w:rsid w:val="001B10BC"/>
    <w:rsid w:val="001B14B7"/>
    <w:rsid w:val="001B1BF3"/>
    <w:rsid w:val="001B1C7D"/>
    <w:rsid w:val="001B20B1"/>
    <w:rsid w:val="001B2220"/>
    <w:rsid w:val="001B2659"/>
    <w:rsid w:val="001B29EC"/>
    <w:rsid w:val="001B2A48"/>
    <w:rsid w:val="001B33D2"/>
    <w:rsid w:val="001B3E92"/>
    <w:rsid w:val="001B3F1E"/>
    <w:rsid w:val="001B43F4"/>
    <w:rsid w:val="001B4407"/>
    <w:rsid w:val="001B47AE"/>
    <w:rsid w:val="001B49D5"/>
    <w:rsid w:val="001B50E3"/>
    <w:rsid w:val="001B50E7"/>
    <w:rsid w:val="001B53D4"/>
    <w:rsid w:val="001B5536"/>
    <w:rsid w:val="001B5AF3"/>
    <w:rsid w:val="001B5E0B"/>
    <w:rsid w:val="001B65B8"/>
    <w:rsid w:val="001B6B9E"/>
    <w:rsid w:val="001B7537"/>
    <w:rsid w:val="001B7DE3"/>
    <w:rsid w:val="001C035C"/>
    <w:rsid w:val="001C0403"/>
    <w:rsid w:val="001C08ED"/>
    <w:rsid w:val="001C0ED3"/>
    <w:rsid w:val="001C0F5D"/>
    <w:rsid w:val="001C1050"/>
    <w:rsid w:val="001C1689"/>
    <w:rsid w:val="001C253E"/>
    <w:rsid w:val="001C2565"/>
    <w:rsid w:val="001C2F7A"/>
    <w:rsid w:val="001C3E1F"/>
    <w:rsid w:val="001C3F85"/>
    <w:rsid w:val="001C3FC6"/>
    <w:rsid w:val="001C4120"/>
    <w:rsid w:val="001C44AC"/>
    <w:rsid w:val="001C457E"/>
    <w:rsid w:val="001C4BA9"/>
    <w:rsid w:val="001C4C0C"/>
    <w:rsid w:val="001C4E33"/>
    <w:rsid w:val="001C5EA1"/>
    <w:rsid w:val="001C5F68"/>
    <w:rsid w:val="001C62C3"/>
    <w:rsid w:val="001C6606"/>
    <w:rsid w:val="001C7789"/>
    <w:rsid w:val="001C782A"/>
    <w:rsid w:val="001C7A11"/>
    <w:rsid w:val="001C7C53"/>
    <w:rsid w:val="001C7F81"/>
    <w:rsid w:val="001D051A"/>
    <w:rsid w:val="001D082C"/>
    <w:rsid w:val="001D0EFE"/>
    <w:rsid w:val="001D0FCC"/>
    <w:rsid w:val="001D11C3"/>
    <w:rsid w:val="001D15AA"/>
    <w:rsid w:val="001D1746"/>
    <w:rsid w:val="001D1A9F"/>
    <w:rsid w:val="001D1B0C"/>
    <w:rsid w:val="001D1E1E"/>
    <w:rsid w:val="001D29B4"/>
    <w:rsid w:val="001D2B40"/>
    <w:rsid w:val="001D31FC"/>
    <w:rsid w:val="001D34E4"/>
    <w:rsid w:val="001D3C19"/>
    <w:rsid w:val="001D411C"/>
    <w:rsid w:val="001D4198"/>
    <w:rsid w:val="001D4994"/>
    <w:rsid w:val="001D537F"/>
    <w:rsid w:val="001D5448"/>
    <w:rsid w:val="001D5948"/>
    <w:rsid w:val="001D5AF2"/>
    <w:rsid w:val="001D61E8"/>
    <w:rsid w:val="001D664D"/>
    <w:rsid w:val="001D6EF1"/>
    <w:rsid w:val="001D757E"/>
    <w:rsid w:val="001D7C10"/>
    <w:rsid w:val="001D7FBA"/>
    <w:rsid w:val="001E052A"/>
    <w:rsid w:val="001E0800"/>
    <w:rsid w:val="001E151A"/>
    <w:rsid w:val="001E1909"/>
    <w:rsid w:val="001E1918"/>
    <w:rsid w:val="001E2183"/>
    <w:rsid w:val="001E24E9"/>
    <w:rsid w:val="001E27E9"/>
    <w:rsid w:val="001E312A"/>
    <w:rsid w:val="001E332D"/>
    <w:rsid w:val="001E3550"/>
    <w:rsid w:val="001E37E0"/>
    <w:rsid w:val="001E37E2"/>
    <w:rsid w:val="001E383E"/>
    <w:rsid w:val="001E3C69"/>
    <w:rsid w:val="001E44B8"/>
    <w:rsid w:val="001E4A64"/>
    <w:rsid w:val="001E5366"/>
    <w:rsid w:val="001E5590"/>
    <w:rsid w:val="001E6265"/>
    <w:rsid w:val="001E656B"/>
    <w:rsid w:val="001E6707"/>
    <w:rsid w:val="001E6816"/>
    <w:rsid w:val="001E6AB5"/>
    <w:rsid w:val="001E753D"/>
    <w:rsid w:val="001E77F5"/>
    <w:rsid w:val="001E78C2"/>
    <w:rsid w:val="001F0120"/>
    <w:rsid w:val="001F0C63"/>
    <w:rsid w:val="001F1267"/>
    <w:rsid w:val="001F1369"/>
    <w:rsid w:val="001F1496"/>
    <w:rsid w:val="001F1EF0"/>
    <w:rsid w:val="001F2659"/>
    <w:rsid w:val="001F2996"/>
    <w:rsid w:val="001F2FC0"/>
    <w:rsid w:val="001F35EA"/>
    <w:rsid w:val="001F38E5"/>
    <w:rsid w:val="001F39B8"/>
    <w:rsid w:val="001F434C"/>
    <w:rsid w:val="001F4B19"/>
    <w:rsid w:val="001F4D41"/>
    <w:rsid w:val="001F4F3D"/>
    <w:rsid w:val="001F4FBD"/>
    <w:rsid w:val="001F50D4"/>
    <w:rsid w:val="001F51BA"/>
    <w:rsid w:val="001F5486"/>
    <w:rsid w:val="001F57EA"/>
    <w:rsid w:val="001F5CB8"/>
    <w:rsid w:val="001F5CEA"/>
    <w:rsid w:val="001F5FEE"/>
    <w:rsid w:val="001F6285"/>
    <w:rsid w:val="001F630E"/>
    <w:rsid w:val="001F63CF"/>
    <w:rsid w:val="001F66CC"/>
    <w:rsid w:val="001F6BBD"/>
    <w:rsid w:val="001F6D65"/>
    <w:rsid w:val="001F726F"/>
    <w:rsid w:val="001F7A29"/>
    <w:rsid w:val="001F7BE0"/>
    <w:rsid w:val="00200377"/>
    <w:rsid w:val="00200570"/>
    <w:rsid w:val="002005CD"/>
    <w:rsid w:val="00200E92"/>
    <w:rsid w:val="00201876"/>
    <w:rsid w:val="00201B14"/>
    <w:rsid w:val="00201F59"/>
    <w:rsid w:val="00202071"/>
    <w:rsid w:val="0020226E"/>
    <w:rsid w:val="002024C2"/>
    <w:rsid w:val="002026EF"/>
    <w:rsid w:val="002028F3"/>
    <w:rsid w:val="00202B6F"/>
    <w:rsid w:val="00202F96"/>
    <w:rsid w:val="00203308"/>
    <w:rsid w:val="00203736"/>
    <w:rsid w:val="002039E1"/>
    <w:rsid w:val="00203B27"/>
    <w:rsid w:val="0020430B"/>
    <w:rsid w:val="0020474D"/>
    <w:rsid w:val="0020498A"/>
    <w:rsid w:val="00204DB0"/>
    <w:rsid w:val="0020580B"/>
    <w:rsid w:val="00205BDE"/>
    <w:rsid w:val="002063A2"/>
    <w:rsid w:val="00206784"/>
    <w:rsid w:val="002067C6"/>
    <w:rsid w:val="00206ABE"/>
    <w:rsid w:val="00207560"/>
    <w:rsid w:val="00207B53"/>
    <w:rsid w:val="00207DF9"/>
    <w:rsid w:val="00210160"/>
    <w:rsid w:val="0021020C"/>
    <w:rsid w:val="00210305"/>
    <w:rsid w:val="002107C3"/>
    <w:rsid w:val="00210E33"/>
    <w:rsid w:val="00211327"/>
    <w:rsid w:val="00211418"/>
    <w:rsid w:val="0021144A"/>
    <w:rsid w:val="00211FA2"/>
    <w:rsid w:val="0021232A"/>
    <w:rsid w:val="00213274"/>
    <w:rsid w:val="002134B5"/>
    <w:rsid w:val="00213A15"/>
    <w:rsid w:val="00213D9C"/>
    <w:rsid w:val="00213DBB"/>
    <w:rsid w:val="00213DF5"/>
    <w:rsid w:val="00213E5D"/>
    <w:rsid w:val="002154A6"/>
    <w:rsid w:val="0021578F"/>
    <w:rsid w:val="00216087"/>
    <w:rsid w:val="0021639D"/>
    <w:rsid w:val="0021642D"/>
    <w:rsid w:val="00216C80"/>
    <w:rsid w:val="00216F39"/>
    <w:rsid w:val="00217483"/>
    <w:rsid w:val="002176D7"/>
    <w:rsid w:val="00217B40"/>
    <w:rsid w:val="00217BBC"/>
    <w:rsid w:val="00220680"/>
    <w:rsid w:val="00220AEE"/>
    <w:rsid w:val="00220B53"/>
    <w:rsid w:val="00220ECE"/>
    <w:rsid w:val="0022102D"/>
    <w:rsid w:val="0022269B"/>
    <w:rsid w:val="002235C1"/>
    <w:rsid w:val="002236BA"/>
    <w:rsid w:val="00223A59"/>
    <w:rsid w:val="0022424E"/>
    <w:rsid w:val="00224F0D"/>
    <w:rsid w:val="0022503A"/>
    <w:rsid w:val="00225628"/>
    <w:rsid w:val="00226485"/>
    <w:rsid w:val="0022662A"/>
    <w:rsid w:val="002266A4"/>
    <w:rsid w:val="00226EAF"/>
    <w:rsid w:val="00226F6F"/>
    <w:rsid w:val="0022719F"/>
    <w:rsid w:val="002271A9"/>
    <w:rsid w:val="002273C2"/>
    <w:rsid w:val="0022769C"/>
    <w:rsid w:val="00227EB6"/>
    <w:rsid w:val="002300D5"/>
    <w:rsid w:val="002302C1"/>
    <w:rsid w:val="002311F8"/>
    <w:rsid w:val="00231D4F"/>
    <w:rsid w:val="00232E5A"/>
    <w:rsid w:val="002331F8"/>
    <w:rsid w:val="002331FE"/>
    <w:rsid w:val="002336E3"/>
    <w:rsid w:val="00233D86"/>
    <w:rsid w:val="00233ED4"/>
    <w:rsid w:val="00234096"/>
    <w:rsid w:val="00234180"/>
    <w:rsid w:val="002343FE"/>
    <w:rsid w:val="00234AC7"/>
    <w:rsid w:val="00234BFC"/>
    <w:rsid w:val="00234E2B"/>
    <w:rsid w:val="00234F47"/>
    <w:rsid w:val="00235B45"/>
    <w:rsid w:val="00235F99"/>
    <w:rsid w:val="002363CD"/>
    <w:rsid w:val="00236A00"/>
    <w:rsid w:val="0023724C"/>
    <w:rsid w:val="00237336"/>
    <w:rsid w:val="0023788A"/>
    <w:rsid w:val="00237B4C"/>
    <w:rsid w:val="0024004B"/>
    <w:rsid w:val="002403B0"/>
    <w:rsid w:val="0024042D"/>
    <w:rsid w:val="0024043A"/>
    <w:rsid w:val="00240CAE"/>
    <w:rsid w:val="00240D0D"/>
    <w:rsid w:val="002431F3"/>
    <w:rsid w:val="00243AD9"/>
    <w:rsid w:val="00243AE4"/>
    <w:rsid w:val="00243C46"/>
    <w:rsid w:val="00243CC4"/>
    <w:rsid w:val="002442F1"/>
    <w:rsid w:val="002447E4"/>
    <w:rsid w:val="00244DB5"/>
    <w:rsid w:val="00245AD7"/>
    <w:rsid w:val="00246B7E"/>
    <w:rsid w:val="00246C87"/>
    <w:rsid w:val="00246C91"/>
    <w:rsid w:val="00246CB7"/>
    <w:rsid w:val="00246FA6"/>
    <w:rsid w:val="0024742B"/>
    <w:rsid w:val="002478FA"/>
    <w:rsid w:val="00247E56"/>
    <w:rsid w:val="00247E9B"/>
    <w:rsid w:val="00250E7F"/>
    <w:rsid w:val="00251103"/>
    <w:rsid w:val="0025124C"/>
    <w:rsid w:val="00251759"/>
    <w:rsid w:val="00251FB3"/>
    <w:rsid w:val="002520F4"/>
    <w:rsid w:val="0025230F"/>
    <w:rsid w:val="0025237F"/>
    <w:rsid w:val="00252453"/>
    <w:rsid w:val="00252A31"/>
    <w:rsid w:val="00252E84"/>
    <w:rsid w:val="00253166"/>
    <w:rsid w:val="00253E0D"/>
    <w:rsid w:val="00253E99"/>
    <w:rsid w:val="00254292"/>
    <w:rsid w:val="00254949"/>
    <w:rsid w:val="00254BA1"/>
    <w:rsid w:val="00255136"/>
    <w:rsid w:val="00255506"/>
    <w:rsid w:val="00255845"/>
    <w:rsid w:val="00255C87"/>
    <w:rsid w:val="002561E7"/>
    <w:rsid w:val="002562D8"/>
    <w:rsid w:val="00256CC4"/>
    <w:rsid w:val="00256DA2"/>
    <w:rsid w:val="00257194"/>
    <w:rsid w:val="0025744E"/>
    <w:rsid w:val="002575A0"/>
    <w:rsid w:val="00257631"/>
    <w:rsid w:val="00257EE1"/>
    <w:rsid w:val="0026065A"/>
    <w:rsid w:val="00260A68"/>
    <w:rsid w:val="00260DD3"/>
    <w:rsid w:val="00260E32"/>
    <w:rsid w:val="00261181"/>
    <w:rsid w:val="00261219"/>
    <w:rsid w:val="00261596"/>
    <w:rsid w:val="0026167A"/>
    <w:rsid w:val="00261C91"/>
    <w:rsid w:val="00261E19"/>
    <w:rsid w:val="002627A4"/>
    <w:rsid w:val="002628F2"/>
    <w:rsid w:val="00262D3B"/>
    <w:rsid w:val="00262D52"/>
    <w:rsid w:val="00262E1D"/>
    <w:rsid w:val="00262F07"/>
    <w:rsid w:val="0026318A"/>
    <w:rsid w:val="00263232"/>
    <w:rsid w:val="0026437A"/>
    <w:rsid w:val="0026517C"/>
    <w:rsid w:val="00265738"/>
    <w:rsid w:val="00265B94"/>
    <w:rsid w:val="00266318"/>
    <w:rsid w:val="0026679A"/>
    <w:rsid w:val="00270141"/>
    <w:rsid w:val="0027042A"/>
    <w:rsid w:val="002706CE"/>
    <w:rsid w:val="00270EC3"/>
    <w:rsid w:val="002714DE"/>
    <w:rsid w:val="0027155E"/>
    <w:rsid w:val="002715D4"/>
    <w:rsid w:val="00271688"/>
    <w:rsid w:val="0027301B"/>
    <w:rsid w:val="0027378A"/>
    <w:rsid w:val="0027382D"/>
    <w:rsid w:val="00273B74"/>
    <w:rsid w:val="00273D5F"/>
    <w:rsid w:val="00273DDE"/>
    <w:rsid w:val="00273EA1"/>
    <w:rsid w:val="00273FD8"/>
    <w:rsid w:val="002744D1"/>
    <w:rsid w:val="00274552"/>
    <w:rsid w:val="00274FB7"/>
    <w:rsid w:val="00275D73"/>
    <w:rsid w:val="00275F0B"/>
    <w:rsid w:val="00275FF0"/>
    <w:rsid w:val="00276186"/>
    <w:rsid w:val="00277585"/>
    <w:rsid w:val="002800B2"/>
    <w:rsid w:val="002800FD"/>
    <w:rsid w:val="002804F5"/>
    <w:rsid w:val="002805E8"/>
    <w:rsid w:val="0028119E"/>
    <w:rsid w:val="002817EC"/>
    <w:rsid w:val="00281842"/>
    <w:rsid w:val="00281B95"/>
    <w:rsid w:val="00281E03"/>
    <w:rsid w:val="00282C40"/>
    <w:rsid w:val="00283598"/>
    <w:rsid w:val="00283AEB"/>
    <w:rsid w:val="00283ECE"/>
    <w:rsid w:val="00284142"/>
    <w:rsid w:val="00284199"/>
    <w:rsid w:val="0028427C"/>
    <w:rsid w:val="00285703"/>
    <w:rsid w:val="00286F40"/>
    <w:rsid w:val="0028702F"/>
    <w:rsid w:val="00287408"/>
    <w:rsid w:val="002878F2"/>
    <w:rsid w:val="00287B6C"/>
    <w:rsid w:val="00290040"/>
    <w:rsid w:val="00290113"/>
    <w:rsid w:val="002907F4"/>
    <w:rsid w:val="00290A6C"/>
    <w:rsid w:val="002912AE"/>
    <w:rsid w:val="0029135F"/>
    <w:rsid w:val="002913D6"/>
    <w:rsid w:val="00291921"/>
    <w:rsid w:val="00291E5F"/>
    <w:rsid w:val="0029236F"/>
    <w:rsid w:val="00292DAA"/>
    <w:rsid w:val="00292EFF"/>
    <w:rsid w:val="00292F0C"/>
    <w:rsid w:val="00294244"/>
    <w:rsid w:val="00294522"/>
    <w:rsid w:val="00295DCA"/>
    <w:rsid w:val="00295E1B"/>
    <w:rsid w:val="0029788B"/>
    <w:rsid w:val="002979AC"/>
    <w:rsid w:val="00297B35"/>
    <w:rsid w:val="00297D12"/>
    <w:rsid w:val="002A06A6"/>
    <w:rsid w:val="002A120F"/>
    <w:rsid w:val="002A13A3"/>
    <w:rsid w:val="002A186D"/>
    <w:rsid w:val="002A1BA8"/>
    <w:rsid w:val="002A2135"/>
    <w:rsid w:val="002A2C00"/>
    <w:rsid w:val="002A41BF"/>
    <w:rsid w:val="002A4226"/>
    <w:rsid w:val="002A4670"/>
    <w:rsid w:val="002A47CB"/>
    <w:rsid w:val="002A48D3"/>
    <w:rsid w:val="002A4995"/>
    <w:rsid w:val="002A49BD"/>
    <w:rsid w:val="002A4B9E"/>
    <w:rsid w:val="002A4F22"/>
    <w:rsid w:val="002A55FD"/>
    <w:rsid w:val="002A5D00"/>
    <w:rsid w:val="002A6D30"/>
    <w:rsid w:val="002A6E12"/>
    <w:rsid w:val="002A72D4"/>
    <w:rsid w:val="002A7783"/>
    <w:rsid w:val="002A7A48"/>
    <w:rsid w:val="002B0015"/>
    <w:rsid w:val="002B1052"/>
    <w:rsid w:val="002B1D5B"/>
    <w:rsid w:val="002B2087"/>
    <w:rsid w:val="002B2257"/>
    <w:rsid w:val="002B27FB"/>
    <w:rsid w:val="002B2D1D"/>
    <w:rsid w:val="002B44DB"/>
    <w:rsid w:val="002B47BD"/>
    <w:rsid w:val="002B4852"/>
    <w:rsid w:val="002B51F3"/>
    <w:rsid w:val="002B58E4"/>
    <w:rsid w:val="002B5CC6"/>
    <w:rsid w:val="002B5DD9"/>
    <w:rsid w:val="002B6244"/>
    <w:rsid w:val="002B643B"/>
    <w:rsid w:val="002B6567"/>
    <w:rsid w:val="002B68E3"/>
    <w:rsid w:val="002B6A09"/>
    <w:rsid w:val="002B6BB2"/>
    <w:rsid w:val="002B71BA"/>
    <w:rsid w:val="002B78E5"/>
    <w:rsid w:val="002C02A8"/>
    <w:rsid w:val="002C157D"/>
    <w:rsid w:val="002C15A3"/>
    <w:rsid w:val="002C1BB2"/>
    <w:rsid w:val="002C1CB9"/>
    <w:rsid w:val="002C2074"/>
    <w:rsid w:val="002C2157"/>
    <w:rsid w:val="002C21D2"/>
    <w:rsid w:val="002C22CF"/>
    <w:rsid w:val="002C265D"/>
    <w:rsid w:val="002C2896"/>
    <w:rsid w:val="002C2AA3"/>
    <w:rsid w:val="002C3739"/>
    <w:rsid w:val="002C3D0B"/>
    <w:rsid w:val="002C3F37"/>
    <w:rsid w:val="002C4143"/>
    <w:rsid w:val="002C4344"/>
    <w:rsid w:val="002C4376"/>
    <w:rsid w:val="002C4C6C"/>
    <w:rsid w:val="002C4E23"/>
    <w:rsid w:val="002C504E"/>
    <w:rsid w:val="002C5A87"/>
    <w:rsid w:val="002C5BFA"/>
    <w:rsid w:val="002C5D1C"/>
    <w:rsid w:val="002C64C0"/>
    <w:rsid w:val="002C68E7"/>
    <w:rsid w:val="002C6921"/>
    <w:rsid w:val="002C6937"/>
    <w:rsid w:val="002C70D9"/>
    <w:rsid w:val="002C7BA6"/>
    <w:rsid w:val="002C7FC4"/>
    <w:rsid w:val="002D016F"/>
    <w:rsid w:val="002D03EE"/>
    <w:rsid w:val="002D0F97"/>
    <w:rsid w:val="002D105A"/>
    <w:rsid w:val="002D1692"/>
    <w:rsid w:val="002D1720"/>
    <w:rsid w:val="002D23B8"/>
    <w:rsid w:val="002D29FB"/>
    <w:rsid w:val="002D370A"/>
    <w:rsid w:val="002D3D57"/>
    <w:rsid w:val="002D3E14"/>
    <w:rsid w:val="002D43B5"/>
    <w:rsid w:val="002D4F03"/>
    <w:rsid w:val="002D5DE9"/>
    <w:rsid w:val="002D6005"/>
    <w:rsid w:val="002D606F"/>
    <w:rsid w:val="002D61F6"/>
    <w:rsid w:val="002D652C"/>
    <w:rsid w:val="002D6719"/>
    <w:rsid w:val="002D6A5B"/>
    <w:rsid w:val="002D6CE6"/>
    <w:rsid w:val="002D7084"/>
    <w:rsid w:val="002D745E"/>
    <w:rsid w:val="002D7668"/>
    <w:rsid w:val="002D779E"/>
    <w:rsid w:val="002E0291"/>
    <w:rsid w:val="002E10C5"/>
    <w:rsid w:val="002E1159"/>
    <w:rsid w:val="002E1435"/>
    <w:rsid w:val="002E1C97"/>
    <w:rsid w:val="002E26B8"/>
    <w:rsid w:val="002E3027"/>
    <w:rsid w:val="002E356E"/>
    <w:rsid w:val="002E36A4"/>
    <w:rsid w:val="002E3D2C"/>
    <w:rsid w:val="002E444A"/>
    <w:rsid w:val="002E4D5E"/>
    <w:rsid w:val="002E5119"/>
    <w:rsid w:val="002E52DE"/>
    <w:rsid w:val="002E54CF"/>
    <w:rsid w:val="002E55F7"/>
    <w:rsid w:val="002E583E"/>
    <w:rsid w:val="002E5A27"/>
    <w:rsid w:val="002E6F45"/>
    <w:rsid w:val="002E714A"/>
    <w:rsid w:val="002E79F8"/>
    <w:rsid w:val="002E7BC9"/>
    <w:rsid w:val="002F1133"/>
    <w:rsid w:val="002F1330"/>
    <w:rsid w:val="002F1736"/>
    <w:rsid w:val="002F1F02"/>
    <w:rsid w:val="002F21AD"/>
    <w:rsid w:val="002F2E2B"/>
    <w:rsid w:val="002F33EF"/>
    <w:rsid w:val="002F355C"/>
    <w:rsid w:val="002F3E02"/>
    <w:rsid w:val="002F42C9"/>
    <w:rsid w:val="002F4446"/>
    <w:rsid w:val="002F50F0"/>
    <w:rsid w:val="002F5200"/>
    <w:rsid w:val="002F5557"/>
    <w:rsid w:val="002F578B"/>
    <w:rsid w:val="002F61A9"/>
    <w:rsid w:val="002F6314"/>
    <w:rsid w:val="002F712D"/>
    <w:rsid w:val="002F72BC"/>
    <w:rsid w:val="002F799F"/>
    <w:rsid w:val="002F7E71"/>
    <w:rsid w:val="0030018E"/>
    <w:rsid w:val="00300579"/>
    <w:rsid w:val="003009A3"/>
    <w:rsid w:val="00300ABE"/>
    <w:rsid w:val="00300CB9"/>
    <w:rsid w:val="0030160C"/>
    <w:rsid w:val="003016F4"/>
    <w:rsid w:val="0030190D"/>
    <w:rsid w:val="00301D91"/>
    <w:rsid w:val="00302258"/>
    <w:rsid w:val="00302848"/>
    <w:rsid w:val="00302BDA"/>
    <w:rsid w:val="00302E6C"/>
    <w:rsid w:val="00303CE0"/>
    <w:rsid w:val="00304578"/>
    <w:rsid w:val="00304B27"/>
    <w:rsid w:val="00304F46"/>
    <w:rsid w:val="00305193"/>
    <w:rsid w:val="00306069"/>
    <w:rsid w:val="00306171"/>
    <w:rsid w:val="00307130"/>
    <w:rsid w:val="00307DF2"/>
    <w:rsid w:val="0031079E"/>
    <w:rsid w:val="00310969"/>
    <w:rsid w:val="00310EB7"/>
    <w:rsid w:val="00311055"/>
    <w:rsid w:val="003114A7"/>
    <w:rsid w:val="00311698"/>
    <w:rsid w:val="003116FE"/>
    <w:rsid w:val="00311A57"/>
    <w:rsid w:val="003125BF"/>
    <w:rsid w:val="0031280D"/>
    <w:rsid w:val="00312F4A"/>
    <w:rsid w:val="0031347A"/>
    <w:rsid w:val="00313907"/>
    <w:rsid w:val="00313E0D"/>
    <w:rsid w:val="00313F08"/>
    <w:rsid w:val="00314255"/>
    <w:rsid w:val="003147DA"/>
    <w:rsid w:val="003159D9"/>
    <w:rsid w:val="00315B3A"/>
    <w:rsid w:val="00315CE0"/>
    <w:rsid w:val="00316070"/>
    <w:rsid w:val="0031658A"/>
    <w:rsid w:val="00316A44"/>
    <w:rsid w:val="00317244"/>
    <w:rsid w:val="003172EF"/>
    <w:rsid w:val="00317C5F"/>
    <w:rsid w:val="00317C9C"/>
    <w:rsid w:val="00320373"/>
    <w:rsid w:val="0032069B"/>
    <w:rsid w:val="00320996"/>
    <w:rsid w:val="00321080"/>
    <w:rsid w:val="0032138D"/>
    <w:rsid w:val="003214D3"/>
    <w:rsid w:val="003214DF"/>
    <w:rsid w:val="0032154E"/>
    <w:rsid w:val="00321641"/>
    <w:rsid w:val="00321FAB"/>
    <w:rsid w:val="003227B7"/>
    <w:rsid w:val="00322A0E"/>
    <w:rsid w:val="0032346F"/>
    <w:rsid w:val="003243D2"/>
    <w:rsid w:val="003243FF"/>
    <w:rsid w:val="0032467F"/>
    <w:rsid w:val="00324A44"/>
    <w:rsid w:val="00324C4F"/>
    <w:rsid w:val="00324D82"/>
    <w:rsid w:val="00324F3A"/>
    <w:rsid w:val="003252B2"/>
    <w:rsid w:val="00325400"/>
    <w:rsid w:val="003256B1"/>
    <w:rsid w:val="00325939"/>
    <w:rsid w:val="00325ED7"/>
    <w:rsid w:val="00326258"/>
    <w:rsid w:val="00327A6B"/>
    <w:rsid w:val="0033088B"/>
    <w:rsid w:val="00330E47"/>
    <w:rsid w:val="00330F0A"/>
    <w:rsid w:val="003312C2"/>
    <w:rsid w:val="00331EEA"/>
    <w:rsid w:val="00332900"/>
    <w:rsid w:val="00332F77"/>
    <w:rsid w:val="00333500"/>
    <w:rsid w:val="00333803"/>
    <w:rsid w:val="00333EAF"/>
    <w:rsid w:val="00334653"/>
    <w:rsid w:val="003347BB"/>
    <w:rsid w:val="00334854"/>
    <w:rsid w:val="00334A0C"/>
    <w:rsid w:val="00335094"/>
    <w:rsid w:val="0033520C"/>
    <w:rsid w:val="0033549E"/>
    <w:rsid w:val="003359D4"/>
    <w:rsid w:val="00335B1C"/>
    <w:rsid w:val="003360D6"/>
    <w:rsid w:val="0033611F"/>
    <w:rsid w:val="00336C6C"/>
    <w:rsid w:val="00337216"/>
    <w:rsid w:val="003375F9"/>
    <w:rsid w:val="00337BCB"/>
    <w:rsid w:val="003409F2"/>
    <w:rsid w:val="003416F4"/>
    <w:rsid w:val="00341831"/>
    <w:rsid w:val="00341CE1"/>
    <w:rsid w:val="00341E6F"/>
    <w:rsid w:val="00341EE1"/>
    <w:rsid w:val="00341EE6"/>
    <w:rsid w:val="003426C6"/>
    <w:rsid w:val="00342D16"/>
    <w:rsid w:val="00342E2D"/>
    <w:rsid w:val="00343C96"/>
    <w:rsid w:val="00344029"/>
    <w:rsid w:val="00344136"/>
    <w:rsid w:val="003445AF"/>
    <w:rsid w:val="003447F9"/>
    <w:rsid w:val="003449A5"/>
    <w:rsid w:val="00345334"/>
    <w:rsid w:val="003453D2"/>
    <w:rsid w:val="0034553C"/>
    <w:rsid w:val="00345CDC"/>
    <w:rsid w:val="00345D26"/>
    <w:rsid w:val="00345FFF"/>
    <w:rsid w:val="00346A2F"/>
    <w:rsid w:val="00346D01"/>
    <w:rsid w:val="00347775"/>
    <w:rsid w:val="0034790C"/>
    <w:rsid w:val="0034798D"/>
    <w:rsid w:val="00347D1C"/>
    <w:rsid w:val="00347F29"/>
    <w:rsid w:val="00350289"/>
    <w:rsid w:val="003505D3"/>
    <w:rsid w:val="003507B2"/>
    <w:rsid w:val="00350E65"/>
    <w:rsid w:val="00350F71"/>
    <w:rsid w:val="00350F8F"/>
    <w:rsid w:val="003512BF"/>
    <w:rsid w:val="00352250"/>
    <w:rsid w:val="003526B4"/>
    <w:rsid w:val="0035297A"/>
    <w:rsid w:val="003531E6"/>
    <w:rsid w:val="00353A9F"/>
    <w:rsid w:val="00353B64"/>
    <w:rsid w:val="00353E41"/>
    <w:rsid w:val="003541A8"/>
    <w:rsid w:val="00354539"/>
    <w:rsid w:val="00355029"/>
    <w:rsid w:val="00355331"/>
    <w:rsid w:val="003558A2"/>
    <w:rsid w:val="003558CB"/>
    <w:rsid w:val="00355A8D"/>
    <w:rsid w:val="00355D8B"/>
    <w:rsid w:val="00355FAD"/>
    <w:rsid w:val="0035622D"/>
    <w:rsid w:val="0035639A"/>
    <w:rsid w:val="003563BF"/>
    <w:rsid w:val="0035665E"/>
    <w:rsid w:val="00356C67"/>
    <w:rsid w:val="00356F36"/>
    <w:rsid w:val="00357A41"/>
    <w:rsid w:val="00357B85"/>
    <w:rsid w:val="00357EE5"/>
    <w:rsid w:val="00360678"/>
    <w:rsid w:val="0036122E"/>
    <w:rsid w:val="0036157F"/>
    <w:rsid w:val="00361765"/>
    <w:rsid w:val="003620FA"/>
    <w:rsid w:val="00362115"/>
    <w:rsid w:val="00362D65"/>
    <w:rsid w:val="00363075"/>
    <w:rsid w:val="00363499"/>
    <w:rsid w:val="0036381F"/>
    <w:rsid w:val="0036391E"/>
    <w:rsid w:val="00363A9B"/>
    <w:rsid w:val="00363BF5"/>
    <w:rsid w:val="00363DDC"/>
    <w:rsid w:val="00363E14"/>
    <w:rsid w:val="00364655"/>
    <w:rsid w:val="00364783"/>
    <w:rsid w:val="00364D0E"/>
    <w:rsid w:val="00364DEC"/>
    <w:rsid w:val="00364E97"/>
    <w:rsid w:val="00365553"/>
    <w:rsid w:val="00366515"/>
    <w:rsid w:val="00366C50"/>
    <w:rsid w:val="00367461"/>
    <w:rsid w:val="00367535"/>
    <w:rsid w:val="00367595"/>
    <w:rsid w:val="003677C2"/>
    <w:rsid w:val="00370177"/>
    <w:rsid w:val="0037024E"/>
    <w:rsid w:val="003706FE"/>
    <w:rsid w:val="00370797"/>
    <w:rsid w:val="00370B2F"/>
    <w:rsid w:val="0037162B"/>
    <w:rsid w:val="003721D3"/>
    <w:rsid w:val="003731C4"/>
    <w:rsid w:val="003733C6"/>
    <w:rsid w:val="00373770"/>
    <w:rsid w:val="00373D5A"/>
    <w:rsid w:val="00374131"/>
    <w:rsid w:val="00374343"/>
    <w:rsid w:val="00374445"/>
    <w:rsid w:val="00374584"/>
    <w:rsid w:val="00374629"/>
    <w:rsid w:val="00374657"/>
    <w:rsid w:val="00374827"/>
    <w:rsid w:val="003748E5"/>
    <w:rsid w:val="00374D51"/>
    <w:rsid w:val="00374EB6"/>
    <w:rsid w:val="00375A6E"/>
    <w:rsid w:val="00375DB4"/>
    <w:rsid w:val="003762A6"/>
    <w:rsid w:val="00376984"/>
    <w:rsid w:val="003769EA"/>
    <w:rsid w:val="00376AAC"/>
    <w:rsid w:val="00376B13"/>
    <w:rsid w:val="003775FC"/>
    <w:rsid w:val="0037786C"/>
    <w:rsid w:val="003779FF"/>
    <w:rsid w:val="00377D56"/>
    <w:rsid w:val="003807B9"/>
    <w:rsid w:val="00380928"/>
    <w:rsid w:val="00380CAC"/>
    <w:rsid w:val="003819C0"/>
    <w:rsid w:val="00381B8A"/>
    <w:rsid w:val="00381C7E"/>
    <w:rsid w:val="00381DCF"/>
    <w:rsid w:val="00381FAF"/>
    <w:rsid w:val="0038214B"/>
    <w:rsid w:val="00382192"/>
    <w:rsid w:val="003832BC"/>
    <w:rsid w:val="0038337A"/>
    <w:rsid w:val="003839A2"/>
    <w:rsid w:val="00384D83"/>
    <w:rsid w:val="00384DFB"/>
    <w:rsid w:val="00385DF1"/>
    <w:rsid w:val="00386464"/>
    <w:rsid w:val="003866A0"/>
    <w:rsid w:val="00386A77"/>
    <w:rsid w:val="00386B56"/>
    <w:rsid w:val="00386D17"/>
    <w:rsid w:val="00387003"/>
    <w:rsid w:val="0038705F"/>
    <w:rsid w:val="00387A8C"/>
    <w:rsid w:val="00387B23"/>
    <w:rsid w:val="00387F8D"/>
    <w:rsid w:val="003905E5"/>
    <w:rsid w:val="003906C3"/>
    <w:rsid w:val="00390746"/>
    <w:rsid w:val="00390B46"/>
    <w:rsid w:val="00390B81"/>
    <w:rsid w:val="00390E2A"/>
    <w:rsid w:val="0039148A"/>
    <w:rsid w:val="00391593"/>
    <w:rsid w:val="003923B0"/>
    <w:rsid w:val="0039241D"/>
    <w:rsid w:val="0039268E"/>
    <w:rsid w:val="00392D7A"/>
    <w:rsid w:val="00392FAE"/>
    <w:rsid w:val="0039324F"/>
    <w:rsid w:val="003938FF"/>
    <w:rsid w:val="00393C99"/>
    <w:rsid w:val="00393D21"/>
    <w:rsid w:val="00394371"/>
    <w:rsid w:val="003947BD"/>
    <w:rsid w:val="00394C6D"/>
    <w:rsid w:val="00394C8F"/>
    <w:rsid w:val="00395A73"/>
    <w:rsid w:val="00395B63"/>
    <w:rsid w:val="00395B84"/>
    <w:rsid w:val="00396237"/>
    <w:rsid w:val="00396309"/>
    <w:rsid w:val="00396F1B"/>
    <w:rsid w:val="003A0D68"/>
    <w:rsid w:val="003A0FFE"/>
    <w:rsid w:val="003A15D2"/>
    <w:rsid w:val="003A1758"/>
    <w:rsid w:val="003A2527"/>
    <w:rsid w:val="003A257C"/>
    <w:rsid w:val="003A2725"/>
    <w:rsid w:val="003A2E90"/>
    <w:rsid w:val="003A44D7"/>
    <w:rsid w:val="003A4E3E"/>
    <w:rsid w:val="003A4E76"/>
    <w:rsid w:val="003A5DDB"/>
    <w:rsid w:val="003A5F29"/>
    <w:rsid w:val="003A62A6"/>
    <w:rsid w:val="003A6977"/>
    <w:rsid w:val="003A6BC0"/>
    <w:rsid w:val="003A6EB3"/>
    <w:rsid w:val="003A71A8"/>
    <w:rsid w:val="003A77BA"/>
    <w:rsid w:val="003A7A06"/>
    <w:rsid w:val="003A7B86"/>
    <w:rsid w:val="003B009D"/>
    <w:rsid w:val="003B0AB1"/>
    <w:rsid w:val="003B0DCC"/>
    <w:rsid w:val="003B0EFE"/>
    <w:rsid w:val="003B13B5"/>
    <w:rsid w:val="003B1411"/>
    <w:rsid w:val="003B1E0E"/>
    <w:rsid w:val="003B21E0"/>
    <w:rsid w:val="003B2ACA"/>
    <w:rsid w:val="003B2D97"/>
    <w:rsid w:val="003B332A"/>
    <w:rsid w:val="003B3FB1"/>
    <w:rsid w:val="003B4055"/>
    <w:rsid w:val="003B4A54"/>
    <w:rsid w:val="003B4ACE"/>
    <w:rsid w:val="003B4BA0"/>
    <w:rsid w:val="003B5259"/>
    <w:rsid w:val="003B5E1F"/>
    <w:rsid w:val="003B5E42"/>
    <w:rsid w:val="003B60BA"/>
    <w:rsid w:val="003B60EC"/>
    <w:rsid w:val="003B6B86"/>
    <w:rsid w:val="003B6F42"/>
    <w:rsid w:val="003B7222"/>
    <w:rsid w:val="003B7586"/>
    <w:rsid w:val="003C0CB0"/>
    <w:rsid w:val="003C0DC0"/>
    <w:rsid w:val="003C0FD0"/>
    <w:rsid w:val="003C1037"/>
    <w:rsid w:val="003C14FF"/>
    <w:rsid w:val="003C1F8B"/>
    <w:rsid w:val="003C2440"/>
    <w:rsid w:val="003C2AAE"/>
    <w:rsid w:val="003C3028"/>
    <w:rsid w:val="003C3488"/>
    <w:rsid w:val="003C3698"/>
    <w:rsid w:val="003C3AE5"/>
    <w:rsid w:val="003C4199"/>
    <w:rsid w:val="003C41D3"/>
    <w:rsid w:val="003C41EC"/>
    <w:rsid w:val="003C448D"/>
    <w:rsid w:val="003C44A1"/>
    <w:rsid w:val="003C45E7"/>
    <w:rsid w:val="003C48C0"/>
    <w:rsid w:val="003C5690"/>
    <w:rsid w:val="003C674F"/>
    <w:rsid w:val="003C6E06"/>
    <w:rsid w:val="003C7A25"/>
    <w:rsid w:val="003D01AD"/>
    <w:rsid w:val="003D08D2"/>
    <w:rsid w:val="003D18D2"/>
    <w:rsid w:val="003D233D"/>
    <w:rsid w:val="003D2785"/>
    <w:rsid w:val="003D2BFD"/>
    <w:rsid w:val="003D3C1B"/>
    <w:rsid w:val="003D3E40"/>
    <w:rsid w:val="003D41CF"/>
    <w:rsid w:val="003D44B8"/>
    <w:rsid w:val="003D4DE3"/>
    <w:rsid w:val="003D5199"/>
    <w:rsid w:val="003D54E0"/>
    <w:rsid w:val="003D56BC"/>
    <w:rsid w:val="003D5753"/>
    <w:rsid w:val="003D5756"/>
    <w:rsid w:val="003D6599"/>
    <w:rsid w:val="003D6C0B"/>
    <w:rsid w:val="003D71B3"/>
    <w:rsid w:val="003D76B5"/>
    <w:rsid w:val="003D795B"/>
    <w:rsid w:val="003E0015"/>
    <w:rsid w:val="003E054E"/>
    <w:rsid w:val="003E0574"/>
    <w:rsid w:val="003E06A9"/>
    <w:rsid w:val="003E0873"/>
    <w:rsid w:val="003E0974"/>
    <w:rsid w:val="003E15EE"/>
    <w:rsid w:val="003E1674"/>
    <w:rsid w:val="003E1710"/>
    <w:rsid w:val="003E25F3"/>
    <w:rsid w:val="003E27BC"/>
    <w:rsid w:val="003E2A00"/>
    <w:rsid w:val="003E3355"/>
    <w:rsid w:val="003E339F"/>
    <w:rsid w:val="003E3504"/>
    <w:rsid w:val="003E43DD"/>
    <w:rsid w:val="003E477E"/>
    <w:rsid w:val="003E4DDE"/>
    <w:rsid w:val="003E50B6"/>
    <w:rsid w:val="003E5746"/>
    <w:rsid w:val="003E5FC9"/>
    <w:rsid w:val="003E611C"/>
    <w:rsid w:val="003E61CA"/>
    <w:rsid w:val="003E65E7"/>
    <w:rsid w:val="003E6690"/>
    <w:rsid w:val="003E66E5"/>
    <w:rsid w:val="003E6F5E"/>
    <w:rsid w:val="003E6F6B"/>
    <w:rsid w:val="003E7295"/>
    <w:rsid w:val="003E7A54"/>
    <w:rsid w:val="003E7B25"/>
    <w:rsid w:val="003F01B2"/>
    <w:rsid w:val="003F03A4"/>
    <w:rsid w:val="003F0541"/>
    <w:rsid w:val="003F15E4"/>
    <w:rsid w:val="003F1712"/>
    <w:rsid w:val="003F1774"/>
    <w:rsid w:val="003F1784"/>
    <w:rsid w:val="003F181C"/>
    <w:rsid w:val="003F1F61"/>
    <w:rsid w:val="003F253B"/>
    <w:rsid w:val="003F2805"/>
    <w:rsid w:val="003F2C0E"/>
    <w:rsid w:val="003F3821"/>
    <w:rsid w:val="003F3CA6"/>
    <w:rsid w:val="003F4243"/>
    <w:rsid w:val="003F4330"/>
    <w:rsid w:val="003F44FE"/>
    <w:rsid w:val="003F505B"/>
    <w:rsid w:val="003F530B"/>
    <w:rsid w:val="003F534E"/>
    <w:rsid w:val="003F59A9"/>
    <w:rsid w:val="003F5C80"/>
    <w:rsid w:val="003F5FED"/>
    <w:rsid w:val="003F64E7"/>
    <w:rsid w:val="003F66C8"/>
    <w:rsid w:val="003F68CF"/>
    <w:rsid w:val="003F7377"/>
    <w:rsid w:val="003F73AF"/>
    <w:rsid w:val="003F76F4"/>
    <w:rsid w:val="00400A4D"/>
    <w:rsid w:val="00400DC2"/>
    <w:rsid w:val="00400EB7"/>
    <w:rsid w:val="00400F27"/>
    <w:rsid w:val="004025C2"/>
    <w:rsid w:val="004026DE"/>
    <w:rsid w:val="00402B7B"/>
    <w:rsid w:val="00403645"/>
    <w:rsid w:val="0040412A"/>
    <w:rsid w:val="00404428"/>
    <w:rsid w:val="004044DE"/>
    <w:rsid w:val="004046F8"/>
    <w:rsid w:val="00404994"/>
    <w:rsid w:val="00405930"/>
    <w:rsid w:val="00405A2D"/>
    <w:rsid w:val="00405FE3"/>
    <w:rsid w:val="00406994"/>
    <w:rsid w:val="00407072"/>
    <w:rsid w:val="004071C0"/>
    <w:rsid w:val="00407874"/>
    <w:rsid w:val="0040797B"/>
    <w:rsid w:val="00407B07"/>
    <w:rsid w:val="00407CCA"/>
    <w:rsid w:val="004108E5"/>
    <w:rsid w:val="00411A0F"/>
    <w:rsid w:val="00411CE0"/>
    <w:rsid w:val="00411F80"/>
    <w:rsid w:val="00412036"/>
    <w:rsid w:val="004132E2"/>
    <w:rsid w:val="004146E2"/>
    <w:rsid w:val="00414B01"/>
    <w:rsid w:val="00414F1F"/>
    <w:rsid w:val="00415BEA"/>
    <w:rsid w:val="00415CE5"/>
    <w:rsid w:val="00416A0B"/>
    <w:rsid w:val="00417C44"/>
    <w:rsid w:val="00417CD7"/>
    <w:rsid w:val="00417EB7"/>
    <w:rsid w:val="00420230"/>
    <w:rsid w:val="004205F1"/>
    <w:rsid w:val="00420A2E"/>
    <w:rsid w:val="00421232"/>
    <w:rsid w:val="004217E0"/>
    <w:rsid w:val="004219F2"/>
    <w:rsid w:val="00421D5E"/>
    <w:rsid w:val="00422208"/>
    <w:rsid w:val="00422907"/>
    <w:rsid w:val="00422DBF"/>
    <w:rsid w:val="004231CC"/>
    <w:rsid w:val="004234EF"/>
    <w:rsid w:val="0042382E"/>
    <w:rsid w:val="00423F6C"/>
    <w:rsid w:val="00424AC9"/>
    <w:rsid w:val="0042513A"/>
    <w:rsid w:val="004251CF"/>
    <w:rsid w:val="004258D9"/>
    <w:rsid w:val="00425B14"/>
    <w:rsid w:val="00425EAC"/>
    <w:rsid w:val="0042608B"/>
    <w:rsid w:val="00427553"/>
    <w:rsid w:val="004277BB"/>
    <w:rsid w:val="0043035C"/>
    <w:rsid w:val="00430398"/>
    <w:rsid w:val="00431439"/>
    <w:rsid w:val="004317C8"/>
    <w:rsid w:val="00431EB5"/>
    <w:rsid w:val="004321C3"/>
    <w:rsid w:val="004325E4"/>
    <w:rsid w:val="0043267E"/>
    <w:rsid w:val="004326B3"/>
    <w:rsid w:val="00432E69"/>
    <w:rsid w:val="00433581"/>
    <w:rsid w:val="00433AA5"/>
    <w:rsid w:val="00433F10"/>
    <w:rsid w:val="00434427"/>
    <w:rsid w:val="00434C7B"/>
    <w:rsid w:val="00434E65"/>
    <w:rsid w:val="00434FC5"/>
    <w:rsid w:val="004356E4"/>
    <w:rsid w:val="00435D7A"/>
    <w:rsid w:val="00436011"/>
    <w:rsid w:val="004367E1"/>
    <w:rsid w:val="004376FC"/>
    <w:rsid w:val="0043797E"/>
    <w:rsid w:val="00437D15"/>
    <w:rsid w:val="00440399"/>
    <w:rsid w:val="00440739"/>
    <w:rsid w:val="004409AC"/>
    <w:rsid w:val="00440A45"/>
    <w:rsid w:val="00440D89"/>
    <w:rsid w:val="00440ED6"/>
    <w:rsid w:val="0044162C"/>
    <w:rsid w:val="00441826"/>
    <w:rsid w:val="0044195F"/>
    <w:rsid w:val="00441E1E"/>
    <w:rsid w:val="00441FBF"/>
    <w:rsid w:val="0044289D"/>
    <w:rsid w:val="00442AE6"/>
    <w:rsid w:val="00443149"/>
    <w:rsid w:val="004434A5"/>
    <w:rsid w:val="004436BD"/>
    <w:rsid w:val="004437F9"/>
    <w:rsid w:val="0044386E"/>
    <w:rsid w:val="004438B2"/>
    <w:rsid w:val="00443A0B"/>
    <w:rsid w:val="00443A0F"/>
    <w:rsid w:val="00443FA9"/>
    <w:rsid w:val="0044490C"/>
    <w:rsid w:val="00445D2D"/>
    <w:rsid w:val="00446D17"/>
    <w:rsid w:val="00446E24"/>
    <w:rsid w:val="00447597"/>
    <w:rsid w:val="00447B84"/>
    <w:rsid w:val="00447F8F"/>
    <w:rsid w:val="004500A3"/>
    <w:rsid w:val="00450BCA"/>
    <w:rsid w:val="00450DD8"/>
    <w:rsid w:val="0045137E"/>
    <w:rsid w:val="00451B60"/>
    <w:rsid w:val="00451C31"/>
    <w:rsid w:val="00451D27"/>
    <w:rsid w:val="0045206B"/>
    <w:rsid w:val="004522AE"/>
    <w:rsid w:val="004524C5"/>
    <w:rsid w:val="004526CA"/>
    <w:rsid w:val="0045281E"/>
    <w:rsid w:val="004529AA"/>
    <w:rsid w:val="004529E9"/>
    <w:rsid w:val="00452FD0"/>
    <w:rsid w:val="004534A0"/>
    <w:rsid w:val="0045414C"/>
    <w:rsid w:val="00454D86"/>
    <w:rsid w:val="00454E6A"/>
    <w:rsid w:val="004551A2"/>
    <w:rsid w:val="004559C7"/>
    <w:rsid w:val="00456796"/>
    <w:rsid w:val="00456BB6"/>
    <w:rsid w:val="00456C53"/>
    <w:rsid w:val="0045715A"/>
    <w:rsid w:val="00457513"/>
    <w:rsid w:val="00457B45"/>
    <w:rsid w:val="00457C0E"/>
    <w:rsid w:val="004608B2"/>
    <w:rsid w:val="00460AC4"/>
    <w:rsid w:val="00461A07"/>
    <w:rsid w:val="00461E88"/>
    <w:rsid w:val="004627C9"/>
    <w:rsid w:val="00462CCF"/>
    <w:rsid w:val="004632EC"/>
    <w:rsid w:val="00463443"/>
    <w:rsid w:val="00464472"/>
    <w:rsid w:val="004646C3"/>
    <w:rsid w:val="00464752"/>
    <w:rsid w:val="0046492C"/>
    <w:rsid w:val="00465A23"/>
    <w:rsid w:val="00465F5A"/>
    <w:rsid w:val="00466297"/>
    <w:rsid w:val="00466620"/>
    <w:rsid w:val="00466A38"/>
    <w:rsid w:val="00466C07"/>
    <w:rsid w:val="00467054"/>
    <w:rsid w:val="004713F1"/>
    <w:rsid w:val="004714A1"/>
    <w:rsid w:val="0047160E"/>
    <w:rsid w:val="0047212E"/>
    <w:rsid w:val="00472862"/>
    <w:rsid w:val="00472BAF"/>
    <w:rsid w:val="004736A2"/>
    <w:rsid w:val="00473888"/>
    <w:rsid w:val="00473A59"/>
    <w:rsid w:val="00473B49"/>
    <w:rsid w:val="00473D8E"/>
    <w:rsid w:val="00474157"/>
    <w:rsid w:val="00474EB2"/>
    <w:rsid w:val="00475401"/>
    <w:rsid w:val="00475D65"/>
    <w:rsid w:val="00476090"/>
    <w:rsid w:val="0047694A"/>
    <w:rsid w:val="00476AD7"/>
    <w:rsid w:val="00476DB6"/>
    <w:rsid w:val="0047709B"/>
    <w:rsid w:val="00477434"/>
    <w:rsid w:val="00477C56"/>
    <w:rsid w:val="00480472"/>
    <w:rsid w:val="00480A0A"/>
    <w:rsid w:val="00480A45"/>
    <w:rsid w:val="004816F4"/>
    <w:rsid w:val="00482738"/>
    <w:rsid w:val="00482CF0"/>
    <w:rsid w:val="00482F81"/>
    <w:rsid w:val="0048398A"/>
    <w:rsid w:val="00483C4A"/>
    <w:rsid w:val="00483EEE"/>
    <w:rsid w:val="004846D4"/>
    <w:rsid w:val="00484EAE"/>
    <w:rsid w:val="00484FA1"/>
    <w:rsid w:val="004857FB"/>
    <w:rsid w:val="00486204"/>
    <w:rsid w:val="00486890"/>
    <w:rsid w:val="00486B40"/>
    <w:rsid w:val="00486DE5"/>
    <w:rsid w:val="004871FB"/>
    <w:rsid w:val="00487595"/>
    <w:rsid w:val="004879CD"/>
    <w:rsid w:val="00487CF8"/>
    <w:rsid w:val="00487E5B"/>
    <w:rsid w:val="00490703"/>
    <w:rsid w:val="004908EC"/>
    <w:rsid w:val="004913CA"/>
    <w:rsid w:val="004916B1"/>
    <w:rsid w:val="004918A0"/>
    <w:rsid w:val="00492109"/>
    <w:rsid w:val="00492608"/>
    <w:rsid w:val="00493149"/>
    <w:rsid w:val="004931AB"/>
    <w:rsid w:val="00493B0A"/>
    <w:rsid w:val="00494B70"/>
    <w:rsid w:val="00495226"/>
    <w:rsid w:val="004953FA"/>
    <w:rsid w:val="004955CA"/>
    <w:rsid w:val="00496275"/>
    <w:rsid w:val="004965D6"/>
    <w:rsid w:val="00496ABF"/>
    <w:rsid w:val="00497481"/>
    <w:rsid w:val="004974E2"/>
    <w:rsid w:val="004978DD"/>
    <w:rsid w:val="0049793F"/>
    <w:rsid w:val="00497945"/>
    <w:rsid w:val="004A10FF"/>
    <w:rsid w:val="004A1315"/>
    <w:rsid w:val="004A1319"/>
    <w:rsid w:val="004A1472"/>
    <w:rsid w:val="004A167F"/>
    <w:rsid w:val="004A16A3"/>
    <w:rsid w:val="004A1853"/>
    <w:rsid w:val="004A1B63"/>
    <w:rsid w:val="004A1D42"/>
    <w:rsid w:val="004A1F15"/>
    <w:rsid w:val="004A2024"/>
    <w:rsid w:val="004A205E"/>
    <w:rsid w:val="004A23CC"/>
    <w:rsid w:val="004A25CB"/>
    <w:rsid w:val="004A2F96"/>
    <w:rsid w:val="004A3030"/>
    <w:rsid w:val="004A3277"/>
    <w:rsid w:val="004A3637"/>
    <w:rsid w:val="004A3768"/>
    <w:rsid w:val="004A3AF8"/>
    <w:rsid w:val="004A3B24"/>
    <w:rsid w:val="004A3CF0"/>
    <w:rsid w:val="004A3D2F"/>
    <w:rsid w:val="004A4337"/>
    <w:rsid w:val="004A44E1"/>
    <w:rsid w:val="004A450E"/>
    <w:rsid w:val="004A5015"/>
    <w:rsid w:val="004A5286"/>
    <w:rsid w:val="004A5A37"/>
    <w:rsid w:val="004A745D"/>
    <w:rsid w:val="004A7744"/>
    <w:rsid w:val="004A784B"/>
    <w:rsid w:val="004B00C8"/>
    <w:rsid w:val="004B011E"/>
    <w:rsid w:val="004B0411"/>
    <w:rsid w:val="004B0F39"/>
    <w:rsid w:val="004B1092"/>
    <w:rsid w:val="004B22BA"/>
    <w:rsid w:val="004B299F"/>
    <w:rsid w:val="004B2AE7"/>
    <w:rsid w:val="004B2F2F"/>
    <w:rsid w:val="004B327B"/>
    <w:rsid w:val="004B3A77"/>
    <w:rsid w:val="004B3B52"/>
    <w:rsid w:val="004B3EB7"/>
    <w:rsid w:val="004B40F6"/>
    <w:rsid w:val="004B411F"/>
    <w:rsid w:val="004B4135"/>
    <w:rsid w:val="004B475D"/>
    <w:rsid w:val="004B4BD8"/>
    <w:rsid w:val="004B4CFF"/>
    <w:rsid w:val="004B4D80"/>
    <w:rsid w:val="004B4E24"/>
    <w:rsid w:val="004B5172"/>
    <w:rsid w:val="004B53CE"/>
    <w:rsid w:val="004B5EA1"/>
    <w:rsid w:val="004B5F5D"/>
    <w:rsid w:val="004B6094"/>
    <w:rsid w:val="004B6355"/>
    <w:rsid w:val="004B7127"/>
    <w:rsid w:val="004B732D"/>
    <w:rsid w:val="004B7A79"/>
    <w:rsid w:val="004B7B48"/>
    <w:rsid w:val="004B7B65"/>
    <w:rsid w:val="004C01A4"/>
    <w:rsid w:val="004C0A91"/>
    <w:rsid w:val="004C0D30"/>
    <w:rsid w:val="004C0D36"/>
    <w:rsid w:val="004C1A5C"/>
    <w:rsid w:val="004C2553"/>
    <w:rsid w:val="004C2648"/>
    <w:rsid w:val="004C27DE"/>
    <w:rsid w:val="004C2A67"/>
    <w:rsid w:val="004C2DE1"/>
    <w:rsid w:val="004C2EFD"/>
    <w:rsid w:val="004C4367"/>
    <w:rsid w:val="004C4377"/>
    <w:rsid w:val="004C47B2"/>
    <w:rsid w:val="004C5E67"/>
    <w:rsid w:val="004C6098"/>
    <w:rsid w:val="004C60C8"/>
    <w:rsid w:val="004C61FF"/>
    <w:rsid w:val="004C623F"/>
    <w:rsid w:val="004C65B8"/>
    <w:rsid w:val="004C6BE1"/>
    <w:rsid w:val="004C6E35"/>
    <w:rsid w:val="004C6FCF"/>
    <w:rsid w:val="004C70DA"/>
    <w:rsid w:val="004C7FAC"/>
    <w:rsid w:val="004D03EA"/>
    <w:rsid w:val="004D1645"/>
    <w:rsid w:val="004D1744"/>
    <w:rsid w:val="004D22B1"/>
    <w:rsid w:val="004D3A1F"/>
    <w:rsid w:val="004D4160"/>
    <w:rsid w:val="004D5332"/>
    <w:rsid w:val="004D63D6"/>
    <w:rsid w:val="004D6587"/>
    <w:rsid w:val="004D6A5C"/>
    <w:rsid w:val="004D6EB4"/>
    <w:rsid w:val="004D776F"/>
    <w:rsid w:val="004D783F"/>
    <w:rsid w:val="004E0BA3"/>
    <w:rsid w:val="004E0E1A"/>
    <w:rsid w:val="004E0F86"/>
    <w:rsid w:val="004E10BE"/>
    <w:rsid w:val="004E136B"/>
    <w:rsid w:val="004E20D2"/>
    <w:rsid w:val="004E2181"/>
    <w:rsid w:val="004E258F"/>
    <w:rsid w:val="004E2827"/>
    <w:rsid w:val="004E2ACC"/>
    <w:rsid w:val="004E30F8"/>
    <w:rsid w:val="004E3771"/>
    <w:rsid w:val="004E3CF9"/>
    <w:rsid w:val="004E470A"/>
    <w:rsid w:val="004E4B28"/>
    <w:rsid w:val="004E53BB"/>
    <w:rsid w:val="004E5538"/>
    <w:rsid w:val="004E5739"/>
    <w:rsid w:val="004E5A10"/>
    <w:rsid w:val="004E5C0F"/>
    <w:rsid w:val="004E6C72"/>
    <w:rsid w:val="004E6E7C"/>
    <w:rsid w:val="004E7058"/>
    <w:rsid w:val="004E77BE"/>
    <w:rsid w:val="004E7A9D"/>
    <w:rsid w:val="004F1283"/>
    <w:rsid w:val="004F13C2"/>
    <w:rsid w:val="004F1A18"/>
    <w:rsid w:val="004F330C"/>
    <w:rsid w:val="004F3354"/>
    <w:rsid w:val="004F33C0"/>
    <w:rsid w:val="004F3DFE"/>
    <w:rsid w:val="004F3F89"/>
    <w:rsid w:val="004F422A"/>
    <w:rsid w:val="004F42C5"/>
    <w:rsid w:val="004F4633"/>
    <w:rsid w:val="004F4999"/>
    <w:rsid w:val="004F499C"/>
    <w:rsid w:val="004F4A4C"/>
    <w:rsid w:val="004F4D5B"/>
    <w:rsid w:val="004F4E41"/>
    <w:rsid w:val="004F5137"/>
    <w:rsid w:val="004F567A"/>
    <w:rsid w:val="004F5BC4"/>
    <w:rsid w:val="004F61C6"/>
    <w:rsid w:val="004F66F1"/>
    <w:rsid w:val="004F677B"/>
    <w:rsid w:val="004F7B30"/>
    <w:rsid w:val="004F7CF8"/>
    <w:rsid w:val="005001B1"/>
    <w:rsid w:val="005004A5"/>
    <w:rsid w:val="00500623"/>
    <w:rsid w:val="00500675"/>
    <w:rsid w:val="00500AB6"/>
    <w:rsid w:val="005018A5"/>
    <w:rsid w:val="00501AB0"/>
    <w:rsid w:val="005026D3"/>
    <w:rsid w:val="005027A9"/>
    <w:rsid w:val="0050311A"/>
    <w:rsid w:val="00503840"/>
    <w:rsid w:val="00503BE5"/>
    <w:rsid w:val="00503D05"/>
    <w:rsid w:val="00503D5A"/>
    <w:rsid w:val="00503EF1"/>
    <w:rsid w:val="00504187"/>
    <w:rsid w:val="00504450"/>
    <w:rsid w:val="0050455A"/>
    <w:rsid w:val="005046CA"/>
    <w:rsid w:val="005049E6"/>
    <w:rsid w:val="00505054"/>
    <w:rsid w:val="005057FE"/>
    <w:rsid w:val="00505AB0"/>
    <w:rsid w:val="00505ECD"/>
    <w:rsid w:val="00506F8A"/>
    <w:rsid w:val="00507236"/>
    <w:rsid w:val="0050793A"/>
    <w:rsid w:val="00507F26"/>
    <w:rsid w:val="005102BD"/>
    <w:rsid w:val="005109D8"/>
    <w:rsid w:val="00510B09"/>
    <w:rsid w:val="005114E6"/>
    <w:rsid w:val="0051176F"/>
    <w:rsid w:val="005122B2"/>
    <w:rsid w:val="005123AC"/>
    <w:rsid w:val="005126CF"/>
    <w:rsid w:val="00512A48"/>
    <w:rsid w:val="00512D8B"/>
    <w:rsid w:val="00513286"/>
    <w:rsid w:val="0051413C"/>
    <w:rsid w:val="00514181"/>
    <w:rsid w:val="00514E7C"/>
    <w:rsid w:val="005153E5"/>
    <w:rsid w:val="00515DD4"/>
    <w:rsid w:val="005164EA"/>
    <w:rsid w:val="005169CC"/>
    <w:rsid w:val="00516BBF"/>
    <w:rsid w:val="00516BE3"/>
    <w:rsid w:val="00516C6D"/>
    <w:rsid w:val="00516F9A"/>
    <w:rsid w:val="00517908"/>
    <w:rsid w:val="00520170"/>
    <w:rsid w:val="005212A5"/>
    <w:rsid w:val="005216AC"/>
    <w:rsid w:val="00521A3A"/>
    <w:rsid w:val="00521D02"/>
    <w:rsid w:val="0052234B"/>
    <w:rsid w:val="00522AED"/>
    <w:rsid w:val="005231B0"/>
    <w:rsid w:val="00523A09"/>
    <w:rsid w:val="00523CD8"/>
    <w:rsid w:val="0052426F"/>
    <w:rsid w:val="00524477"/>
    <w:rsid w:val="00524659"/>
    <w:rsid w:val="00524E76"/>
    <w:rsid w:val="00524EE6"/>
    <w:rsid w:val="005251E4"/>
    <w:rsid w:val="0052530F"/>
    <w:rsid w:val="00525D05"/>
    <w:rsid w:val="00525F1D"/>
    <w:rsid w:val="00526D8F"/>
    <w:rsid w:val="00526ED3"/>
    <w:rsid w:val="00526F7B"/>
    <w:rsid w:val="0052763A"/>
    <w:rsid w:val="00527888"/>
    <w:rsid w:val="00527A7C"/>
    <w:rsid w:val="005301AA"/>
    <w:rsid w:val="005302BF"/>
    <w:rsid w:val="00530466"/>
    <w:rsid w:val="005309F1"/>
    <w:rsid w:val="00530C7E"/>
    <w:rsid w:val="00530E10"/>
    <w:rsid w:val="00530E55"/>
    <w:rsid w:val="00531555"/>
    <w:rsid w:val="00531B9A"/>
    <w:rsid w:val="005320CF"/>
    <w:rsid w:val="005325CD"/>
    <w:rsid w:val="0053384F"/>
    <w:rsid w:val="00534456"/>
    <w:rsid w:val="005345B1"/>
    <w:rsid w:val="00534EAF"/>
    <w:rsid w:val="00535BCC"/>
    <w:rsid w:val="00535D00"/>
    <w:rsid w:val="00535DFE"/>
    <w:rsid w:val="00536043"/>
    <w:rsid w:val="00536726"/>
    <w:rsid w:val="00536DDB"/>
    <w:rsid w:val="0053735B"/>
    <w:rsid w:val="00537AFA"/>
    <w:rsid w:val="00537F67"/>
    <w:rsid w:val="005400ED"/>
    <w:rsid w:val="00540286"/>
    <w:rsid w:val="00540A71"/>
    <w:rsid w:val="0054100C"/>
    <w:rsid w:val="00541D40"/>
    <w:rsid w:val="005427F5"/>
    <w:rsid w:val="00542808"/>
    <w:rsid w:val="00542BA4"/>
    <w:rsid w:val="00543AD8"/>
    <w:rsid w:val="00543B7F"/>
    <w:rsid w:val="00543F04"/>
    <w:rsid w:val="00544035"/>
    <w:rsid w:val="00544083"/>
    <w:rsid w:val="00544ECE"/>
    <w:rsid w:val="00545754"/>
    <w:rsid w:val="00545823"/>
    <w:rsid w:val="005465D6"/>
    <w:rsid w:val="0054667C"/>
    <w:rsid w:val="005467D8"/>
    <w:rsid w:val="00546CC1"/>
    <w:rsid w:val="0054717C"/>
    <w:rsid w:val="005475C5"/>
    <w:rsid w:val="00547B49"/>
    <w:rsid w:val="00547CAD"/>
    <w:rsid w:val="0055068E"/>
    <w:rsid w:val="005508B3"/>
    <w:rsid w:val="00551260"/>
    <w:rsid w:val="005515D7"/>
    <w:rsid w:val="00551926"/>
    <w:rsid w:val="00552338"/>
    <w:rsid w:val="0055236B"/>
    <w:rsid w:val="005526F7"/>
    <w:rsid w:val="00552FA4"/>
    <w:rsid w:val="00552FD6"/>
    <w:rsid w:val="00553853"/>
    <w:rsid w:val="005545EA"/>
    <w:rsid w:val="00554793"/>
    <w:rsid w:val="00554852"/>
    <w:rsid w:val="00554E94"/>
    <w:rsid w:val="0055612E"/>
    <w:rsid w:val="00556223"/>
    <w:rsid w:val="00557250"/>
    <w:rsid w:val="0055766B"/>
    <w:rsid w:val="005578B8"/>
    <w:rsid w:val="005600D3"/>
    <w:rsid w:val="00560EA8"/>
    <w:rsid w:val="0056111F"/>
    <w:rsid w:val="00561A48"/>
    <w:rsid w:val="00562204"/>
    <w:rsid w:val="00562F61"/>
    <w:rsid w:val="00563407"/>
    <w:rsid w:val="005636A8"/>
    <w:rsid w:val="005636B2"/>
    <w:rsid w:val="00563B7C"/>
    <w:rsid w:val="0056446E"/>
    <w:rsid w:val="005647D4"/>
    <w:rsid w:val="00564FC0"/>
    <w:rsid w:val="005651EC"/>
    <w:rsid w:val="005654F1"/>
    <w:rsid w:val="005659AC"/>
    <w:rsid w:val="00565FFB"/>
    <w:rsid w:val="005660E0"/>
    <w:rsid w:val="00566A59"/>
    <w:rsid w:val="005673D7"/>
    <w:rsid w:val="005704E1"/>
    <w:rsid w:val="00570776"/>
    <w:rsid w:val="00570CCC"/>
    <w:rsid w:val="00571083"/>
    <w:rsid w:val="00571101"/>
    <w:rsid w:val="0057120A"/>
    <w:rsid w:val="005721D6"/>
    <w:rsid w:val="005723FA"/>
    <w:rsid w:val="00572E47"/>
    <w:rsid w:val="00573397"/>
    <w:rsid w:val="0057353F"/>
    <w:rsid w:val="00573719"/>
    <w:rsid w:val="005737E9"/>
    <w:rsid w:val="00573A0C"/>
    <w:rsid w:val="00573B5B"/>
    <w:rsid w:val="00573D97"/>
    <w:rsid w:val="00574202"/>
    <w:rsid w:val="005742F0"/>
    <w:rsid w:val="005743FB"/>
    <w:rsid w:val="005748E0"/>
    <w:rsid w:val="005749E1"/>
    <w:rsid w:val="00574C26"/>
    <w:rsid w:val="00575152"/>
    <w:rsid w:val="0057521D"/>
    <w:rsid w:val="0057597A"/>
    <w:rsid w:val="00575EA4"/>
    <w:rsid w:val="00576432"/>
    <w:rsid w:val="005767C5"/>
    <w:rsid w:val="00576F3D"/>
    <w:rsid w:val="00580804"/>
    <w:rsid w:val="005816D6"/>
    <w:rsid w:val="005817E7"/>
    <w:rsid w:val="00581CC5"/>
    <w:rsid w:val="00582162"/>
    <w:rsid w:val="00582C4D"/>
    <w:rsid w:val="00582FB1"/>
    <w:rsid w:val="0058303D"/>
    <w:rsid w:val="00583BC8"/>
    <w:rsid w:val="005844B4"/>
    <w:rsid w:val="005845AB"/>
    <w:rsid w:val="005845D1"/>
    <w:rsid w:val="00584777"/>
    <w:rsid w:val="005857FA"/>
    <w:rsid w:val="00585A58"/>
    <w:rsid w:val="00585AE5"/>
    <w:rsid w:val="00586051"/>
    <w:rsid w:val="0058623E"/>
    <w:rsid w:val="005866D0"/>
    <w:rsid w:val="00586785"/>
    <w:rsid w:val="00586CAF"/>
    <w:rsid w:val="00587530"/>
    <w:rsid w:val="00587DA8"/>
    <w:rsid w:val="00587FCA"/>
    <w:rsid w:val="00590081"/>
    <w:rsid w:val="00590613"/>
    <w:rsid w:val="0059097D"/>
    <w:rsid w:val="005910F4"/>
    <w:rsid w:val="00591437"/>
    <w:rsid w:val="00591480"/>
    <w:rsid w:val="00591A2F"/>
    <w:rsid w:val="00591B64"/>
    <w:rsid w:val="0059291D"/>
    <w:rsid w:val="00592E11"/>
    <w:rsid w:val="005931E1"/>
    <w:rsid w:val="00593694"/>
    <w:rsid w:val="005936B4"/>
    <w:rsid w:val="00593C9B"/>
    <w:rsid w:val="00595B1F"/>
    <w:rsid w:val="00595CE7"/>
    <w:rsid w:val="00595DED"/>
    <w:rsid w:val="00595E6E"/>
    <w:rsid w:val="005966C6"/>
    <w:rsid w:val="0059704A"/>
    <w:rsid w:val="005973D1"/>
    <w:rsid w:val="0059761A"/>
    <w:rsid w:val="00597ADE"/>
    <w:rsid w:val="005A06D8"/>
    <w:rsid w:val="005A0B48"/>
    <w:rsid w:val="005A0C46"/>
    <w:rsid w:val="005A0D36"/>
    <w:rsid w:val="005A1BBD"/>
    <w:rsid w:val="005A1CE7"/>
    <w:rsid w:val="005A1D2E"/>
    <w:rsid w:val="005A1FE7"/>
    <w:rsid w:val="005A21B8"/>
    <w:rsid w:val="005A293B"/>
    <w:rsid w:val="005A2B1A"/>
    <w:rsid w:val="005A2C39"/>
    <w:rsid w:val="005A2CCB"/>
    <w:rsid w:val="005A37B4"/>
    <w:rsid w:val="005A3912"/>
    <w:rsid w:val="005A3DE4"/>
    <w:rsid w:val="005A437D"/>
    <w:rsid w:val="005A459D"/>
    <w:rsid w:val="005A46B4"/>
    <w:rsid w:val="005A5339"/>
    <w:rsid w:val="005A5C98"/>
    <w:rsid w:val="005A5E89"/>
    <w:rsid w:val="005A6531"/>
    <w:rsid w:val="005A6B15"/>
    <w:rsid w:val="005A6B1E"/>
    <w:rsid w:val="005A76B3"/>
    <w:rsid w:val="005A78DB"/>
    <w:rsid w:val="005B0031"/>
    <w:rsid w:val="005B003F"/>
    <w:rsid w:val="005B02FD"/>
    <w:rsid w:val="005B0351"/>
    <w:rsid w:val="005B03AA"/>
    <w:rsid w:val="005B0623"/>
    <w:rsid w:val="005B0A71"/>
    <w:rsid w:val="005B0D34"/>
    <w:rsid w:val="005B0E74"/>
    <w:rsid w:val="005B18E7"/>
    <w:rsid w:val="005B1DAE"/>
    <w:rsid w:val="005B1E2B"/>
    <w:rsid w:val="005B23CA"/>
    <w:rsid w:val="005B24BA"/>
    <w:rsid w:val="005B27AD"/>
    <w:rsid w:val="005B28C6"/>
    <w:rsid w:val="005B2C07"/>
    <w:rsid w:val="005B2C54"/>
    <w:rsid w:val="005B2D52"/>
    <w:rsid w:val="005B32FD"/>
    <w:rsid w:val="005B3CDD"/>
    <w:rsid w:val="005B45C7"/>
    <w:rsid w:val="005B5157"/>
    <w:rsid w:val="005B52AB"/>
    <w:rsid w:val="005B55C6"/>
    <w:rsid w:val="005B6EEC"/>
    <w:rsid w:val="005B70CC"/>
    <w:rsid w:val="005B73E5"/>
    <w:rsid w:val="005B7CD2"/>
    <w:rsid w:val="005C018A"/>
    <w:rsid w:val="005C0CF0"/>
    <w:rsid w:val="005C0F69"/>
    <w:rsid w:val="005C113F"/>
    <w:rsid w:val="005C16AC"/>
    <w:rsid w:val="005C1B0A"/>
    <w:rsid w:val="005C2377"/>
    <w:rsid w:val="005C238E"/>
    <w:rsid w:val="005C286C"/>
    <w:rsid w:val="005C28F0"/>
    <w:rsid w:val="005C2E91"/>
    <w:rsid w:val="005C3320"/>
    <w:rsid w:val="005C3405"/>
    <w:rsid w:val="005C38F6"/>
    <w:rsid w:val="005C39AA"/>
    <w:rsid w:val="005C3AFD"/>
    <w:rsid w:val="005C3BF8"/>
    <w:rsid w:val="005C3F44"/>
    <w:rsid w:val="005C411B"/>
    <w:rsid w:val="005C46C1"/>
    <w:rsid w:val="005C48EF"/>
    <w:rsid w:val="005C5661"/>
    <w:rsid w:val="005C5B25"/>
    <w:rsid w:val="005C5F01"/>
    <w:rsid w:val="005C7B4F"/>
    <w:rsid w:val="005C7DAE"/>
    <w:rsid w:val="005D0290"/>
    <w:rsid w:val="005D0655"/>
    <w:rsid w:val="005D06AB"/>
    <w:rsid w:val="005D1017"/>
    <w:rsid w:val="005D1650"/>
    <w:rsid w:val="005D2406"/>
    <w:rsid w:val="005D285B"/>
    <w:rsid w:val="005D2B95"/>
    <w:rsid w:val="005D3674"/>
    <w:rsid w:val="005D3688"/>
    <w:rsid w:val="005D3B4A"/>
    <w:rsid w:val="005D3E5C"/>
    <w:rsid w:val="005D46E9"/>
    <w:rsid w:val="005D4766"/>
    <w:rsid w:val="005D4B77"/>
    <w:rsid w:val="005D4BDA"/>
    <w:rsid w:val="005D4E7C"/>
    <w:rsid w:val="005D4EE2"/>
    <w:rsid w:val="005D521C"/>
    <w:rsid w:val="005D5276"/>
    <w:rsid w:val="005D566E"/>
    <w:rsid w:val="005D56B8"/>
    <w:rsid w:val="005D56CD"/>
    <w:rsid w:val="005D56DB"/>
    <w:rsid w:val="005D5767"/>
    <w:rsid w:val="005D59F8"/>
    <w:rsid w:val="005D5AC4"/>
    <w:rsid w:val="005D5E8E"/>
    <w:rsid w:val="005D5EC8"/>
    <w:rsid w:val="005D66A1"/>
    <w:rsid w:val="005D6DF2"/>
    <w:rsid w:val="005D731C"/>
    <w:rsid w:val="005D78F3"/>
    <w:rsid w:val="005D7EE5"/>
    <w:rsid w:val="005D7FD3"/>
    <w:rsid w:val="005E023A"/>
    <w:rsid w:val="005E0540"/>
    <w:rsid w:val="005E05D3"/>
    <w:rsid w:val="005E0CBB"/>
    <w:rsid w:val="005E0E8F"/>
    <w:rsid w:val="005E13FD"/>
    <w:rsid w:val="005E1C38"/>
    <w:rsid w:val="005E1FDE"/>
    <w:rsid w:val="005E2922"/>
    <w:rsid w:val="005E2A04"/>
    <w:rsid w:val="005E2E28"/>
    <w:rsid w:val="005E33F6"/>
    <w:rsid w:val="005E36CE"/>
    <w:rsid w:val="005E43A6"/>
    <w:rsid w:val="005E496D"/>
    <w:rsid w:val="005E4EAC"/>
    <w:rsid w:val="005E509D"/>
    <w:rsid w:val="005E5189"/>
    <w:rsid w:val="005E5513"/>
    <w:rsid w:val="005E5541"/>
    <w:rsid w:val="005E5CB7"/>
    <w:rsid w:val="005E5D5A"/>
    <w:rsid w:val="005E6942"/>
    <w:rsid w:val="005E6E2E"/>
    <w:rsid w:val="005E6EE9"/>
    <w:rsid w:val="005E7B6C"/>
    <w:rsid w:val="005E7C7D"/>
    <w:rsid w:val="005F045A"/>
    <w:rsid w:val="005F04F6"/>
    <w:rsid w:val="005F094F"/>
    <w:rsid w:val="005F0D63"/>
    <w:rsid w:val="005F14BB"/>
    <w:rsid w:val="005F1AF6"/>
    <w:rsid w:val="005F1B54"/>
    <w:rsid w:val="005F1E0A"/>
    <w:rsid w:val="005F1F6B"/>
    <w:rsid w:val="005F21B5"/>
    <w:rsid w:val="005F23B9"/>
    <w:rsid w:val="005F2853"/>
    <w:rsid w:val="005F2949"/>
    <w:rsid w:val="005F2A19"/>
    <w:rsid w:val="005F2B46"/>
    <w:rsid w:val="005F3137"/>
    <w:rsid w:val="005F336A"/>
    <w:rsid w:val="005F34CE"/>
    <w:rsid w:val="005F387A"/>
    <w:rsid w:val="005F3C1D"/>
    <w:rsid w:val="005F3DAA"/>
    <w:rsid w:val="005F3DC8"/>
    <w:rsid w:val="005F41A4"/>
    <w:rsid w:val="005F4603"/>
    <w:rsid w:val="005F4753"/>
    <w:rsid w:val="005F49C4"/>
    <w:rsid w:val="005F4DAB"/>
    <w:rsid w:val="005F5885"/>
    <w:rsid w:val="005F5CA0"/>
    <w:rsid w:val="005F5ED0"/>
    <w:rsid w:val="005F5F10"/>
    <w:rsid w:val="005F5FDB"/>
    <w:rsid w:val="005F6064"/>
    <w:rsid w:val="005F61AA"/>
    <w:rsid w:val="005F7291"/>
    <w:rsid w:val="005F78DB"/>
    <w:rsid w:val="005F7EC3"/>
    <w:rsid w:val="005F7FD3"/>
    <w:rsid w:val="0060026B"/>
    <w:rsid w:val="00600627"/>
    <w:rsid w:val="00600789"/>
    <w:rsid w:val="00600B0A"/>
    <w:rsid w:val="00601776"/>
    <w:rsid w:val="00601B0D"/>
    <w:rsid w:val="00602954"/>
    <w:rsid w:val="00602AC4"/>
    <w:rsid w:val="00602E02"/>
    <w:rsid w:val="0060434D"/>
    <w:rsid w:val="00604720"/>
    <w:rsid w:val="00604A1B"/>
    <w:rsid w:val="0060511E"/>
    <w:rsid w:val="006051E2"/>
    <w:rsid w:val="0060533E"/>
    <w:rsid w:val="00605794"/>
    <w:rsid w:val="00605CFE"/>
    <w:rsid w:val="00605ECC"/>
    <w:rsid w:val="00605FA1"/>
    <w:rsid w:val="00605FFF"/>
    <w:rsid w:val="00606035"/>
    <w:rsid w:val="00606760"/>
    <w:rsid w:val="00606A33"/>
    <w:rsid w:val="00606DCF"/>
    <w:rsid w:val="00606F42"/>
    <w:rsid w:val="00607215"/>
    <w:rsid w:val="0060779A"/>
    <w:rsid w:val="00610093"/>
    <w:rsid w:val="00610C92"/>
    <w:rsid w:val="00611022"/>
    <w:rsid w:val="006111A8"/>
    <w:rsid w:val="006112CA"/>
    <w:rsid w:val="00611785"/>
    <w:rsid w:val="00611AA9"/>
    <w:rsid w:val="00611B87"/>
    <w:rsid w:val="006120E9"/>
    <w:rsid w:val="00612464"/>
    <w:rsid w:val="00612B14"/>
    <w:rsid w:val="00612B81"/>
    <w:rsid w:val="00612D8E"/>
    <w:rsid w:val="00613463"/>
    <w:rsid w:val="00613C3B"/>
    <w:rsid w:val="00614120"/>
    <w:rsid w:val="00614283"/>
    <w:rsid w:val="006145EA"/>
    <w:rsid w:val="00614872"/>
    <w:rsid w:val="006149FC"/>
    <w:rsid w:val="00614D6A"/>
    <w:rsid w:val="00615019"/>
    <w:rsid w:val="00615075"/>
    <w:rsid w:val="006156D5"/>
    <w:rsid w:val="006156ED"/>
    <w:rsid w:val="00615978"/>
    <w:rsid w:val="00615982"/>
    <w:rsid w:val="0061661D"/>
    <w:rsid w:val="0061714B"/>
    <w:rsid w:val="00617155"/>
    <w:rsid w:val="006174A0"/>
    <w:rsid w:val="0061764D"/>
    <w:rsid w:val="006179AE"/>
    <w:rsid w:val="00617A13"/>
    <w:rsid w:val="00617CE8"/>
    <w:rsid w:val="00617E88"/>
    <w:rsid w:val="00620C63"/>
    <w:rsid w:val="00621320"/>
    <w:rsid w:val="006213F6"/>
    <w:rsid w:val="006218A8"/>
    <w:rsid w:val="006225A3"/>
    <w:rsid w:val="00622789"/>
    <w:rsid w:val="006228D0"/>
    <w:rsid w:val="00622A49"/>
    <w:rsid w:val="00622FAF"/>
    <w:rsid w:val="00622FBD"/>
    <w:rsid w:val="006236BE"/>
    <w:rsid w:val="00623C5E"/>
    <w:rsid w:val="00623DBD"/>
    <w:rsid w:val="00624961"/>
    <w:rsid w:val="00624B9A"/>
    <w:rsid w:val="00624C13"/>
    <w:rsid w:val="006250AC"/>
    <w:rsid w:val="00625C00"/>
    <w:rsid w:val="006261C2"/>
    <w:rsid w:val="006263AE"/>
    <w:rsid w:val="00626432"/>
    <w:rsid w:val="00626644"/>
    <w:rsid w:val="006266F5"/>
    <w:rsid w:val="00626A47"/>
    <w:rsid w:val="00626E10"/>
    <w:rsid w:val="00626FDD"/>
    <w:rsid w:val="0062719F"/>
    <w:rsid w:val="00627D0D"/>
    <w:rsid w:val="006304EC"/>
    <w:rsid w:val="0063086D"/>
    <w:rsid w:val="00631479"/>
    <w:rsid w:val="00631B76"/>
    <w:rsid w:val="00632074"/>
    <w:rsid w:val="006323F5"/>
    <w:rsid w:val="00633080"/>
    <w:rsid w:val="00633458"/>
    <w:rsid w:val="006335CE"/>
    <w:rsid w:val="006338C3"/>
    <w:rsid w:val="00633B63"/>
    <w:rsid w:val="006347FF"/>
    <w:rsid w:val="00634C3E"/>
    <w:rsid w:val="00635408"/>
    <w:rsid w:val="006355C4"/>
    <w:rsid w:val="00635B2A"/>
    <w:rsid w:val="00635D64"/>
    <w:rsid w:val="00637898"/>
    <w:rsid w:val="00637D57"/>
    <w:rsid w:val="00640173"/>
    <w:rsid w:val="00640A88"/>
    <w:rsid w:val="00640B71"/>
    <w:rsid w:val="00640BF4"/>
    <w:rsid w:val="00640C63"/>
    <w:rsid w:val="00641235"/>
    <w:rsid w:val="00641BE4"/>
    <w:rsid w:val="00641FE6"/>
    <w:rsid w:val="006424F2"/>
    <w:rsid w:val="00642C1E"/>
    <w:rsid w:val="00642FFB"/>
    <w:rsid w:val="00643145"/>
    <w:rsid w:val="006435D7"/>
    <w:rsid w:val="006439A2"/>
    <w:rsid w:val="00643E5A"/>
    <w:rsid w:val="00643EAF"/>
    <w:rsid w:val="006440A8"/>
    <w:rsid w:val="0064461D"/>
    <w:rsid w:val="00644A0C"/>
    <w:rsid w:val="006459ED"/>
    <w:rsid w:val="00645AB6"/>
    <w:rsid w:val="0064624F"/>
    <w:rsid w:val="0064665D"/>
    <w:rsid w:val="006468C7"/>
    <w:rsid w:val="00646948"/>
    <w:rsid w:val="00646B11"/>
    <w:rsid w:val="00646BB6"/>
    <w:rsid w:val="00646C8E"/>
    <w:rsid w:val="0064718F"/>
    <w:rsid w:val="006475E6"/>
    <w:rsid w:val="0065036D"/>
    <w:rsid w:val="00650ACD"/>
    <w:rsid w:val="00650C2F"/>
    <w:rsid w:val="00650C56"/>
    <w:rsid w:val="00650D0B"/>
    <w:rsid w:val="00651128"/>
    <w:rsid w:val="006516DB"/>
    <w:rsid w:val="006519B5"/>
    <w:rsid w:val="00651E7C"/>
    <w:rsid w:val="006521C1"/>
    <w:rsid w:val="006522A6"/>
    <w:rsid w:val="006522B2"/>
    <w:rsid w:val="00652B75"/>
    <w:rsid w:val="00653D23"/>
    <w:rsid w:val="006542F2"/>
    <w:rsid w:val="006546C1"/>
    <w:rsid w:val="0065519C"/>
    <w:rsid w:val="00655A91"/>
    <w:rsid w:val="00655E47"/>
    <w:rsid w:val="006564FA"/>
    <w:rsid w:val="006575B0"/>
    <w:rsid w:val="006576BF"/>
    <w:rsid w:val="00657849"/>
    <w:rsid w:val="00657B88"/>
    <w:rsid w:val="00657F02"/>
    <w:rsid w:val="00660E71"/>
    <w:rsid w:val="00660FA8"/>
    <w:rsid w:val="00661CA8"/>
    <w:rsid w:val="00661E57"/>
    <w:rsid w:val="00662E6B"/>
    <w:rsid w:val="00663669"/>
    <w:rsid w:val="006638FB"/>
    <w:rsid w:val="006641F1"/>
    <w:rsid w:val="0066423D"/>
    <w:rsid w:val="006642EB"/>
    <w:rsid w:val="006647E4"/>
    <w:rsid w:val="0066515F"/>
    <w:rsid w:val="00665309"/>
    <w:rsid w:val="00667041"/>
    <w:rsid w:val="00667055"/>
    <w:rsid w:val="006670FC"/>
    <w:rsid w:val="006677AD"/>
    <w:rsid w:val="006678DA"/>
    <w:rsid w:val="0066798E"/>
    <w:rsid w:val="00670446"/>
    <w:rsid w:val="006704EA"/>
    <w:rsid w:val="0067075B"/>
    <w:rsid w:val="006708C5"/>
    <w:rsid w:val="00670EDC"/>
    <w:rsid w:val="006710FB"/>
    <w:rsid w:val="006715A6"/>
    <w:rsid w:val="00671C53"/>
    <w:rsid w:val="00671CB6"/>
    <w:rsid w:val="00671DFF"/>
    <w:rsid w:val="00672728"/>
    <w:rsid w:val="0067280D"/>
    <w:rsid w:val="0067285D"/>
    <w:rsid w:val="00672912"/>
    <w:rsid w:val="00673796"/>
    <w:rsid w:val="00673948"/>
    <w:rsid w:val="00673C30"/>
    <w:rsid w:val="00673F40"/>
    <w:rsid w:val="006743B5"/>
    <w:rsid w:val="006745BC"/>
    <w:rsid w:val="006746E5"/>
    <w:rsid w:val="00674ABF"/>
    <w:rsid w:val="00674B82"/>
    <w:rsid w:val="00674BFE"/>
    <w:rsid w:val="00674DEC"/>
    <w:rsid w:val="00674ED8"/>
    <w:rsid w:val="00675722"/>
    <w:rsid w:val="0067591B"/>
    <w:rsid w:val="00675E2B"/>
    <w:rsid w:val="0067615F"/>
    <w:rsid w:val="00676776"/>
    <w:rsid w:val="00676860"/>
    <w:rsid w:val="00676C18"/>
    <w:rsid w:val="006772FC"/>
    <w:rsid w:val="00677718"/>
    <w:rsid w:val="006777EB"/>
    <w:rsid w:val="00680611"/>
    <w:rsid w:val="006807AE"/>
    <w:rsid w:val="00680901"/>
    <w:rsid w:val="00680AD5"/>
    <w:rsid w:val="006819C5"/>
    <w:rsid w:val="00681FE0"/>
    <w:rsid w:val="0068205B"/>
    <w:rsid w:val="0068234A"/>
    <w:rsid w:val="006823C4"/>
    <w:rsid w:val="006824BE"/>
    <w:rsid w:val="00682664"/>
    <w:rsid w:val="0068266A"/>
    <w:rsid w:val="006826A8"/>
    <w:rsid w:val="00682802"/>
    <w:rsid w:val="006828BC"/>
    <w:rsid w:val="00682DCE"/>
    <w:rsid w:val="006833BD"/>
    <w:rsid w:val="00683473"/>
    <w:rsid w:val="0068395A"/>
    <w:rsid w:val="00683A20"/>
    <w:rsid w:val="00683C5C"/>
    <w:rsid w:val="00684FA7"/>
    <w:rsid w:val="00685359"/>
    <w:rsid w:val="00685551"/>
    <w:rsid w:val="00685934"/>
    <w:rsid w:val="006859B5"/>
    <w:rsid w:val="00685C9A"/>
    <w:rsid w:val="0068667B"/>
    <w:rsid w:val="00686A5E"/>
    <w:rsid w:val="00686F7C"/>
    <w:rsid w:val="0068709B"/>
    <w:rsid w:val="00687AC8"/>
    <w:rsid w:val="00687D2E"/>
    <w:rsid w:val="00690E8D"/>
    <w:rsid w:val="00691137"/>
    <w:rsid w:val="00691A5B"/>
    <w:rsid w:val="00691DAD"/>
    <w:rsid w:val="0069218D"/>
    <w:rsid w:val="0069259C"/>
    <w:rsid w:val="006929AB"/>
    <w:rsid w:val="006930A8"/>
    <w:rsid w:val="00693267"/>
    <w:rsid w:val="006936C3"/>
    <w:rsid w:val="00693E3A"/>
    <w:rsid w:val="00694980"/>
    <w:rsid w:val="00695139"/>
    <w:rsid w:val="00695228"/>
    <w:rsid w:val="0069588C"/>
    <w:rsid w:val="006964D8"/>
    <w:rsid w:val="00696894"/>
    <w:rsid w:val="00696A41"/>
    <w:rsid w:val="00696B1E"/>
    <w:rsid w:val="00696B9C"/>
    <w:rsid w:val="0069728D"/>
    <w:rsid w:val="0069774D"/>
    <w:rsid w:val="006A202C"/>
    <w:rsid w:val="006A2F9F"/>
    <w:rsid w:val="006A3DB2"/>
    <w:rsid w:val="006A3E9F"/>
    <w:rsid w:val="006A4139"/>
    <w:rsid w:val="006A4DC8"/>
    <w:rsid w:val="006A54D9"/>
    <w:rsid w:val="006A5BE2"/>
    <w:rsid w:val="006A5E72"/>
    <w:rsid w:val="006A69D0"/>
    <w:rsid w:val="006A6EC4"/>
    <w:rsid w:val="006A725B"/>
    <w:rsid w:val="006A7660"/>
    <w:rsid w:val="006B00D4"/>
    <w:rsid w:val="006B010B"/>
    <w:rsid w:val="006B0392"/>
    <w:rsid w:val="006B0451"/>
    <w:rsid w:val="006B0564"/>
    <w:rsid w:val="006B096F"/>
    <w:rsid w:val="006B0B0C"/>
    <w:rsid w:val="006B106A"/>
    <w:rsid w:val="006B12CB"/>
    <w:rsid w:val="006B196E"/>
    <w:rsid w:val="006B2375"/>
    <w:rsid w:val="006B2989"/>
    <w:rsid w:val="006B2F75"/>
    <w:rsid w:val="006B2FD2"/>
    <w:rsid w:val="006B3059"/>
    <w:rsid w:val="006B340A"/>
    <w:rsid w:val="006B36DA"/>
    <w:rsid w:val="006B40F8"/>
    <w:rsid w:val="006B4ADA"/>
    <w:rsid w:val="006B4C77"/>
    <w:rsid w:val="006B4FF2"/>
    <w:rsid w:val="006B504F"/>
    <w:rsid w:val="006B555D"/>
    <w:rsid w:val="006B5898"/>
    <w:rsid w:val="006B5E19"/>
    <w:rsid w:val="006B6183"/>
    <w:rsid w:val="006B61B8"/>
    <w:rsid w:val="006B649D"/>
    <w:rsid w:val="006B6AF7"/>
    <w:rsid w:val="006B6D79"/>
    <w:rsid w:val="006B782F"/>
    <w:rsid w:val="006B7D44"/>
    <w:rsid w:val="006C0C38"/>
    <w:rsid w:val="006C10F6"/>
    <w:rsid w:val="006C15CF"/>
    <w:rsid w:val="006C1E24"/>
    <w:rsid w:val="006C2141"/>
    <w:rsid w:val="006C237A"/>
    <w:rsid w:val="006C2641"/>
    <w:rsid w:val="006C2658"/>
    <w:rsid w:val="006C2715"/>
    <w:rsid w:val="006C28C3"/>
    <w:rsid w:val="006C2E03"/>
    <w:rsid w:val="006C2F5F"/>
    <w:rsid w:val="006C3979"/>
    <w:rsid w:val="006C3D59"/>
    <w:rsid w:val="006C3FD5"/>
    <w:rsid w:val="006C4E80"/>
    <w:rsid w:val="006C535F"/>
    <w:rsid w:val="006C542C"/>
    <w:rsid w:val="006C5C59"/>
    <w:rsid w:val="006C5CF4"/>
    <w:rsid w:val="006C5E53"/>
    <w:rsid w:val="006C61FD"/>
    <w:rsid w:val="006C6C3A"/>
    <w:rsid w:val="006C6EF2"/>
    <w:rsid w:val="006C7104"/>
    <w:rsid w:val="006C7841"/>
    <w:rsid w:val="006C7C98"/>
    <w:rsid w:val="006D00EB"/>
    <w:rsid w:val="006D05A6"/>
    <w:rsid w:val="006D0728"/>
    <w:rsid w:val="006D09AA"/>
    <w:rsid w:val="006D165E"/>
    <w:rsid w:val="006D23D4"/>
    <w:rsid w:val="006D2630"/>
    <w:rsid w:val="006D26A8"/>
    <w:rsid w:val="006D2917"/>
    <w:rsid w:val="006D2A0E"/>
    <w:rsid w:val="006D2F3E"/>
    <w:rsid w:val="006D3555"/>
    <w:rsid w:val="006D3A8F"/>
    <w:rsid w:val="006D4601"/>
    <w:rsid w:val="006D5309"/>
    <w:rsid w:val="006D54F2"/>
    <w:rsid w:val="006D5A21"/>
    <w:rsid w:val="006D5A54"/>
    <w:rsid w:val="006D7C9D"/>
    <w:rsid w:val="006D7CA4"/>
    <w:rsid w:val="006D7DEC"/>
    <w:rsid w:val="006E0110"/>
    <w:rsid w:val="006E08A3"/>
    <w:rsid w:val="006E0C19"/>
    <w:rsid w:val="006E1460"/>
    <w:rsid w:val="006E1471"/>
    <w:rsid w:val="006E1B92"/>
    <w:rsid w:val="006E1C1D"/>
    <w:rsid w:val="006E264B"/>
    <w:rsid w:val="006E2A69"/>
    <w:rsid w:val="006E2B5A"/>
    <w:rsid w:val="006E2CF3"/>
    <w:rsid w:val="006E2D88"/>
    <w:rsid w:val="006E2E93"/>
    <w:rsid w:val="006E2F7E"/>
    <w:rsid w:val="006E2FD7"/>
    <w:rsid w:val="006E3108"/>
    <w:rsid w:val="006E36DC"/>
    <w:rsid w:val="006E3705"/>
    <w:rsid w:val="006E43B5"/>
    <w:rsid w:val="006E493E"/>
    <w:rsid w:val="006E4E79"/>
    <w:rsid w:val="006E52C6"/>
    <w:rsid w:val="006E52EB"/>
    <w:rsid w:val="006E52FF"/>
    <w:rsid w:val="006E5481"/>
    <w:rsid w:val="006E619E"/>
    <w:rsid w:val="006E6453"/>
    <w:rsid w:val="006E6460"/>
    <w:rsid w:val="006E6FB9"/>
    <w:rsid w:val="006E7AF5"/>
    <w:rsid w:val="006E7F64"/>
    <w:rsid w:val="006F0029"/>
    <w:rsid w:val="006F088B"/>
    <w:rsid w:val="006F0ABF"/>
    <w:rsid w:val="006F0B68"/>
    <w:rsid w:val="006F1936"/>
    <w:rsid w:val="006F1A2B"/>
    <w:rsid w:val="006F1EF8"/>
    <w:rsid w:val="006F2045"/>
    <w:rsid w:val="006F2307"/>
    <w:rsid w:val="006F2A56"/>
    <w:rsid w:val="006F2C0C"/>
    <w:rsid w:val="006F2C70"/>
    <w:rsid w:val="006F304B"/>
    <w:rsid w:val="006F3054"/>
    <w:rsid w:val="006F3234"/>
    <w:rsid w:val="006F3F32"/>
    <w:rsid w:val="006F42D9"/>
    <w:rsid w:val="006F459E"/>
    <w:rsid w:val="006F4DE2"/>
    <w:rsid w:val="006F5A30"/>
    <w:rsid w:val="006F68CE"/>
    <w:rsid w:val="006F74F4"/>
    <w:rsid w:val="006F7796"/>
    <w:rsid w:val="006F7B46"/>
    <w:rsid w:val="006F7EEE"/>
    <w:rsid w:val="00700114"/>
    <w:rsid w:val="00700228"/>
    <w:rsid w:val="007003C8"/>
    <w:rsid w:val="007006F1"/>
    <w:rsid w:val="00700A4E"/>
    <w:rsid w:val="00701655"/>
    <w:rsid w:val="00701B07"/>
    <w:rsid w:val="007024BB"/>
    <w:rsid w:val="007029B0"/>
    <w:rsid w:val="00702D31"/>
    <w:rsid w:val="00703501"/>
    <w:rsid w:val="00703AE9"/>
    <w:rsid w:val="00703DAD"/>
    <w:rsid w:val="00703DFB"/>
    <w:rsid w:val="00705562"/>
    <w:rsid w:val="00705580"/>
    <w:rsid w:val="0070592B"/>
    <w:rsid w:val="00705A2C"/>
    <w:rsid w:val="00706325"/>
    <w:rsid w:val="007071AF"/>
    <w:rsid w:val="007071D3"/>
    <w:rsid w:val="00707523"/>
    <w:rsid w:val="007100A8"/>
    <w:rsid w:val="00710467"/>
    <w:rsid w:val="00710682"/>
    <w:rsid w:val="007109FC"/>
    <w:rsid w:val="00710B64"/>
    <w:rsid w:val="00711288"/>
    <w:rsid w:val="0071137C"/>
    <w:rsid w:val="0071183F"/>
    <w:rsid w:val="007119F8"/>
    <w:rsid w:val="007121BA"/>
    <w:rsid w:val="007134F9"/>
    <w:rsid w:val="007137A5"/>
    <w:rsid w:val="00713E2B"/>
    <w:rsid w:val="00713F5E"/>
    <w:rsid w:val="00714124"/>
    <w:rsid w:val="007142F0"/>
    <w:rsid w:val="00714800"/>
    <w:rsid w:val="00714860"/>
    <w:rsid w:val="00715A77"/>
    <w:rsid w:val="00717B4B"/>
    <w:rsid w:val="00717CAC"/>
    <w:rsid w:val="0072039C"/>
    <w:rsid w:val="007203A8"/>
    <w:rsid w:val="007205D1"/>
    <w:rsid w:val="00720D6D"/>
    <w:rsid w:val="00720E39"/>
    <w:rsid w:val="00720FC1"/>
    <w:rsid w:val="00721188"/>
    <w:rsid w:val="00721F1E"/>
    <w:rsid w:val="007225B0"/>
    <w:rsid w:val="007227E8"/>
    <w:rsid w:val="007229E3"/>
    <w:rsid w:val="00723557"/>
    <w:rsid w:val="00723616"/>
    <w:rsid w:val="007237A7"/>
    <w:rsid w:val="00723937"/>
    <w:rsid w:val="00723C24"/>
    <w:rsid w:val="007245FB"/>
    <w:rsid w:val="00724E1B"/>
    <w:rsid w:val="00724E25"/>
    <w:rsid w:val="0072591D"/>
    <w:rsid w:val="00725927"/>
    <w:rsid w:val="00725937"/>
    <w:rsid w:val="00725E49"/>
    <w:rsid w:val="00725FEC"/>
    <w:rsid w:val="00726C8D"/>
    <w:rsid w:val="007274C8"/>
    <w:rsid w:val="00727797"/>
    <w:rsid w:val="00727EB7"/>
    <w:rsid w:val="00727F9A"/>
    <w:rsid w:val="007309CC"/>
    <w:rsid w:val="00731BD4"/>
    <w:rsid w:val="00731C05"/>
    <w:rsid w:val="00732626"/>
    <w:rsid w:val="00732A56"/>
    <w:rsid w:val="00732D30"/>
    <w:rsid w:val="00732F27"/>
    <w:rsid w:val="007331BB"/>
    <w:rsid w:val="007337A7"/>
    <w:rsid w:val="007338CA"/>
    <w:rsid w:val="007339E7"/>
    <w:rsid w:val="00733A04"/>
    <w:rsid w:val="00734DD7"/>
    <w:rsid w:val="00735222"/>
    <w:rsid w:val="007352ED"/>
    <w:rsid w:val="007358BF"/>
    <w:rsid w:val="007358F0"/>
    <w:rsid w:val="00735A17"/>
    <w:rsid w:val="00735D2D"/>
    <w:rsid w:val="00735F28"/>
    <w:rsid w:val="007360E1"/>
    <w:rsid w:val="00736120"/>
    <w:rsid w:val="007362C8"/>
    <w:rsid w:val="007373AC"/>
    <w:rsid w:val="007374B1"/>
    <w:rsid w:val="00737DEE"/>
    <w:rsid w:val="00737EB5"/>
    <w:rsid w:val="007402F1"/>
    <w:rsid w:val="00740B54"/>
    <w:rsid w:val="0074221C"/>
    <w:rsid w:val="0074295A"/>
    <w:rsid w:val="00742A3B"/>
    <w:rsid w:val="00743C5A"/>
    <w:rsid w:val="00743F22"/>
    <w:rsid w:val="007440AA"/>
    <w:rsid w:val="00744282"/>
    <w:rsid w:val="00744440"/>
    <w:rsid w:val="007451C3"/>
    <w:rsid w:val="007453A2"/>
    <w:rsid w:val="00745941"/>
    <w:rsid w:val="007469CE"/>
    <w:rsid w:val="00746A2B"/>
    <w:rsid w:val="007474BB"/>
    <w:rsid w:val="00747CD9"/>
    <w:rsid w:val="00747D80"/>
    <w:rsid w:val="00747E1C"/>
    <w:rsid w:val="00747EAB"/>
    <w:rsid w:val="00750006"/>
    <w:rsid w:val="00750326"/>
    <w:rsid w:val="00750605"/>
    <w:rsid w:val="007506A7"/>
    <w:rsid w:val="00751E4B"/>
    <w:rsid w:val="00751F3E"/>
    <w:rsid w:val="00751FD9"/>
    <w:rsid w:val="00752037"/>
    <w:rsid w:val="00752319"/>
    <w:rsid w:val="00752C2A"/>
    <w:rsid w:val="00752C36"/>
    <w:rsid w:val="0075346C"/>
    <w:rsid w:val="00753E2E"/>
    <w:rsid w:val="007545E3"/>
    <w:rsid w:val="00754C96"/>
    <w:rsid w:val="0075570D"/>
    <w:rsid w:val="007563E5"/>
    <w:rsid w:val="00757435"/>
    <w:rsid w:val="00757CCF"/>
    <w:rsid w:val="00760062"/>
    <w:rsid w:val="007600BE"/>
    <w:rsid w:val="00760B7F"/>
    <w:rsid w:val="00760E5B"/>
    <w:rsid w:val="00761296"/>
    <w:rsid w:val="0076133C"/>
    <w:rsid w:val="0076166A"/>
    <w:rsid w:val="00761C9A"/>
    <w:rsid w:val="00762110"/>
    <w:rsid w:val="007624D5"/>
    <w:rsid w:val="00762B1B"/>
    <w:rsid w:val="00762D14"/>
    <w:rsid w:val="0076341A"/>
    <w:rsid w:val="007637C0"/>
    <w:rsid w:val="007639C0"/>
    <w:rsid w:val="00763BF9"/>
    <w:rsid w:val="00764A50"/>
    <w:rsid w:val="00764CDF"/>
    <w:rsid w:val="00765B26"/>
    <w:rsid w:val="00765C16"/>
    <w:rsid w:val="00766A3C"/>
    <w:rsid w:val="00766D3D"/>
    <w:rsid w:val="007670C1"/>
    <w:rsid w:val="00767C13"/>
    <w:rsid w:val="00767E9D"/>
    <w:rsid w:val="007705EA"/>
    <w:rsid w:val="00770947"/>
    <w:rsid w:val="00770A2D"/>
    <w:rsid w:val="00770C80"/>
    <w:rsid w:val="00770F8D"/>
    <w:rsid w:val="00771291"/>
    <w:rsid w:val="00771617"/>
    <w:rsid w:val="0077199C"/>
    <w:rsid w:val="00771C61"/>
    <w:rsid w:val="007736F4"/>
    <w:rsid w:val="007737A6"/>
    <w:rsid w:val="00773837"/>
    <w:rsid w:val="00774676"/>
    <w:rsid w:val="00774BFB"/>
    <w:rsid w:val="00775180"/>
    <w:rsid w:val="00775D7B"/>
    <w:rsid w:val="00775D96"/>
    <w:rsid w:val="00776291"/>
    <w:rsid w:val="007766E9"/>
    <w:rsid w:val="00776C20"/>
    <w:rsid w:val="00777A94"/>
    <w:rsid w:val="00777ADF"/>
    <w:rsid w:val="0078035D"/>
    <w:rsid w:val="00780693"/>
    <w:rsid w:val="007806D8"/>
    <w:rsid w:val="0078110D"/>
    <w:rsid w:val="0078117D"/>
    <w:rsid w:val="0078221E"/>
    <w:rsid w:val="00782904"/>
    <w:rsid w:val="00782EEF"/>
    <w:rsid w:val="007834FB"/>
    <w:rsid w:val="007836D7"/>
    <w:rsid w:val="00784235"/>
    <w:rsid w:val="00784456"/>
    <w:rsid w:val="0078445E"/>
    <w:rsid w:val="00784BDB"/>
    <w:rsid w:val="00784DBF"/>
    <w:rsid w:val="00784E05"/>
    <w:rsid w:val="00785123"/>
    <w:rsid w:val="00785193"/>
    <w:rsid w:val="0078527F"/>
    <w:rsid w:val="007856F4"/>
    <w:rsid w:val="00785E15"/>
    <w:rsid w:val="0078612A"/>
    <w:rsid w:val="00786C19"/>
    <w:rsid w:val="00787A42"/>
    <w:rsid w:val="00787D85"/>
    <w:rsid w:val="00790D28"/>
    <w:rsid w:val="00790FE4"/>
    <w:rsid w:val="007916A2"/>
    <w:rsid w:val="00791A5C"/>
    <w:rsid w:val="0079248F"/>
    <w:rsid w:val="00792F3C"/>
    <w:rsid w:val="00792FAB"/>
    <w:rsid w:val="007938C8"/>
    <w:rsid w:val="00793B25"/>
    <w:rsid w:val="00793E30"/>
    <w:rsid w:val="007941B2"/>
    <w:rsid w:val="007947B3"/>
    <w:rsid w:val="00794B5D"/>
    <w:rsid w:val="00794C06"/>
    <w:rsid w:val="00794F09"/>
    <w:rsid w:val="0079549A"/>
    <w:rsid w:val="00795778"/>
    <w:rsid w:val="00795A92"/>
    <w:rsid w:val="0079613F"/>
    <w:rsid w:val="00796961"/>
    <w:rsid w:val="007975B7"/>
    <w:rsid w:val="007A0FA1"/>
    <w:rsid w:val="007A1161"/>
    <w:rsid w:val="007A22EF"/>
    <w:rsid w:val="007A2D43"/>
    <w:rsid w:val="007A2E3E"/>
    <w:rsid w:val="007A2F2E"/>
    <w:rsid w:val="007A307D"/>
    <w:rsid w:val="007A35D3"/>
    <w:rsid w:val="007A386D"/>
    <w:rsid w:val="007A3B3B"/>
    <w:rsid w:val="007A3C0B"/>
    <w:rsid w:val="007A4501"/>
    <w:rsid w:val="007A46F3"/>
    <w:rsid w:val="007A4A79"/>
    <w:rsid w:val="007A599D"/>
    <w:rsid w:val="007A5C4A"/>
    <w:rsid w:val="007A5CFE"/>
    <w:rsid w:val="007A62A5"/>
    <w:rsid w:val="007A639A"/>
    <w:rsid w:val="007A65CC"/>
    <w:rsid w:val="007A6677"/>
    <w:rsid w:val="007A66DB"/>
    <w:rsid w:val="007A6B67"/>
    <w:rsid w:val="007A6E40"/>
    <w:rsid w:val="007A71F5"/>
    <w:rsid w:val="007B02C8"/>
    <w:rsid w:val="007B0440"/>
    <w:rsid w:val="007B054A"/>
    <w:rsid w:val="007B0D90"/>
    <w:rsid w:val="007B0EC4"/>
    <w:rsid w:val="007B100A"/>
    <w:rsid w:val="007B1493"/>
    <w:rsid w:val="007B1785"/>
    <w:rsid w:val="007B1944"/>
    <w:rsid w:val="007B1CAE"/>
    <w:rsid w:val="007B250C"/>
    <w:rsid w:val="007B2610"/>
    <w:rsid w:val="007B2FC5"/>
    <w:rsid w:val="007B339B"/>
    <w:rsid w:val="007B366F"/>
    <w:rsid w:val="007B37D5"/>
    <w:rsid w:val="007B3860"/>
    <w:rsid w:val="007B431F"/>
    <w:rsid w:val="007B43D0"/>
    <w:rsid w:val="007B4E59"/>
    <w:rsid w:val="007B53CB"/>
    <w:rsid w:val="007B5985"/>
    <w:rsid w:val="007B5CB4"/>
    <w:rsid w:val="007B662A"/>
    <w:rsid w:val="007B6C17"/>
    <w:rsid w:val="007B6D20"/>
    <w:rsid w:val="007B73EB"/>
    <w:rsid w:val="007B784A"/>
    <w:rsid w:val="007B79D9"/>
    <w:rsid w:val="007B7ABC"/>
    <w:rsid w:val="007C0489"/>
    <w:rsid w:val="007C067A"/>
    <w:rsid w:val="007C0FB6"/>
    <w:rsid w:val="007C1885"/>
    <w:rsid w:val="007C197F"/>
    <w:rsid w:val="007C1CE3"/>
    <w:rsid w:val="007C1FC7"/>
    <w:rsid w:val="007C22A0"/>
    <w:rsid w:val="007C2463"/>
    <w:rsid w:val="007C269D"/>
    <w:rsid w:val="007C2946"/>
    <w:rsid w:val="007C29A4"/>
    <w:rsid w:val="007C2FA7"/>
    <w:rsid w:val="007C374B"/>
    <w:rsid w:val="007C3DC4"/>
    <w:rsid w:val="007C4020"/>
    <w:rsid w:val="007C4C77"/>
    <w:rsid w:val="007C4EED"/>
    <w:rsid w:val="007C5335"/>
    <w:rsid w:val="007C5A0F"/>
    <w:rsid w:val="007C5A25"/>
    <w:rsid w:val="007C5CD2"/>
    <w:rsid w:val="007C602A"/>
    <w:rsid w:val="007C698A"/>
    <w:rsid w:val="007C6FDA"/>
    <w:rsid w:val="007C73B3"/>
    <w:rsid w:val="007C7D27"/>
    <w:rsid w:val="007D046C"/>
    <w:rsid w:val="007D10BF"/>
    <w:rsid w:val="007D1243"/>
    <w:rsid w:val="007D1BC4"/>
    <w:rsid w:val="007D24D9"/>
    <w:rsid w:val="007D2543"/>
    <w:rsid w:val="007D28D8"/>
    <w:rsid w:val="007D2E67"/>
    <w:rsid w:val="007D3BCC"/>
    <w:rsid w:val="007D3D91"/>
    <w:rsid w:val="007D3F88"/>
    <w:rsid w:val="007D40FC"/>
    <w:rsid w:val="007D4123"/>
    <w:rsid w:val="007D42DC"/>
    <w:rsid w:val="007D437B"/>
    <w:rsid w:val="007D50D6"/>
    <w:rsid w:val="007D6317"/>
    <w:rsid w:val="007D66A0"/>
    <w:rsid w:val="007D6981"/>
    <w:rsid w:val="007D6FF4"/>
    <w:rsid w:val="007D7397"/>
    <w:rsid w:val="007D7418"/>
    <w:rsid w:val="007D7CD0"/>
    <w:rsid w:val="007D7E52"/>
    <w:rsid w:val="007E02D9"/>
    <w:rsid w:val="007E02F2"/>
    <w:rsid w:val="007E03ED"/>
    <w:rsid w:val="007E04BF"/>
    <w:rsid w:val="007E05C6"/>
    <w:rsid w:val="007E0E11"/>
    <w:rsid w:val="007E1026"/>
    <w:rsid w:val="007E1155"/>
    <w:rsid w:val="007E11F1"/>
    <w:rsid w:val="007E16FD"/>
    <w:rsid w:val="007E18E6"/>
    <w:rsid w:val="007E19B4"/>
    <w:rsid w:val="007E1B07"/>
    <w:rsid w:val="007E2096"/>
    <w:rsid w:val="007E20A6"/>
    <w:rsid w:val="007E2648"/>
    <w:rsid w:val="007E2906"/>
    <w:rsid w:val="007E2C3F"/>
    <w:rsid w:val="007E2D97"/>
    <w:rsid w:val="007E2F56"/>
    <w:rsid w:val="007E3234"/>
    <w:rsid w:val="007E3246"/>
    <w:rsid w:val="007E4150"/>
    <w:rsid w:val="007E4C77"/>
    <w:rsid w:val="007E5232"/>
    <w:rsid w:val="007E548B"/>
    <w:rsid w:val="007E595A"/>
    <w:rsid w:val="007E5D49"/>
    <w:rsid w:val="007E6379"/>
    <w:rsid w:val="007E671C"/>
    <w:rsid w:val="007E7172"/>
    <w:rsid w:val="007E759F"/>
    <w:rsid w:val="007E79DA"/>
    <w:rsid w:val="007E7D75"/>
    <w:rsid w:val="007F0021"/>
    <w:rsid w:val="007F0634"/>
    <w:rsid w:val="007F0A2B"/>
    <w:rsid w:val="007F0D4D"/>
    <w:rsid w:val="007F15AD"/>
    <w:rsid w:val="007F2ACD"/>
    <w:rsid w:val="007F2BBD"/>
    <w:rsid w:val="007F3620"/>
    <w:rsid w:val="007F36E1"/>
    <w:rsid w:val="007F36E2"/>
    <w:rsid w:val="007F3BD8"/>
    <w:rsid w:val="007F3CE0"/>
    <w:rsid w:val="007F4102"/>
    <w:rsid w:val="007F4344"/>
    <w:rsid w:val="007F435C"/>
    <w:rsid w:val="007F476A"/>
    <w:rsid w:val="007F56C5"/>
    <w:rsid w:val="007F5BA3"/>
    <w:rsid w:val="007F6396"/>
    <w:rsid w:val="007F63FA"/>
    <w:rsid w:val="007F67D2"/>
    <w:rsid w:val="007F68DD"/>
    <w:rsid w:val="007F6AEC"/>
    <w:rsid w:val="007F761B"/>
    <w:rsid w:val="007F79EF"/>
    <w:rsid w:val="007F7B65"/>
    <w:rsid w:val="0080043D"/>
    <w:rsid w:val="0080074D"/>
    <w:rsid w:val="008007E0"/>
    <w:rsid w:val="00800CC9"/>
    <w:rsid w:val="00800F1C"/>
    <w:rsid w:val="00801241"/>
    <w:rsid w:val="008012C4"/>
    <w:rsid w:val="0080174B"/>
    <w:rsid w:val="008019DA"/>
    <w:rsid w:val="00801BB9"/>
    <w:rsid w:val="008022E7"/>
    <w:rsid w:val="00802626"/>
    <w:rsid w:val="008030FB"/>
    <w:rsid w:val="0080336C"/>
    <w:rsid w:val="00803919"/>
    <w:rsid w:val="00803A99"/>
    <w:rsid w:val="00803BA1"/>
    <w:rsid w:val="00803CBC"/>
    <w:rsid w:val="008040D4"/>
    <w:rsid w:val="008045E1"/>
    <w:rsid w:val="00804AD4"/>
    <w:rsid w:val="0080566B"/>
    <w:rsid w:val="00805886"/>
    <w:rsid w:val="0080614F"/>
    <w:rsid w:val="00806CF7"/>
    <w:rsid w:val="00807117"/>
    <w:rsid w:val="008077E7"/>
    <w:rsid w:val="008078B4"/>
    <w:rsid w:val="00807C6F"/>
    <w:rsid w:val="00810350"/>
    <w:rsid w:val="008104B8"/>
    <w:rsid w:val="00810855"/>
    <w:rsid w:val="00810C00"/>
    <w:rsid w:val="00810FAA"/>
    <w:rsid w:val="00810FEE"/>
    <w:rsid w:val="008110A0"/>
    <w:rsid w:val="008110E5"/>
    <w:rsid w:val="00811D26"/>
    <w:rsid w:val="008121A6"/>
    <w:rsid w:val="00812540"/>
    <w:rsid w:val="00812608"/>
    <w:rsid w:val="0081296E"/>
    <w:rsid w:val="008129F8"/>
    <w:rsid w:val="00812AE8"/>
    <w:rsid w:val="00812BD1"/>
    <w:rsid w:val="0081335C"/>
    <w:rsid w:val="008139E7"/>
    <w:rsid w:val="00813B8E"/>
    <w:rsid w:val="00813C82"/>
    <w:rsid w:val="00815B3F"/>
    <w:rsid w:val="00815DBA"/>
    <w:rsid w:val="008163CE"/>
    <w:rsid w:val="00816DB6"/>
    <w:rsid w:val="00817005"/>
    <w:rsid w:val="00817078"/>
    <w:rsid w:val="0081723E"/>
    <w:rsid w:val="008173D1"/>
    <w:rsid w:val="008175BD"/>
    <w:rsid w:val="00817ED9"/>
    <w:rsid w:val="00820A46"/>
    <w:rsid w:val="00821092"/>
    <w:rsid w:val="0082152C"/>
    <w:rsid w:val="0082158D"/>
    <w:rsid w:val="00821726"/>
    <w:rsid w:val="0082184D"/>
    <w:rsid w:val="00821891"/>
    <w:rsid w:val="00821FA0"/>
    <w:rsid w:val="008229BA"/>
    <w:rsid w:val="00822C8A"/>
    <w:rsid w:val="008243B4"/>
    <w:rsid w:val="00824F8D"/>
    <w:rsid w:val="00825424"/>
    <w:rsid w:val="00825CB9"/>
    <w:rsid w:val="00825EED"/>
    <w:rsid w:val="00827C7A"/>
    <w:rsid w:val="00827E46"/>
    <w:rsid w:val="00830206"/>
    <w:rsid w:val="00830385"/>
    <w:rsid w:val="00830583"/>
    <w:rsid w:val="00830D55"/>
    <w:rsid w:val="00831032"/>
    <w:rsid w:val="008314FC"/>
    <w:rsid w:val="00832279"/>
    <w:rsid w:val="00832817"/>
    <w:rsid w:val="00832B44"/>
    <w:rsid w:val="00833567"/>
    <w:rsid w:val="008337E4"/>
    <w:rsid w:val="00833806"/>
    <w:rsid w:val="00833AE8"/>
    <w:rsid w:val="00834038"/>
    <w:rsid w:val="00835625"/>
    <w:rsid w:val="008357A2"/>
    <w:rsid w:val="00835873"/>
    <w:rsid w:val="00835936"/>
    <w:rsid w:val="008359D1"/>
    <w:rsid w:val="0083652F"/>
    <w:rsid w:val="00836B3C"/>
    <w:rsid w:val="00836B9B"/>
    <w:rsid w:val="00836C6E"/>
    <w:rsid w:val="00837179"/>
    <w:rsid w:val="00837382"/>
    <w:rsid w:val="0083747B"/>
    <w:rsid w:val="00837C74"/>
    <w:rsid w:val="00837F3B"/>
    <w:rsid w:val="00840034"/>
    <w:rsid w:val="00840C39"/>
    <w:rsid w:val="008418E3"/>
    <w:rsid w:val="00841944"/>
    <w:rsid w:val="00841B6E"/>
    <w:rsid w:val="008421D3"/>
    <w:rsid w:val="0084243A"/>
    <w:rsid w:val="00842478"/>
    <w:rsid w:val="0084247E"/>
    <w:rsid w:val="00842A95"/>
    <w:rsid w:val="0084336D"/>
    <w:rsid w:val="0084342A"/>
    <w:rsid w:val="0084364B"/>
    <w:rsid w:val="008439D4"/>
    <w:rsid w:val="00844459"/>
    <w:rsid w:val="008444FB"/>
    <w:rsid w:val="008448E6"/>
    <w:rsid w:val="00844C0E"/>
    <w:rsid w:val="00844D6F"/>
    <w:rsid w:val="00845233"/>
    <w:rsid w:val="008460F9"/>
    <w:rsid w:val="0084613E"/>
    <w:rsid w:val="00846621"/>
    <w:rsid w:val="008469AA"/>
    <w:rsid w:val="00846BBD"/>
    <w:rsid w:val="00846E96"/>
    <w:rsid w:val="00846EAA"/>
    <w:rsid w:val="00847124"/>
    <w:rsid w:val="0084739E"/>
    <w:rsid w:val="008474F8"/>
    <w:rsid w:val="0084752F"/>
    <w:rsid w:val="00847B62"/>
    <w:rsid w:val="00847C5A"/>
    <w:rsid w:val="008506A3"/>
    <w:rsid w:val="00850A90"/>
    <w:rsid w:val="00850C9C"/>
    <w:rsid w:val="00850EDF"/>
    <w:rsid w:val="008512DD"/>
    <w:rsid w:val="00851BD1"/>
    <w:rsid w:val="00851ECC"/>
    <w:rsid w:val="00851EFA"/>
    <w:rsid w:val="00852288"/>
    <w:rsid w:val="00852B1D"/>
    <w:rsid w:val="00853062"/>
    <w:rsid w:val="00853A75"/>
    <w:rsid w:val="008544CC"/>
    <w:rsid w:val="008544FC"/>
    <w:rsid w:val="0085452E"/>
    <w:rsid w:val="00854629"/>
    <w:rsid w:val="00854C9F"/>
    <w:rsid w:val="0085519E"/>
    <w:rsid w:val="00855529"/>
    <w:rsid w:val="00855E19"/>
    <w:rsid w:val="00855E24"/>
    <w:rsid w:val="00855F47"/>
    <w:rsid w:val="00856047"/>
    <w:rsid w:val="00856615"/>
    <w:rsid w:val="008569E9"/>
    <w:rsid w:val="00856A69"/>
    <w:rsid w:val="00856B2E"/>
    <w:rsid w:val="00857164"/>
    <w:rsid w:val="00857574"/>
    <w:rsid w:val="008577A6"/>
    <w:rsid w:val="00857B71"/>
    <w:rsid w:val="00857E14"/>
    <w:rsid w:val="0086048D"/>
    <w:rsid w:val="00860952"/>
    <w:rsid w:val="00861D72"/>
    <w:rsid w:val="008621CC"/>
    <w:rsid w:val="0086230D"/>
    <w:rsid w:val="00862946"/>
    <w:rsid w:val="00862B11"/>
    <w:rsid w:val="00862C42"/>
    <w:rsid w:val="00863264"/>
    <w:rsid w:val="00864235"/>
    <w:rsid w:val="008648EA"/>
    <w:rsid w:val="008654B5"/>
    <w:rsid w:val="00865AB6"/>
    <w:rsid w:val="008662C5"/>
    <w:rsid w:val="00866615"/>
    <w:rsid w:val="00866E3E"/>
    <w:rsid w:val="00867617"/>
    <w:rsid w:val="00867CEC"/>
    <w:rsid w:val="00867E41"/>
    <w:rsid w:val="00867E7A"/>
    <w:rsid w:val="008704A1"/>
    <w:rsid w:val="00870952"/>
    <w:rsid w:val="00870F49"/>
    <w:rsid w:val="0087150F"/>
    <w:rsid w:val="00871566"/>
    <w:rsid w:val="00871C6D"/>
    <w:rsid w:val="008721E9"/>
    <w:rsid w:val="0087229D"/>
    <w:rsid w:val="008724DB"/>
    <w:rsid w:val="0087260B"/>
    <w:rsid w:val="00872719"/>
    <w:rsid w:val="008727D8"/>
    <w:rsid w:val="00872C64"/>
    <w:rsid w:val="00872C6D"/>
    <w:rsid w:val="00872E3D"/>
    <w:rsid w:val="00872EB8"/>
    <w:rsid w:val="008731D1"/>
    <w:rsid w:val="00873849"/>
    <w:rsid w:val="00873E35"/>
    <w:rsid w:val="00874409"/>
    <w:rsid w:val="0087472E"/>
    <w:rsid w:val="00874B8A"/>
    <w:rsid w:val="00874EAC"/>
    <w:rsid w:val="00875BFF"/>
    <w:rsid w:val="00875D4E"/>
    <w:rsid w:val="008767DE"/>
    <w:rsid w:val="00876CC1"/>
    <w:rsid w:val="00877264"/>
    <w:rsid w:val="008772A2"/>
    <w:rsid w:val="00877D5D"/>
    <w:rsid w:val="0088014E"/>
    <w:rsid w:val="008807D2"/>
    <w:rsid w:val="00880BEC"/>
    <w:rsid w:val="00881AEC"/>
    <w:rsid w:val="00881C70"/>
    <w:rsid w:val="00882647"/>
    <w:rsid w:val="00882755"/>
    <w:rsid w:val="00882982"/>
    <w:rsid w:val="008834D1"/>
    <w:rsid w:val="00884779"/>
    <w:rsid w:val="00884798"/>
    <w:rsid w:val="008849D0"/>
    <w:rsid w:val="00884CE4"/>
    <w:rsid w:val="00884FF7"/>
    <w:rsid w:val="0088508D"/>
    <w:rsid w:val="008860B7"/>
    <w:rsid w:val="0088669D"/>
    <w:rsid w:val="00886EE9"/>
    <w:rsid w:val="008870F4"/>
    <w:rsid w:val="00887C6C"/>
    <w:rsid w:val="0089025A"/>
    <w:rsid w:val="00890914"/>
    <w:rsid w:val="00890A91"/>
    <w:rsid w:val="00890FBC"/>
    <w:rsid w:val="0089164D"/>
    <w:rsid w:val="00891953"/>
    <w:rsid w:val="00891BA7"/>
    <w:rsid w:val="00891E39"/>
    <w:rsid w:val="008925D4"/>
    <w:rsid w:val="00892682"/>
    <w:rsid w:val="008927A0"/>
    <w:rsid w:val="00892C44"/>
    <w:rsid w:val="00893F68"/>
    <w:rsid w:val="00894301"/>
    <w:rsid w:val="008947E0"/>
    <w:rsid w:val="00894ED2"/>
    <w:rsid w:val="00895429"/>
    <w:rsid w:val="00895E7C"/>
    <w:rsid w:val="0089629B"/>
    <w:rsid w:val="008964E1"/>
    <w:rsid w:val="008964E6"/>
    <w:rsid w:val="0089655F"/>
    <w:rsid w:val="00896AEE"/>
    <w:rsid w:val="00896F10"/>
    <w:rsid w:val="00896F6A"/>
    <w:rsid w:val="008970D2"/>
    <w:rsid w:val="00897396"/>
    <w:rsid w:val="00897655"/>
    <w:rsid w:val="00897A85"/>
    <w:rsid w:val="00897E02"/>
    <w:rsid w:val="00897EC0"/>
    <w:rsid w:val="00897FD5"/>
    <w:rsid w:val="008A0684"/>
    <w:rsid w:val="008A06AA"/>
    <w:rsid w:val="008A0723"/>
    <w:rsid w:val="008A080C"/>
    <w:rsid w:val="008A08EC"/>
    <w:rsid w:val="008A1650"/>
    <w:rsid w:val="008A1669"/>
    <w:rsid w:val="008A17A2"/>
    <w:rsid w:val="008A1BE2"/>
    <w:rsid w:val="008A219B"/>
    <w:rsid w:val="008A27EC"/>
    <w:rsid w:val="008A28A5"/>
    <w:rsid w:val="008A2F3A"/>
    <w:rsid w:val="008A34BE"/>
    <w:rsid w:val="008A37B1"/>
    <w:rsid w:val="008A4948"/>
    <w:rsid w:val="008A4D07"/>
    <w:rsid w:val="008A4EED"/>
    <w:rsid w:val="008A50F7"/>
    <w:rsid w:val="008A58DC"/>
    <w:rsid w:val="008A594A"/>
    <w:rsid w:val="008A5D91"/>
    <w:rsid w:val="008A6622"/>
    <w:rsid w:val="008A70B5"/>
    <w:rsid w:val="008A712F"/>
    <w:rsid w:val="008A7AF9"/>
    <w:rsid w:val="008B0006"/>
    <w:rsid w:val="008B01BE"/>
    <w:rsid w:val="008B044F"/>
    <w:rsid w:val="008B0673"/>
    <w:rsid w:val="008B087C"/>
    <w:rsid w:val="008B094A"/>
    <w:rsid w:val="008B25E8"/>
    <w:rsid w:val="008B3641"/>
    <w:rsid w:val="008B3A40"/>
    <w:rsid w:val="008B3E02"/>
    <w:rsid w:val="008B434E"/>
    <w:rsid w:val="008B46F2"/>
    <w:rsid w:val="008B519D"/>
    <w:rsid w:val="008B5344"/>
    <w:rsid w:val="008B5381"/>
    <w:rsid w:val="008B5C28"/>
    <w:rsid w:val="008B5F04"/>
    <w:rsid w:val="008B677D"/>
    <w:rsid w:val="008B6899"/>
    <w:rsid w:val="008B6DD7"/>
    <w:rsid w:val="008B7093"/>
    <w:rsid w:val="008B72DB"/>
    <w:rsid w:val="008B7CB5"/>
    <w:rsid w:val="008C0534"/>
    <w:rsid w:val="008C05AE"/>
    <w:rsid w:val="008C0793"/>
    <w:rsid w:val="008C08A4"/>
    <w:rsid w:val="008C0C6C"/>
    <w:rsid w:val="008C15D1"/>
    <w:rsid w:val="008C1730"/>
    <w:rsid w:val="008C182F"/>
    <w:rsid w:val="008C1FA1"/>
    <w:rsid w:val="008C24BB"/>
    <w:rsid w:val="008C27F9"/>
    <w:rsid w:val="008C2955"/>
    <w:rsid w:val="008C2D5B"/>
    <w:rsid w:val="008C338E"/>
    <w:rsid w:val="008C357A"/>
    <w:rsid w:val="008C3F3A"/>
    <w:rsid w:val="008C41B1"/>
    <w:rsid w:val="008C4285"/>
    <w:rsid w:val="008C47CA"/>
    <w:rsid w:val="008C4AD7"/>
    <w:rsid w:val="008C4BA0"/>
    <w:rsid w:val="008C4E4D"/>
    <w:rsid w:val="008C5580"/>
    <w:rsid w:val="008C582E"/>
    <w:rsid w:val="008C6478"/>
    <w:rsid w:val="008C6DBB"/>
    <w:rsid w:val="008C6F1D"/>
    <w:rsid w:val="008C7996"/>
    <w:rsid w:val="008C7AB2"/>
    <w:rsid w:val="008C7D00"/>
    <w:rsid w:val="008D0212"/>
    <w:rsid w:val="008D02D6"/>
    <w:rsid w:val="008D0636"/>
    <w:rsid w:val="008D0EA8"/>
    <w:rsid w:val="008D21BA"/>
    <w:rsid w:val="008D2593"/>
    <w:rsid w:val="008D3085"/>
    <w:rsid w:val="008D356F"/>
    <w:rsid w:val="008D3D67"/>
    <w:rsid w:val="008D3FB5"/>
    <w:rsid w:val="008D408E"/>
    <w:rsid w:val="008D4330"/>
    <w:rsid w:val="008D49FA"/>
    <w:rsid w:val="008D4CB3"/>
    <w:rsid w:val="008D4DCA"/>
    <w:rsid w:val="008D50DD"/>
    <w:rsid w:val="008D54B3"/>
    <w:rsid w:val="008D553B"/>
    <w:rsid w:val="008D5590"/>
    <w:rsid w:val="008D5820"/>
    <w:rsid w:val="008D5B8D"/>
    <w:rsid w:val="008D6346"/>
    <w:rsid w:val="008D646A"/>
    <w:rsid w:val="008D658C"/>
    <w:rsid w:val="008D7802"/>
    <w:rsid w:val="008D7885"/>
    <w:rsid w:val="008D7C48"/>
    <w:rsid w:val="008D7EC2"/>
    <w:rsid w:val="008E010B"/>
    <w:rsid w:val="008E0EC6"/>
    <w:rsid w:val="008E1B9A"/>
    <w:rsid w:val="008E1C62"/>
    <w:rsid w:val="008E1F40"/>
    <w:rsid w:val="008E2B7D"/>
    <w:rsid w:val="008E47FB"/>
    <w:rsid w:val="008E4819"/>
    <w:rsid w:val="008E4F4D"/>
    <w:rsid w:val="008E53C9"/>
    <w:rsid w:val="008E5422"/>
    <w:rsid w:val="008E5C0E"/>
    <w:rsid w:val="008E5C3B"/>
    <w:rsid w:val="008E5DD1"/>
    <w:rsid w:val="008E643E"/>
    <w:rsid w:val="008E691D"/>
    <w:rsid w:val="008E6BF5"/>
    <w:rsid w:val="008E6CD4"/>
    <w:rsid w:val="008E6D28"/>
    <w:rsid w:val="008E7710"/>
    <w:rsid w:val="008F00B7"/>
    <w:rsid w:val="008F032C"/>
    <w:rsid w:val="008F0597"/>
    <w:rsid w:val="008F118A"/>
    <w:rsid w:val="008F1209"/>
    <w:rsid w:val="008F1894"/>
    <w:rsid w:val="008F196B"/>
    <w:rsid w:val="008F19B0"/>
    <w:rsid w:val="008F1A7A"/>
    <w:rsid w:val="008F1E49"/>
    <w:rsid w:val="008F20DB"/>
    <w:rsid w:val="008F3324"/>
    <w:rsid w:val="008F3652"/>
    <w:rsid w:val="008F4BC9"/>
    <w:rsid w:val="008F4E08"/>
    <w:rsid w:val="008F502F"/>
    <w:rsid w:val="008F50C5"/>
    <w:rsid w:val="008F5F33"/>
    <w:rsid w:val="008F66CE"/>
    <w:rsid w:val="008F6C3B"/>
    <w:rsid w:val="008F7067"/>
    <w:rsid w:val="008F7567"/>
    <w:rsid w:val="008F75A0"/>
    <w:rsid w:val="008F79DC"/>
    <w:rsid w:val="008F7E93"/>
    <w:rsid w:val="00900239"/>
    <w:rsid w:val="00900648"/>
    <w:rsid w:val="009008DE"/>
    <w:rsid w:val="009009C8"/>
    <w:rsid w:val="00901292"/>
    <w:rsid w:val="009015C3"/>
    <w:rsid w:val="00901DBF"/>
    <w:rsid w:val="0090219C"/>
    <w:rsid w:val="00902808"/>
    <w:rsid w:val="00902F47"/>
    <w:rsid w:val="00902FA2"/>
    <w:rsid w:val="00903640"/>
    <w:rsid w:val="00903931"/>
    <w:rsid w:val="00903FBF"/>
    <w:rsid w:val="0090458F"/>
    <w:rsid w:val="0090467E"/>
    <w:rsid w:val="00904A8F"/>
    <w:rsid w:val="009054AE"/>
    <w:rsid w:val="0090614A"/>
    <w:rsid w:val="009065AB"/>
    <w:rsid w:val="00907B86"/>
    <w:rsid w:val="00907B94"/>
    <w:rsid w:val="0091088D"/>
    <w:rsid w:val="009108ED"/>
    <w:rsid w:val="00911C9F"/>
    <w:rsid w:val="00911E06"/>
    <w:rsid w:val="0091275E"/>
    <w:rsid w:val="00912BE1"/>
    <w:rsid w:val="00912DCA"/>
    <w:rsid w:val="00912E48"/>
    <w:rsid w:val="00912F49"/>
    <w:rsid w:val="00912F75"/>
    <w:rsid w:val="009131D4"/>
    <w:rsid w:val="009135E0"/>
    <w:rsid w:val="00913FB5"/>
    <w:rsid w:val="0091443A"/>
    <w:rsid w:val="00914494"/>
    <w:rsid w:val="009145A2"/>
    <w:rsid w:val="009148F2"/>
    <w:rsid w:val="00914A3A"/>
    <w:rsid w:val="0091516B"/>
    <w:rsid w:val="009153F8"/>
    <w:rsid w:val="00916730"/>
    <w:rsid w:val="00916E02"/>
    <w:rsid w:val="009170F0"/>
    <w:rsid w:val="0091729D"/>
    <w:rsid w:val="00917481"/>
    <w:rsid w:val="00920A71"/>
    <w:rsid w:val="00920F4A"/>
    <w:rsid w:val="00921D71"/>
    <w:rsid w:val="009225A8"/>
    <w:rsid w:val="009230E4"/>
    <w:rsid w:val="00924635"/>
    <w:rsid w:val="0092463A"/>
    <w:rsid w:val="00924BA9"/>
    <w:rsid w:val="0092508B"/>
    <w:rsid w:val="00925219"/>
    <w:rsid w:val="00925600"/>
    <w:rsid w:val="0092569A"/>
    <w:rsid w:val="00925852"/>
    <w:rsid w:val="009258B1"/>
    <w:rsid w:val="00925CBB"/>
    <w:rsid w:val="00925FE7"/>
    <w:rsid w:val="009265E6"/>
    <w:rsid w:val="0092722D"/>
    <w:rsid w:val="009272AC"/>
    <w:rsid w:val="009276AC"/>
    <w:rsid w:val="009276B0"/>
    <w:rsid w:val="009279C2"/>
    <w:rsid w:val="00930299"/>
    <w:rsid w:val="009310B3"/>
    <w:rsid w:val="00931438"/>
    <w:rsid w:val="00931A50"/>
    <w:rsid w:val="0093235C"/>
    <w:rsid w:val="0093361B"/>
    <w:rsid w:val="00934405"/>
    <w:rsid w:val="00934862"/>
    <w:rsid w:val="00934CC2"/>
    <w:rsid w:val="009355AB"/>
    <w:rsid w:val="009358DC"/>
    <w:rsid w:val="00935A9E"/>
    <w:rsid w:val="00935EDE"/>
    <w:rsid w:val="00936768"/>
    <w:rsid w:val="009368E0"/>
    <w:rsid w:val="009375D9"/>
    <w:rsid w:val="009379A4"/>
    <w:rsid w:val="009405CF"/>
    <w:rsid w:val="00940F81"/>
    <w:rsid w:val="009413B3"/>
    <w:rsid w:val="00941434"/>
    <w:rsid w:val="009427C5"/>
    <w:rsid w:val="009428A2"/>
    <w:rsid w:val="00942C47"/>
    <w:rsid w:val="00943149"/>
    <w:rsid w:val="00943540"/>
    <w:rsid w:val="0094360E"/>
    <w:rsid w:val="00943CC1"/>
    <w:rsid w:val="00944BD1"/>
    <w:rsid w:val="00944C7F"/>
    <w:rsid w:val="00944F00"/>
    <w:rsid w:val="00944F99"/>
    <w:rsid w:val="0094542B"/>
    <w:rsid w:val="009457EE"/>
    <w:rsid w:val="0094583B"/>
    <w:rsid w:val="00945B58"/>
    <w:rsid w:val="00946336"/>
    <w:rsid w:val="009466D9"/>
    <w:rsid w:val="00946E72"/>
    <w:rsid w:val="00947108"/>
    <w:rsid w:val="00947272"/>
    <w:rsid w:val="009475CD"/>
    <w:rsid w:val="0094761F"/>
    <w:rsid w:val="00947728"/>
    <w:rsid w:val="009478E6"/>
    <w:rsid w:val="00947D55"/>
    <w:rsid w:val="009501EF"/>
    <w:rsid w:val="009502ED"/>
    <w:rsid w:val="009506E5"/>
    <w:rsid w:val="00950A96"/>
    <w:rsid w:val="00950F75"/>
    <w:rsid w:val="00951030"/>
    <w:rsid w:val="009510C2"/>
    <w:rsid w:val="0095153A"/>
    <w:rsid w:val="009515DC"/>
    <w:rsid w:val="0095164B"/>
    <w:rsid w:val="0095166F"/>
    <w:rsid w:val="009517FE"/>
    <w:rsid w:val="0095280D"/>
    <w:rsid w:val="00952C7A"/>
    <w:rsid w:val="00952DB5"/>
    <w:rsid w:val="00952E3E"/>
    <w:rsid w:val="009532D9"/>
    <w:rsid w:val="00953A71"/>
    <w:rsid w:val="00953D32"/>
    <w:rsid w:val="009555D4"/>
    <w:rsid w:val="009566F5"/>
    <w:rsid w:val="00956942"/>
    <w:rsid w:val="009619F4"/>
    <w:rsid w:val="00961B47"/>
    <w:rsid w:val="00961B83"/>
    <w:rsid w:val="00961D77"/>
    <w:rsid w:val="00962D0A"/>
    <w:rsid w:val="00962DA3"/>
    <w:rsid w:val="009631F0"/>
    <w:rsid w:val="00963A2C"/>
    <w:rsid w:val="00963FFB"/>
    <w:rsid w:val="009649D2"/>
    <w:rsid w:val="00964E9A"/>
    <w:rsid w:val="009658A8"/>
    <w:rsid w:val="00965D43"/>
    <w:rsid w:val="00965D4A"/>
    <w:rsid w:val="00965D5A"/>
    <w:rsid w:val="00965FA4"/>
    <w:rsid w:val="0096621A"/>
    <w:rsid w:val="009662AF"/>
    <w:rsid w:val="00966397"/>
    <w:rsid w:val="00966617"/>
    <w:rsid w:val="00966CE3"/>
    <w:rsid w:val="00967341"/>
    <w:rsid w:val="00967F36"/>
    <w:rsid w:val="0097008E"/>
    <w:rsid w:val="009704C8"/>
    <w:rsid w:val="00970501"/>
    <w:rsid w:val="00970F53"/>
    <w:rsid w:val="00970F69"/>
    <w:rsid w:val="009715A5"/>
    <w:rsid w:val="00971634"/>
    <w:rsid w:val="0097163F"/>
    <w:rsid w:val="00971653"/>
    <w:rsid w:val="00971771"/>
    <w:rsid w:val="009718EB"/>
    <w:rsid w:val="00971A22"/>
    <w:rsid w:val="0097222A"/>
    <w:rsid w:val="00972611"/>
    <w:rsid w:val="00972B25"/>
    <w:rsid w:val="00972B3D"/>
    <w:rsid w:val="0097311B"/>
    <w:rsid w:val="009736E5"/>
    <w:rsid w:val="00973FDF"/>
    <w:rsid w:val="00974239"/>
    <w:rsid w:val="00974290"/>
    <w:rsid w:val="009745F3"/>
    <w:rsid w:val="00974EB6"/>
    <w:rsid w:val="009750C7"/>
    <w:rsid w:val="0097570D"/>
    <w:rsid w:val="00976178"/>
    <w:rsid w:val="00976290"/>
    <w:rsid w:val="0097737B"/>
    <w:rsid w:val="00977659"/>
    <w:rsid w:val="0098024A"/>
    <w:rsid w:val="009805C2"/>
    <w:rsid w:val="00980A07"/>
    <w:rsid w:val="00980BBE"/>
    <w:rsid w:val="00980C91"/>
    <w:rsid w:val="0098117D"/>
    <w:rsid w:val="009826E0"/>
    <w:rsid w:val="009830C4"/>
    <w:rsid w:val="00983557"/>
    <w:rsid w:val="009839D1"/>
    <w:rsid w:val="00984ED5"/>
    <w:rsid w:val="009855F8"/>
    <w:rsid w:val="00985B6D"/>
    <w:rsid w:val="00985BA6"/>
    <w:rsid w:val="00985D3D"/>
    <w:rsid w:val="0098636D"/>
    <w:rsid w:val="00986519"/>
    <w:rsid w:val="0098748D"/>
    <w:rsid w:val="0098761A"/>
    <w:rsid w:val="00987F97"/>
    <w:rsid w:val="009906A7"/>
    <w:rsid w:val="00991120"/>
    <w:rsid w:val="009911DE"/>
    <w:rsid w:val="0099170A"/>
    <w:rsid w:val="009925BA"/>
    <w:rsid w:val="009926EB"/>
    <w:rsid w:val="00993387"/>
    <w:rsid w:val="0099403A"/>
    <w:rsid w:val="00994099"/>
    <w:rsid w:val="0099433A"/>
    <w:rsid w:val="009947DE"/>
    <w:rsid w:val="00994F53"/>
    <w:rsid w:val="0099592A"/>
    <w:rsid w:val="00995CB3"/>
    <w:rsid w:val="00995D93"/>
    <w:rsid w:val="00996923"/>
    <w:rsid w:val="00996CCD"/>
    <w:rsid w:val="00997102"/>
    <w:rsid w:val="00997271"/>
    <w:rsid w:val="00997ECA"/>
    <w:rsid w:val="009A0631"/>
    <w:rsid w:val="009A06D8"/>
    <w:rsid w:val="009A0A7A"/>
    <w:rsid w:val="009A14D3"/>
    <w:rsid w:val="009A1CF9"/>
    <w:rsid w:val="009A25B9"/>
    <w:rsid w:val="009A2AA9"/>
    <w:rsid w:val="009A2D84"/>
    <w:rsid w:val="009A3296"/>
    <w:rsid w:val="009A351B"/>
    <w:rsid w:val="009A3B4E"/>
    <w:rsid w:val="009A3F00"/>
    <w:rsid w:val="009A5792"/>
    <w:rsid w:val="009A582A"/>
    <w:rsid w:val="009A5A6E"/>
    <w:rsid w:val="009A5F93"/>
    <w:rsid w:val="009A6679"/>
    <w:rsid w:val="009A7368"/>
    <w:rsid w:val="009A7636"/>
    <w:rsid w:val="009A7A0D"/>
    <w:rsid w:val="009A7B8A"/>
    <w:rsid w:val="009A7D2E"/>
    <w:rsid w:val="009B090E"/>
    <w:rsid w:val="009B0A96"/>
    <w:rsid w:val="009B0ED2"/>
    <w:rsid w:val="009B113B"/>
    <w:rsid w:val="009B127E"/>
    <w:rsid w:val="009B163D"/>
    <w:rsid w:val="009B1B5E"/>
    <w:rsid w:val="009B1FA6"/>
    <w:rsid w:val="009B27EB"/>
    <w:rsid w:val="009B2E17"/>
    <w:rsid w:val="009B2F2F"/>
    <w:rsid w:val="009B3222"/>
    <w:rsid w:val="009B351D"/>
    <w:rsid w:val="009B401C"/>
    <w:rsid w:val="009B54C5"/>
    <w:rsid w:val="009B5D4F"/>
    <w:rsid w:val="009B5F41"/>
    <w:rsid w:val="009B61CF"/>
    <w:rsid w:val="009B61FF"/>
    <w:rsid w:val="009B6236"/>
    <w:rsid w:val="009B69E9"/>
    <w:rsid w:val="009B6C0C"/>
    <w:rsid w:val="009B7448"/>
    <w:rsid w:val="009B7839"/>
    <w:rsid w:val="009B7C99"/>
    <w:rsid w:val="009B7E1A"/>
    <w:rsid w:val="009C0162"/>
    <w:rsid w:val="009C05FF"/>
    <w:rsid w:val="009C08EC"/>
    <w:rsid w:val="009C0D95"/>
    <w:rsid w:val="009C0F3C"/>
    <w:rsid w:val="009C14D7"/>
    <w:rsid w:val="009C1B34"/>
    <w:rsid w:val="009C1C59"/>
    <w:rsid w:val="009C1D0A"/>
    <w:rsid w:val="009C2CAF"/>
    <w:rsid w:val="009C2E74"/>
    <w:rsid w:val="009C2ED3"/>
    <w:rsid w:val="009C2F43"/>
    <w:rsid w:val="009C3306"/>
    <w:rsid w:val="009C345F"/>
    <w:rsid w:val="009C35BF"/>
    <w:rsid w:val="009C3972"/>
    <w:rsid w:val="009C3A27"/>
    <w:rsid w:val="009C3AE8"/>
    <w:rsid w:val="009C3D97"/>
    <w:rsid w:val="009C3ECD"/>
    <w:rsid w:val="009C40EF"/>
    <w:rsid w:val="009C4133"/>
    <w:rsid w:val="009C4A1E"/>
    <w:rsid w:val="009C4F77"/>
    <w:rsid w:val="009C5342"/>
    <w:rsid w:val="009C58AD"/>
    <w:rsid w:val="009C630D"/>
    <w:rsid w:val="009C68C3"/>
    <w:rsid w:val="009C6C6A"/>
    <w:rsid w:val="009C773E"/>
    <w:rsid w:val="009C77C7"/>
    <w:rsid w:val="009D053A"/>
    <w:rsid w:val="009D0A60"/>
    <w:rsid w:val="009D0CF4"/>
    <w:rsid w:val="009D1680"/>
    <w:rsid w:val="009D1AB6"/>
    <w:rsid w:val="009D27CD"/>
    <w:rsid w:val="009D2A46"/>
    <w:rsid w:val="009D3F49"/>
    <w:rsid w:val="009D4114"/>
    <w:rsid w:val="009D4493"/>
    <w:rsid w:val="009D48C2"/>
    <w:rsid w:val="009D4939"/>
    <w:rsid w:val="009D52BA"/>
    <w:rsid w:val="009D5702"/>
    <w:rsid w:val="009D58F7"/>
    <w:rsid w:val="009D5B5D"/>
    <w:rsid w:val="009D634F"/>
    <w:rsid w:val="009D66FC"/>
    <w:rsid w:val="009D6939"/>
    <w:rsid w:val="009D702D"/>
    <w:rsid w:val="009D7188"/>
    <w:rsid w:val="009D745C"/>
    <w:rsid w:val="009D74C3"/>
    <w:rsid w:val="009D7F87"/>
    <w:rsid w:val="009E0396"/>
    <w:rsid w:val="009E0536"/>
    <w:rsid w:val="009E0FEE"/>
    <w:rsid w:val="009E1D74"/>
    <w:rsid w:val="009E2AA6"/>
    <w:rsid w:val="009E2B80"/>
    <w:rsid w:val="009E2E5F"/>
    <w:rsid w:val="009E3509"/>
    <w:rsid w:val="009E3667"/>
    <w:rsid w:val="009E3737"/>
    <w:rsid w:val="009E3E6C"/>
    <w:rsid w:val="009E40B8"/>
    <w:rsid w:val="009E4395"/>
    <w:rsid w:val="009E4677"/>
    <w:rsid w:val="009E4937"/>
    <w:rsid w:val="009E4BB4"/>
    <w:rsid w:val="009E4CC2"/>
    <w:rsid w:val="009E4F6B"/>
    <w:rsid w:val="009E53C7"/>
    <w:rsid w:val="009E5769"/>
    <w:rsid w:val="009E5912"/>
    <w:rsid w:val="009E5A07"/>
    <w:rsid w:val="009E5D14"/>
    <w:rsid w:val="009E5DAD"/>
    <w:rsid w:val="009E5E40"/>
    <w:rsid w:val="009E6BCF"/>
    <w:rsid w:val="009E6D71"/>
    <w:rsid w:val="009E6F92"/>
    <w:rsid w:val="009E70E9"/>
    <w:rsid w:val="009E715A"/>
    <w:rsid w:val="009E7558"/>
    <w:rsid w:val="009E7716"/>
    <w:rsid w:val="009E7C31"/>
    <w:rsid w:val="009F0176"/>
    <w:rsid w:val="009F0487"/>
    <w:rsid w:val="009F0730"/>
    <w:rsid w:val="009F0D13"/>
    <w:rsid w:val="009F1227"/>
    <w:rsid w:val="009F1482"/>
    <w:rsid w:val="009F22EF"/>
    <w:rsid w:val="009F27FD"/>
    <w:rsid w:val="009F2E38"/>
    <w:rsid w:val="009F3DBE"/>
    <w:rsid w:val="009F442A"/>
    <w:rsid w:val="009F48F4"/>
    <w:rsid w:val="009F4DB1"/>
    <w:rsid w:val="009F50D0"/>
    <w:rsid w:val="009F54DC"/>
    <w:rsid w:val="009F5558"/>
    <w:rsid w:val="009F5D43"/>
    <w:rsid w:val="009F5E45"/>
    <w:rsid w:val="009F5F70"/>
    <w:rsid w:val="009F5FA7"/>
    <w:rsid w:val="009F62E3"/>
    <w:rsid w:val="009F6951"/>
    <w:rsid w:val="009F6A69"/>
    <w:rsid w:val="009F7079"/>
    <w:rsid w:val="009F7391"/>
    <w:rsid w:val="009F744E"/>
    <w:rsid w:val="009F7547"/>
    <w:rsid w:val="009F757C"/>
    <w:rsid w:val="00A002F2"/>
    <w:rsid w:val="00A00330"/>
    <w:rsid w:val="00A007EF"/>
    <w:rsid w:val="00A01524"/>
    <w:rsid w:val="00A01E72"/>
    <w:rsid w:val="00A02A86"/>
    <w:rsid w:val="00A02CBE"/>
    <w:rsid w:val="00A030A4"/>
    <w:rsid w:val="00A0336B"/>
    <w:rsid w:val="00A03529"/>
    <w:rsid w:val="00A039B2"/>
    <w:rsid w:val="00A03CB0"/>
    <w:rsid w:val="00A03D8A"/>
    <w:rsid w:val="00A04403"/>
    <w:rsid w:val="00A04A3C"/>
    <w:rsid w:val="00A04AD1"/>
    <w:rsid w:val="00A04EF6"/>
    <w:rsid w:val="00A05D10"/>
    <w:rsid w:val="00A05EE9"/>
    <w:rsid w:val="00A05F4D"/>
    <w:rsid w:val="00A063AB"/>
    <w:rsid w:val="00A06445"/>
    <w:rsid w:val="00A06510"/>
    <w:rsid w:val="00A06521"/>
    <w:rsid w:val="00A06784"/>
    <w:rsid w:val="00A06D53"/>
    <w:rsid w:val="00A06DCA"/>
    <w:rsid w:val="00A07567"/>
    <w:rsid w:val="00A10B5B"/>
    <w:rsid w:val="00A1106B"/>
    <w:rsid w:val="00A11730"/>
    <w:rsid w:val="00A11A41"/>
    <w:rsid w:val="00A11E0D"/>
    <w:rsid w:val="00A12280"/>
    <w:rsid w:val="00A12552"/>
    <w:rsid w:val="00A127CE"/>
    <w:rsid w:val="00A1284E"/>
    <w:rsid w:val="00A12FCE"/>
    <w:rsid w:val="00A13410"/>
    <w:rsid w:val="00A1414D"/>
    <w:rsid w:val="00A1445B"/>
    <w:rsid w:val="00A14781"/>
    <w:rsid w:val="00A14E35"/>
    <w:rsid w:val="00A15471"/>
    <w:rsid w:val="00A155FB"/>
    <w:rsid w:val="00A16335"/>
    <w:rsid w:val="00A163F8"/>
    <w:rsid w:val="00A174ED"/>
    <w:rsid w:val="00A20317"/>
    <w:rsid w:val="00A2036A"/>
    <w:rsid w:val="00A205DC"/>
    <w:rsid w:val="00A2128A"/>
    <w:rsid w:val="00A215A3"/>
    <w:rsid w:val="00A21880"/>
    <w:rsid w:val="00A2195D"/>
    <w:rsid w:val="00A21BC5"/>
    <w:rsid w:val="00A22950"/>
    <w:rsid w:val="00A23669"/>
    <w:rsid w:val="00A23FAE"/>
    <w:rsid w:val="00A24894"/>
    <w:rsid w:val="00A24DFB"/>
    <w:rsid w:val="00A24F08"/>
    <w:rsid w:val="00A25271"/>
    <w:rsid w:val="00A25755"/>
    <w:rsid w:val="00A25EB5"/>
    <w:rsid w:val="00A26462"/>
    <w:rsid w:val="00A26540"/>
    <w:rsid w:val="00A2677A"/>
    <w:rsid w:val="00A26ABF"/>
    <w:rsid w:val="00A273DB"/>
    <w:rsid w:val="00A278ED"/>
    <w:rsid w:val="00A3035A"/>
    <w:rsid w:val="00A30FA6"/>
    <w:rsid w:val="00A3129F"/>
    <w:rsid w:val="00A32863"/>
    <w:rsid w:val="00A32C87"/>
    <w:rsid w:val="00A332B8"/>
    <w:rsid w:val="00A3365F"/>
    <w:rsid w:val="00A33710"/>
    <w:rsid w:val="00A33EEE"/>
    <w:rsid w:val="00A33F7E"/>
    <w:rsid w:val="00A3494E"/>
    <w:rsid w:val="00A34BC3"/>
    <w:rsid w:val="00A357D6"/>
    <w:rsid w:val="00A35CC6"/>
    <w:rsid w:val="00A361FD"/>
    <w:rsid w:val="00A363F5"/>
    <w:rsid w:val="00A3641F"/>
    <w:rsid w:val="00A3695A"/>
    <w:rsid w:val="00A36A62"/>
    <w:rsid w:val="00A36C25"/>
    <w:rsid w:val="00A371DD"/>
    <w:rsid w:val="00A372E4"/>
    <w:rsid w:val="00A37743"/>
    <w:rsid w:val="00A4040A"/>
    <w:rsid w:val="00A40D1F"/>
    <w:rsid w:val="00A42358"/>
    <w:rsid w:val="00A42D92"/>
    <w:rsid w:val="00A436C3"/>
    <w:rsid w:val="00A44199"/>
    <w:rsid w:val="00A44C36"/>
    <w:rsid w:val="00A44DC4"/>
    <w:rsid w:val="00A44F13"/>
    <w:rsid w:val="00A45205"/>
    <w:rsid w:val="00A4525C"/>
    <w:rsid w:val="00A452C6"/>
    <w:rsid w:val="00A45390"/>
    <w:rsid w:val="00A454CC"/>
    <w:rsid w:val="00A4581D"/>
    <w:rsid w:val="00A45E9F"/>
    <w:rsid w:val="00A46131"/>
    <w:rsid w:val="00A46FE8"/>
    <w:rsid w:val="00A47560"/>
    <w:rsid w:val="00A47909"/>
    <w:rsid w:val="00A47E71"/>
    <w:rsid w:val="00A47E9A"/>
    <w:rsid w:val="00A47ECF"/>
    <w:rsid w:val="00A50161"/>
    <w:rsid w:val="00A50490"/>
    <w:rsid w:val="00A50EEC"/>
    <w:rsid w:val="00A51534"/>
    <w:rsid w:val="00A516E3"/>
    <w:rsid w:val="00A51C11"/>
    <w:rsid w:val="00A51E45"/>
    <w:rsid w:val="00A52C5F"/>
    <w:rsid w:val="00A535C6"/>
    <w:rsid w:val="00A53742"/>
    <w:rsid w:val="00A53A8A"/>
    <w:rsid w:val="00A5402E"/>
    <w:rsid w:val="00A5477C"/>
    <w:rsid w:val="00A548D8"/>
    <w:rsid w:val="00A54D09"/>
    <w:rsid w:val="00A54D3D"/>
    <w:rsid w:val="00A54FAE"/>
    <w:rsid w:val="00A551D6"/>
    <w:rsid w:val="00A55BD9"/>
    <w:rsid w:val="00A55E63"/>
    <w:rsid w:val="00A562C0"/>
    <w:rsid w:val="00A56571"/>
    <w:rsid w:val="00A56E7D"/>
    <w:rsid w:val="00A5705A"/>
    <w:rsid w:val="00A57546"/>
    <w:rsid w:val="00A57A42"/>
    <w:rsid w:val="00A60263"/>
    <w:rsid w:val="00A60680"/>
    <w:rsid w:val="00A60807"/>
    <w:rsid w:val="00A60C6B"/>
    <w:rsid w:val="00A61A85"/>
    <w:rsid w:val="00A62381"/>
    <w:rsid w:val="00A625B6"/>
    <w:rsid w:val="00A62E98"/>
    <w:rsid w:val="00A63900"/>
    <w:rsid w:val="00A63FBB"/>
    <w:rsid w:val="00A64286"/>
    <w:rsid w:val="00A649A4"/>
    <w:rsid w:val="00A64A7C"/>
    <w:rsid w:val="00A6502F"/>
    <w:rsid w:val="00A65386"/>
    <w:rsid w:val="00A653E1"/>
    <w:rsid w:val="00A65533"/>
    <w:rsid w:val="00A65603"/>
    <w:rsid w:val="00A6568C"/>
    <w:rsid w:val="00A658A2"/>
    <w:rsid w:val="00A662F5"/>
    <w:rsid w:val="00A6647B"/>
    <w:rsid w:val="00A66797"/>
    <w:rsid w:val="00A6759E"/>
    <w:rsid w:val="00A679E1"/>
    <w:rsid w:val="00A67C3E"/>
    <w:rsid w:val="00A7050F"/>
    <w:rsid w:val="00A70860"/>
    <w:rsid w:val="00A70956"/>
    <w:rsid w:val="00A70DAC"/>
    <w:rsid w:val="00A7126F"/>
    <w:rsid w:val="00A71736"/>
    <w:rsid w:val="00A71815"/>
    <w:rsid w:val="00A71DCE"/>
    <w:rsid w:val="00A71F2F"/>
    <w:rsid w:val="00A7361F"/>
    <w:rsid w:val="00A73891"/>
    <w:rsid w:val="00A73969"/>
    <w:rsid w:val="00A73B23"/>
    <w:rsid w:val="00A74A31"/>
    <w:rsid w:val="00A7551D"/>
    <w:rsid w:val="00A759B5"/>
    <w:rsid w:val="00A762F1"/>
    <w:rsid w:val="00A7713E"/>
    <w:rsid w:val="00A77456"/>
    <w:rsid w:val="00A775D3"/>
    <w:rsid w:val="00A779DF"/>
    <w:rsid w:val="00A77F67"/>
    <w:rsid w:val="00A80528"/>
    <w:rsid w:val="00A814E2"/>
    <w:rsid w:val="00A818ED"/>
    <w:rsid w:val="00A81923"/>
    <w:rsid w:val="00A81EA0"/>
    <w:rsid w:val="00A8218C"/>
    <w:rsid w:val="00A82398"/>
    <w:rsid w:val="00A82927"/>
    <w:rsid w:val="00A8337A"/>
    <w:rsid w:val="00A8380D"/>
    <w:rsid w:val="00A844D5"/>
    <w:rsid w:val="00A84578"/>
    <w:rsid w:val="00A84611"/>
    <w:rsid w:val="00A84984"/>
    <w:rsid w:val="00A860E3"/>
    <w:rsid w:val="00A86573"/>
    <w:rsid w:val="00A86772"/>
    <w:rsid w:val="00A869C9"/>
    <w:rsid w:val="00A87454"/>
    <w:rsid w:val="00A87DEA"/>
    <w:rsid w:val="00A87F62"/>
    <w:rsid w:val="00A90E9D"/>
    <w:rsid w:val="00A91142"/>
    <w:rsid w:val="00A9150E"/>
    <w:rsid w:val="00A91A51"/>
    <w:rsid w:val="00A91DF2"/>
    <w:rsid w:val="00A92EA8"/>
    <w:rsid w:val="00A932EE"/>
    <w:rsid w:val="00A93454"/>
    <w:rsid w:val="00A9389F"/>
    <w:rsid w:val="00A938DC"/>
    <w:rsid w:val="00A93AA7"/>
    <w:rsid w:val="00A93B8B"/>
    <w:rsid w:val="00A93DC1"/>
    <w:rsid w:val="00A93E3D"/>
    <w:rsid w:val="00A9436A"/>
    <w:rsid w:val="00A94A3B"/>
    <w:rsid w:val="00A954C8"/>
    <w:rsid w:val="00A957D3"/>
    <w:rsid w:val="00A9593D"/>
    <w:rsid w:val="00A96152"/>
    <w:rsid w:val="00A96273"/>
    <w:rsid w:val="00A96313"/>
    <w:rsid w:val="00A96320"/>
    <w:rsid w:val="00A96583"/>
    <w:rsid w:val="00A96854"/>
    <w:rsid w:val="00A96945"/>
    <w:rsid w:val="00A96D1A"/>
    <w:rsid w:val="00A97456"/>
    <w:rsid w:val="00A979E1"/>
    <w:rsid w:val="00A97D6D"/>
    <w:rsid w:val="00AA0501"/>
    <w:rsid w:val="00AA0689"/>
    <w:rsid w:val="00AA0895"/>
    <w:rsid w:val="00AA0A77"/>
    <w:rsid w:val="00AA0F17"/>
    <w:rsid w:val="00AA1414"/>
    <w:rsid w:val="00AA17AE"/>
    <w:rsid w:val="00AA1A2C"/>
    <w:rsid w:val="00AA2B18"/>
    <w:rsid w:val="00AA2CCC"/>
    <w:rsid w:val="00AA34E0"/>
    <w:rsid w:val="00AA3958"/>
    <w:rsid w:val="00AA3BA1"/>
    <w:rsid w:val="00AA40A2"/>
    <w:rsid w:val="00AA4194"/>
    <w:rsid w:val="00AA4470"/>
    <w:rsid w:val="00AA611E"/>
    <w:rsid w:val="00AA66EC"/>
    <w:rsid w:val="00AA6C1B"/>
    <w:rsid w:val="00AA76B6"/>
    <w:rsid w:val="00AA7D3D"/>
    <w:rsid w:val="00AB00E2"/>
    <w:rsid w:val="00AB03AC"/>
    <w:rsid w:val="00AB0406"/>
    <w:rsid w:val="00AB079D"/>
    <w:rsid w:val="00AB1A1D"/>
    <w:rsid w:val="00AB1D27"/>
    <w:rsid w:val="00AB21B9"/>
    <w:rsid w:val="00AB23B7"/>
    <w:rsid w:val="00AB280A"/>
    <w:rsid w:val="00AB28E1"/>
    <w:rsid w:val="00AB36FA"/>
    <w:rsid w:val="00AB4226"/>
    <w:rsid w:val="00AB47CD"/>
    <w:rsid w:val="00AB5EFC"/>
    <w:rsid w:val="00AB62A3"/>
    <w:rsid w:val="00AB6CF1"/>
    <w:rsid w:val="00AB75D2"/>
    <w:rsid w:val="00AB767B"/>
    <w:rsid w:val="00AB7B20"/>
    <w:rsid w:val="00AB7C1C"/>
    <w:rsid w:val="00AC03CB"/>
    <w:rsid w:val="00AC055F"/>
    <w:rsid w:val="00AC06F3"/>
    <w:rsid w:val="00AC0B22"/>
    <w:rsid w:val="00AC0D58"/>
    <w:rsid w:val="00AC10CE"/>
    <w:rsid w:val="00AC126C"/>
    <w:rsid w:val="00AC13DC"/>
    <w:rsid w:val="00AC1A38"/>
    <w:rsid w:val="00AC2211"/>
    <w:rsid w:val="00AC2329"/>
    <w:rsid w:val="00AC232A"/>
    <w:rsid w:val="00AC2381"/>
    <w:rsid w:val="00AC27FF"/>
    <w:rsid w:val="00AC3185"/>
    <w:rsid w:val="00AC3969"/>
    <w:rsid w:val="00AC3F06"/>
    <w:rsid w:val="00AC3FE7"/>
    <w:rsid w:val="00AC42F8"/>
    <w:rsid w:val="00AC46BF"/>
    <w:rsid w:val="00AC4CDA"/>
    <w:rsid w:val="00AC540D"/>
    <w:rsid w:val="00AC56DC"/>
    <w:rsid w:val="00AC5869"/>
    <w:rsid w:val="00AC5BB8"/>
    <w:rsid w:val="00AC619A"/>
    <w:rsid w:val="00AC63BE"/>
    <w:rsid w:val="00AC648C"/>
    <w:rsid w:val="00AC6632"/>
    <w:rsid w:val="00AC66A2"/>
    <w:rsid w:val="00AC7060"/>
    <w:rsid w:val="00AC7334"/>
    <w:rsid w:val="00AC7529"/>
    <w:rsid w:val="00AC765E"/>
    <w:rsid w:val="00AC7EA1"/>
    <w:rsid w:val="00AD00C1"/>
    <w:rsid w:val="00AD0595"/>
    <w:rsid w:val="00AD0A9D"/>
    <w:rsid w:val="00AD13DF"/>
    <w:rsid w:val="00AD153B"/>
    <w:rsid w:val="00AD1793"/>
    <w:rsid w:val="00AD1A4F"/>
    <w:rsid w:val="00AD204B"/>
    <w:rsid w:val="00AD24DB"/>
    <w:rsid w:val="00AD253F"/>
    <w:rsid w:val="00AD288B"/>
    <w:rsid w:val="00AD2C37"/>
    <w:rsid w:val="00AD2DFA"/>
    <w:rsid w:val="00AD303D"/>
    <w:rsid w:val="00AD36D5"/>
    <w:rsid w:val="00AD36DD"/>
    <w:rsid w:val="00AD395D"/>
    <w:rsid w:val="00AD43DC"/>
    <w:rsid w:val="00AD4E00"/>
    <w:rsid w:val="00AD51BA"/>
    <w:rsid w:val="00AD534E"/>
    <w:rsid w:val="00AD579D"/>
    <w:rsid w:val="00AD5CA9"/>
    <w:rsid w:val="00AD5DA4"/>
    <w:rsid w:val="00AD6677"/>
    <w:rsid w:val="00AD674A"/>
    <w:rsid w:val="00AE0067"/>
    <w:rsid w:val="00AE094D"/>
    <w:rsid w:val="00AE0F44"/>
    <w:rsid w:val="00AE11E2"/>
    <w:rsid w:val="00AE11FD"/>
    <w:rsid w:val="00AE1652"/>
    <w:rsid w:val="00AE1855"/>
    <w:rsid w:val="00AE18CC"/>
    <w:rsid w:val="00AE1A46"/>
    <w:rsid w:val="00AE1AC5"/>
    <w:rsid w:val="00AE232C"/>
    <w:rsid w:val="00AE2AB5"/>
    <w:rsid w:val="00AE35CF"/>
    <w:rsid w:val="00AE385E"/>
    <w:rsid w:val="00AE3ABA"/>
    <w:rsid w:val="00AE464F"/>
    <w:rsid w:val="00AE4651"/>
    <w:rsid w:val="00AE4C79"/>
    <w:rsid w:val="00AE4E74"/>
    <w:rsid w:val="00AE523F"/>
    <w:rsid w:val="00AE52BA"/>
    <w:rsid w:val="00AE5938"/>
    <w:rsid w:val="00AE5FB3"/>
    <w:rsid w:val="00AE657E"/>
    <w:rsid w:val="00AE7AA8"/>
    <w:rsid w:val="00AF0031"/>
    <w:rsid w:val="00AF0A72"/>
    <w:rsid w:val="00AF1192"/>
    <w:rsid w:val="00AF1282"/>
    <w:rsid w:val="00AF16CA"/>
    <w:rsid w:val="00AF1907"/>
    <w:rsid w:val="00AF1E10"/>
    <w:rsid w:val="00AF205F"/>
    <w:rsid w:val="00AF2186"/>
    <w:rsid w:val="00AF2AC0"/>
    <w:rsid w:val="00AF2CCC"/>
    <w:rsid w:val="00AF2D92"/>
    <w:rsid w:val="00AF307E"/>
    <w:rsid w:val="00AF39D2"/>
    <w:rsid w:val="00AF3A96"/>
    <w:rsid w:val="00AF3BF5"/>
    <w:rsid w:val="00AF4297"/>
    <w:rsid w:val="00AF4570"/>
    <w:rsid w:val="00AF48D0"/>
    <w:rsid w:val="00AF49F0"/>
    <w:rsid w:val="00AF578D"/>
    <w:rsid w:val="00AF66C5"/>
    <w:rsid w:val="00AF6742"/>
    <w:rsid w:val="00AF6785"/>
    <w:rsid w:val="00AF6FB8"/>
    <w:rsid w:val="00AF7536"/>
    <w:rsid w:val="00AF75BE"/>
    <w:rsid w:val="00AF7773"/>
    <w:rsid w:val="00AF785C"/>
    <w:rsid w:val="00B00260"/>
    <w:rsid w:val="00B0060B"/>
    <w:rsid w:val="00B0084C"/>
    <w:rsid w:val="00B011CD"/>
    <w:rsid w:val="00B01604"/>
    <w:rsid w:val="00B02342"/>
    <w:rsid w:val="00B02F5D"/>
    <w:rsid w:val="00B030CA"/>
    <w:rsid w:val="00B03879"/>
    <w:rsid w:val="00B0387C"/>
    <w:rsid w:val="00B03A28"/>
    <w:rsid w:val="00B03E07"/>
    <w:rsid w:val="00B04170"/>
    <w:rsid w:val="00B04499"/>
    <w:rsid w:val="00B04613"/>
    <w:rsid w:val="00B046B2"/>
    <w:rsid w:val="00B04730"/>
    <w:rsid w:val="00B04B64"/>
    <w:rsid w:val="00B04B69"/>
    <w:rsid w:val="00B0510F"/>
    <w:rsid w:val="00B056A8"/>
    <w:rsid w:val="00B05764"/>
    <w:rsid w:val="00B05CD3"/>
    <w:rsid w:val="00B05D5F"/>
    <w:rsid w:val="00B06120"/>
    <w:rsid w:val="00B0626A"/>
    <w:rsid w:val="00B067C6"/>
    <w:rsid w:val="00B06DE1"/>
    <w:rsid w:val="00B07058"/>
    <w:rsid w:val="00B072DF"/>
    <w:rsid w:val="00B07742"/>
    <w:rsid w:val="00B07D1C"/>
    <w:rsid w:val="00B114CD"/>
    <w:rsid w:val="00B115B5"/>
    <w:rsid w:val="00B116A4"/>
    <w:rsid w:val="00B11802"/>
    <w:rsid w:val="00B11B03"/>
    <w:rsid w:val="00B11D89"/>
    <w:rsid w:val="00B1220B"/>
    <w:rsid w:val="00B126F0"/>
    <w:rsid w:val="00B12B5B"/>
    <w:rsid w:val="00B1346D"/>
    <w:rsid w:val="00B13866"/>
    <w:rsid w:val="00B13F2D"/>
    <w:rsid w:val="00B13FFA"/>
    <w:rsid w:val="00B14709"/>
    <w:rsid w:val="00B14DD4"/>
    <w:rsid w:val="00B14F72"/>
    <w:rsid w:val="00B15032"/>
    <w:rsid w:val="00B156C6"/>
    <w:rsid w:val="00B1582F"/>
    <w:rsid w:val="00B15B03"/>
    <w:rsid w:val="00B15E01"/>
    <w:rsid w:val="00B16245"/>
    <w:rsid w:val="00B165DB"/>
    <w:rsid w:val="00B167BC"/>
    <w:rsid w:val="00B16B75"/>
    <w:rsid w:val="00B16CAB"/>
    <w:rsid w:val="00B16CE7"/>
    <w:rsid w:val="00B16D0F"/>
    <w:rsid w:val="00B16E32"/>
    <w:rsid w:val="00B176DB"/>
    <w:rsid w:val="00B178C8"/>
    <w:rsid w:val="00B17F73"/>
    <w:rsid w:val="00B201CC"/>
    <w:rsid w:val="00B20B7E"/>
    <w:rsid w:val="00B20EC6"/>
    <w:rsid w:val="00B217B2"/>
    <w:rsid w:val="00B21C03"/>
    <w:rsid w:val="00B21D6F"/>
    <w:rsid w:val="00B221E6"/>
    <w:rsid w:val="00B22489"/>
    <w:rsid w:val="00B22B59"/>
    <w:rsid w:val="00B22DD7"/>
    <w:rsid w:val="00B2307E"/>
    <w:rsid w:val="00B23B5E"/>
    <w:rsid w:val="00B24075"/>
    <w:rsid w:val="00B24300"/>
    <w:rsid w:val="00B24586"/>
    <w:rsid w:val="00B24614"/>
    <w:rsid w:val="00B24788"/>
    <w:rsid w:val="00B24877"/>
    <w:rsid w:val="00B2578C"/>
    <w:rsid w:val="00B25DAE"/>
    <w:rsid w:val="00B26A4B"/>
    <w:rsid w:val="00B26F80"/>
    <w:rsid w:val="00B27925"/>
    <w:rsid w:val="00B3003A"/>
    <w:rsid w:val="00B30290"/>
    <w:rsid w:val="00B31F45"/>
    <w:rsid w:val="00B329B3"/>
    <w:rsid w:val="00B32B98"/>
    <w:rsid w:val="00B32DA1"/>
    <w:rsid w:val="00B33513"/>
    <w:rsid w:val="00B340E2"/>
    <w:rsid w:val="00B3422C"/>
    <w:rsid w:val="00B350F8"/>
    <w:rsid w:val="00B35844"/>
    <w:rsid w:val="00B3628F"/>
    <w:rsid w:val="00B365D3"/>
    <w:rsid w:val="00B37025"/>
    <w:rsid w:val="00B371BE"/>
    <w:rsid w:val="00B372A7"/>
    <w:rsid w:val="00B3741E"/>
    <w:rsid w:val="00B37871"/>
    <w:rsid w:val="00B37997"/>
    <w:rsid w:val="00B37BB8"/>
    <w:rsid w:val="00B40464"/>
    <w:rsid w:val="00B4055B"/>
    <w:rsid w:val="00B40D39"/>
    <w:rsid w:val="00B4128B"/>
    <w:rsid w:val="00B41929"/>
    <w:rsid w:val="00B41AFB"/>
    <w:rsid w:val="00B41DBB"/>
    <w:rsid w:val="00B42074"/>
    <w:rsid w:val="00B425FE"/>
    <w:rsid w:val="00B42A8C"/>
    <w:rsid w:val="00B42C67"/>
    <w:rsid w:val="00B43217"/>
    <w:rsid w:val="00B43598"/>
    <w:rsid w:val="00B435A1"/>
    <w:rsid w:val="00B438BA"/>
    <w:rsid w:val="00B43907"/>
    <w:rsid w:val="00B43DDF"/>
    <w:rsid w:val="00B43F38"/>
    <w:rsid w:val="00B44917"/>
    <w:rsid w:val="00B44966"/>
    <w:rsid w:val="00B449D2"/>
    <w:rsid w:val="00B44A61"/>
    <w:rsid w:val="00B44E94"/>
    <w:rsid w:val="00B45189"/>
    <w:rsid w:val="00B45C0F"/>
    <w:rsid w:val="00B46C6A"/>
    <w:rsid w:val="00B46CBE"/>
    <w:rsid w:val="00B474A5"/>
    <w:rsid w:val="00B50E48"/>
    <w:rsid w:val="00B516D4"/>
    <w:rsid w:val="00B51713"/>
    <w:rsid w:val="00B51866"/>
    <w:rsid w:val="00B51932"/>
    <w:rsid w:val="00B51C73"/>
    <w:rsid w:val="00B51FD9"/>
    <w:rsid w:val="00B5222D"/>
    <w:rsid w:val="00B5282F"/>
    <w:rsid w:val="00B52AA6"/>
    <w:rsid w:val="00B52BF4"/>
    <w:rsid w:val="00B53098"/>
    <w:rsid w:val="00B532BD"/>
    <w:rsid w:val="00B53E95"/>
    <w:rsid w:val="00B5414C"/>
    <w:rsid w:val="00B54261"/>
    <w:rsid w:val="00B547D8"/>
    <w:rsid w:val="00B54814"/>
    <w:rsid w:val="00B54B35"/>
    <w:rsid w:val="00B553F3"/>
    <w:rsid w:val="00B55F50"/>
    <w:rsid w:val="00B56064"/>
    <w:rsid w:val="00B56339"/>
    <w:rsid w:val="00B563D7"/>
    <w:rsid w:val="00B5648E"/>
    <w:rsid w:val="00B56EBD"/>
    <w:rsid w:val="00B570C2"/>
    <w:rsid w:val="00B57464"/>
    <w:rsid w:val="00B575B8"/>
    <w:rsid w:val="00B57AE7"/>
    <w:rsid w:val="00B57C2C"/>
    <w:rsid w:val="00B57EDF"/>
    <w:rsid w:val="00B60B8F"/>
    <w:rsid w:val="00B60ED1"/>
    <w:rsid w:val="00B61665"/>
    <w:rsid w:val="00B61992"/>
    <w:rsid w:val="00B61E02"/>
    <w:rsid w:val="00B63060"/>
    <w:rsid w:val="00B6381E"/>
    <w:rsid w:val="00B63954"/>
    <w:rsid w:val="00B63F8D"/>
    <w:rsid w:val="00B640E0"/>
    <w:rsid w:val="00B646C0"/>
    <w:rsid w:val="00B64A80"/>
    <w:rsid w:val="00B64FEA"/>
    <w:rsid w:val="00B65042"/>
    <w:rsid w:val="00B65451"/>
    <w:rsid w:val="00B659FD"/>
    <w:rsid w:val="00B66974"/>
    <w:rsid w:val="00B674B6"/>
    <w:rsid w:val="00B70662"/>
    <w:rsid w:val="00B70955"/>
    <w:rsid w:val="00B70ADC"/>
    <w:rsid w:val="00B70BFE"/>
    <w:rsid w:val="00B71881"/>
    <w:rsid w:val="00B7221F"/>
    <w:rsid w:val="00B730C5"/>
    <w:rsid w:val="00B73568"/>
    <w:rsid w:val="00B736FA"/>
    <w:rsid w:val="00B73775"/>
    <w:rsid w:val="00B7388A"/>
    <w:rsid w:val="00B73CE6"/>
    <w:rsid w:val="00B74105"/>
    <w:rsid w:val="00B74A71"/>
    <w:rsid w:val="00B75D1B"/>
    <w:rsid w:val="00B76FE9"/>
    <w:rsid w:val="00B7710C"/>
    <w:rsid w:val="00B77CE9"/>
    <w:rsid w:val="00B77CF2"/>
    <w:rsid w:val="00B80250"/>
    <w:rsid w:val="00B80747"/>
    <w:rsid w:val="00B808D8"/>
    <w:rsid w:val="00B8092C"/>
    <w:rsid w:val="00B80C2E"/>
    <w:rsid w:val="00B80D16"/>
    <w:rsid w:val="00B80FEB"/>
    <w:rsid w:val="00B81078"/>
    <w:rsid w:val="00B81132"/>
    <w:rsid w:val="00B811C9"/>
    <w:rsid w:val="00B81294"/>
    <w:rsid w:val="00B8164C"/>
    <w:rsid w:val="00B81EAF"/>
    <w:rsid w:val="00B8218C"/>
    <w:rsid w:val="00B82371"/>
    <w:rsid w:val="00B82663"/>
    <w:rsid w:val="00B82834"/>
    <w:rsid w:val="00B83050"/>
    <w:rsid w:val="00B835E6"/>
    <w:rsid w:val="00B843A0"/>
    <w:rsid w:val="00B84795"/>
    <w:rsid w:val="00B84972"/>
    <w:rsid w:val="00B850C5"/>
    <w:rsid w:val="00B85739"/>
    <w:rsid w:val="00B86542"/>
    <w:rsid w:val="00B867DC"/>
    <w:rsid w:val="00B86BCF"/>
    <w:rsid w:val="00B86FCC"/>
    <w:rsid w:val="00B871B4"/>
    <w:rsid w:val="00B874A2"/>
    <w:rsid w:val="00B874EB"/>
    <w:rsid w:val="00B87590"/>
    <w:rsid w:val="00B8761B"/>
    <w:rsid w:val="00B879FA"/>
    <w:rsid w:val="00B87A7D"/>
    <w:rsid w:val="00B87C85"/>
    <w:rsid w:val="00B87D6C"/>
    <w:rsid w:val="00B903DA"/>
    <w:rsid w:val="00B9096D"/>
    <w:rsid w:val="00B90D1D"/>
    <w:rsid w:val="00B91176"/>
    <w:rsid w:val="00B91409"/>
    <w:rsid w:val="00B9162F"/>
    <w:rsid w:val="00B917C5"/>
    <w:rsid w:val="00B92BE3"/>
    <w:rsid w:val="00B92EE0"/>
    <w:rsid w:val="00B9301D"/>
    <w:rsid w:val="00B9349A"/>
    <w:rsid w:val="00B93E68"/>
    <w:rsid w:val="00B940C7"/>
    <w:rsid w:val="00B9446D"/>
    <w:rsid w:val="00B944F0"/>
    <w:rsid w:val="00B9536C"/>
    <w:rsid w:val="00B954A7"/>
    <w:rsid w:val="00B958CC"/>
    <w:rsid w:val="00B95B3C"/>
    <w:rsid w:val="00B95F60"/>
    <w:rsid w:val="00B95FB7"/>
    <w:rsid w:val="00B976A7"/>
    <w:rsid w:val="00B9770F"/>
    <w:rsid w:val="00B97B03"/>
    <w:rsid w:val="00B97B81"/>
    <w:rsid w:val="00BA00D8"/>
    <w:rsid w:val="00BA0697"/>
    <w:rsid w:val="00BA0FE9"/>
    <w:rsid w:val="00BA10E2"/>
    <w:rsid w:val="00BA1A1C"/>
    <w:rsid w:val="00BA1BF2"/>
    <w:rsid w:val="00BA221B"/>
    <w:rsid w:val="00BA23AB"/>
    <w:rsid w:val="00BA2875"/>
    <w:rsid w:val="00BA28EF"/>
    <w:rsid w:val="00BA29C9"/>
    <w:rsid w:val="00BA2A5A"/>
    <w:rsid w:val="00BA3156"/>
    <w:rsid w:val="00BA31CE"/>
    <w:rsid w:val="00BA321D"/>
    <w:rsid w:val="00BA36C4"/>
    <w:rsid w:val="00BA371A"/>
    <w:rsid w:val="00BA3FB0"/>
    <w:rsid w:val="00BA4971"/>
    <w:rsid w:val="00BA4A21"/>
    <w:rsid w:val="00BA502F"/>
    <w:rsid w:val="00BA53B6"/>
    <w:rsid w:val="00BA53C4"/>
    <w:rsid w:val="00BA5764"/>
    <w:rsid w:val="00BA5915"/>
    <w:rsid w:val="00BA5947"/>
    <w:rsid w:val="00BA65E0"/>
    <w:rsid w:val="00BA6F4F"/>
    <w:rsid w:val="00BA7914"/>
    <w:rsid w:val="00BA7FCA"/>
    <w:rsid w:val="00BB0368"/>
    <w:rsid w:val="00BB0918"/>
    <w:rsid w:val="00BB0CA3"/>
    <w:rsid w:val="00BB0CF6"/>
    <w:rsid w:val="00BB19AA"/>
    <w:rsid w:val="00BB1A13"/>
    <w:rsid w:val="00BB2084"/>
    <w:rsid w:val="00BB209C"/>
    <w:rsid w:val="00BB26A3"/>
    <w:rsid w:val="00BB29DA"/>
    <w:rsid w:val="00BB2B48"/>
    <w:rsid w:val="00BB37F9"/>
    <w:rsid w:val="00BB3886"/>
    <w:rsid w:val="00BB3C70"/>
    <w:rsid w:val="00BB3CA3"/>
    <w:rsid w:val="00BB3F39"/>
    <w:rsid w:val="00BB421C"/>
    <w:rsid w:val="00BB4D58"/>
    <w:rsid w:val="00BB524D"/>
    <w:rsid w:val="00BB6E46"/>
    <w:rsid w:val="00BB7072"/>
    <w:rsid w:val="00BB7312"/>
    <w:rsid w:val="00BB73F7"/>
    <w:rsid w:val="00BB7419"/>
    <w:rsid w:val="00BB763E"/>
    <w:rsid w:val="00BB7A96"/>
    <w:rsid w:val="00BB7D26"/>
    <w:rsid w:val="00BC0283"/>
    <w:rsid w:val="00BC0DDA"/>
    <w:rsid w:val="00BC0FD0"/>
    <w:rsid w:val="00BC1195"/>
    <w:rsid w:val="00BC162D"/>
    <w:rsid w:val="00BC213B"/>
    <w:rsid w:val="00BC2532"/>
    <w:rsid w:val="00BC279C"/>
    <w:rsid w:val="00BC28A0"/>
    <w:rsid w:val="00BC314E"/>
    <w:rsid w:val="00BC3610"/>
    <w:rsid w:val="00BC388F"/>
    <w:rsid w:val="00BC43E5"/>
    <w:rsid w:val="00BC4E99"/>
    <w:rsid w:val="00BC4EB1"/>
    <w:rsid w:val="00BC4FA5"/>
    <w:rsid w:val="00BC4FEF"/>
    <w:rsid w:val="00BC5013"/>
    <w:rsid w:val="00BC5135"/>
    <w:rsid w:val="00BC52CF"/>
    <w:rsid w:val="00BC53BB"/>
    <w:rsid w:val="00BC5A4A"/>
    <w:rsid w:val="00BC6628"/>
    <w:rsid w:val="00BC666A"/>
    <w:rsid w:val="00BC6AD6"/>
    <w:rsid w:val="00BC7067"/>
    <w:rsid w:val="00BC7BD9"/>
    <w:rsid w:val="00BD07A6"/>
    <w:rsid w:val="00BD0BA1"/>
    <w:rsid w:val="00BD1CC1"/>
    <w:rsid w:val="00BD1D72"/>
    <w:rsid w:val="00BD1D77"/>
    <w:rsid w:val="00BD1FA9"/>
    <w:rsid w:val="00BD2A4A"/>
    <w:rsid w:val="00BD35C0"/>
    <w:rsid w:val="00BD3647"/>
    <w:rsid w:val="00BD3ED3"/>
    <w:rsid w:val="00BD44C1"/>
    <w:rsid w:val="00BD495B"/>
    <w:rsid w:val="00BD4993"/>
    <w:rsid w:val="00BD4A1A"/>
    <w:rsid w:val="00BD4AF6"/>
    <w:rsid w:val="00BD4E15"/>
    <w:rsid w:val="00BD4F39"/>
    <w:rsid w:val="00BD54FA"/>
    <w:rsid w:val="00BD5658"/>
    <w:rsid w:val="00BD579D"/>
    <w:rsid w:val="00BD5E1D"/>
    <w:rsid w:val="00BD62CA"/>
    <w:rsid w:val="00BD681C"/>
    <w:rsid w:val="00BD68F5"/>
    <w:rsid w:val="00BD6905"/>
    <w:rsid w:val="00BD6A24"/>
    <w:rsid w:val="00BD6C0C"/>
    <w:rsid w:val="00BD6CD3"/>
    <w:rsid w:val="00BD6CFC"/>
    <w:rsid w:val="00BD6F41"/>
    <w:rsid w:val="00BD773E"/>
    <w:rsid w:val="00BD7750"/>
    <w:rsid w:val="00BD77C8"/>
    <w:rsid w:val="00BE0484"/>
    <w:rsid w:val="00BE055C"/>
    <w:rsid w:val="00BE125F"/>
    <w:rsid w:val="00BE13CA"/>
    <w:rsid w:val="00BE1679"/>
    <w:rsid w:val="00BE17AB"/>
    <w:rsid w:val="00BE19E8"/>
    <w:rsid w:val="00BE1A5A"/>
    <w:rsid w:val="00BE1C2C"/>
    <w:rsid w:val="00BE1FEE"/>
    <w:rsid w:val="00BE2792"/>
    <w:rsid w:val="00BE2FCE"/>
    <w:rsid w:val="00BE3482"/>
    <w:rsid w:val="00BE362B"/>
    <w:rsid w:val="00BE39BD"/>
    <w:rsid w:val="00BE4A65"/>
    <w:rsid w:val="00BE4B5B"/>
    <w:rsid w:val="00BE56D8"/>
    <w:rsid w:val="00BE5A14"/>
    <w:rsid w:val="00BE5A44"/>
    <w:rsid w:val="00BE65F3"/>
    <w:rsid w:val="00BE7548"/>
    <w:rsid w:val="00BE7713"/>
    <w:rsid w:val="00BF0069"/>
    <w:rsid w:val="00BF006C"/>
    <w:rsid w:val="00BF08DC"/>
    <w:rsid w:val="00BF09B4"/>
    <w:rsid w:val="00BF0C08"/>
    <w:rsid w:val="00BF16B7"/>
    <w:rsid w:val="00BF1C4D"/>
    <w:rsid w:val="00BF1F66"/>
    <w:rsid w:val="00BF2429"/>
    <w:rsid w:val="00BF2ABC"/>
    <w:rsid w:val="00BF30CD"/>
    <w:rsid w:val="00BF32BF"/>
    <w:rsid w:val="00BF3A6C"/>
    <w:rsid w:val="00BF3EE7"/>
    <w:rsid w:val="00BF40A7"/>
    <w:rsid w:val="00BF4BB7"/>
    <w:rsid w:val="00BF55BF"/>
    <w:rsid w:val="00BF565F"/>
    <w:rsid w:val="00BF5F4D"/>
    <w:rsid w:val="00BF64F8"/>
    <w:rsid w:val="00BF6BF4"/>
    <w:rsid w:val="00BF6D05"/>
    <w:rsid w:val="00BF6EB1"/>
    <w:rsid w:val="00BF7163"/>
    <w:rsid w:val="00BF7761"/>
    <w:rsid w:val="00BF7AAD"/>
    <w:rsid w:val="00BF7B41"/>
    <w:rsid w:val="00BF7C06"/>
    <w:rsid w:val="00BF7C2D"/>
    <w:rsid w:val="00C0010D"/>
    <w:rsid w:val="00C00D8C"/>
    <w:rsid w:val="00C015CB"/>
    <w:rsid w:val="00C01B63"/>
    <w:rsid w:val="00C01DCE"/>
    <w:rsid w:val="00C021F7"/>
    <w:rsid w:val="00C022E7"/>
    <w:rsid w:val="00C027B1"/>
    <w:rsid w:val="00C02E43"/>
    <w:rsid w:val="00C03139"/>
    <w:rsid w:val="00C03389"/>
    <w:rsid w:val="00C03569"/>
    <w:rsid w:val="00C035FB"/>
    <w:rsid w:val="00C03763"/>
    <w:rsid w:val="00C037BC"/>
    <w:rsid w:val="00C03C58"/>
    <w:rsid w:val="00C0475D"/>
    <w:rsid w:val="00C04C8D"/>
    <w:rsid w:val="00C05137"/>
    <w:rsid w:val="00C0558C"/>
    <w:rsid w:val="00C05D3B"/>
    <w:rsid w:val="00C0650B"/>
    <w:rsid w:val="00C06555"/>
    <w:rsid w:val="00C065CF"/>
    <w:rsid w:val="00C0707E"/>
    <w:rsid w:val="00C077B7"/>
    <w:rsid w:val="00C0782B"/>
    <w:rsid w:val="00C10238"/>
    <w:rsid w:val="00C10317"/>
    <w:rsid w:val="00C10543"/>
    <w:rsid w:val="00C107BE"/>
    <w:rsid w:val="00C108B2"/>
    <w:rsid w:val="00C12341"/>
    <w:rsid w:val="00C12A6E"/>
    <w:rsid w:val="00C12E83"/>
    <w:rsid w:val="00C146B6"/>
    <w:rsid w:val="00C147E6"/>
    <w:rsid w:val="00C14806"/>
    <w:rsid w:val="00C14B74"/>
    <w:rsid w:val="00C14DC7"/>
    <w:rsid w:val="00C15138"/>
    <w:rsid w:val="00C159A2"/>
    <w:rsid w:val="00C15A44"/>
    <w:rsid w:val="00C164F8"/>
    <w:rsid w:val="00C16F08"/>
    <w:rsid w:val="00C1725D"/>
    <w:rsid w:val="00C1782C"/>
    <w:rsid w:val="00C20330"/>
    <w:rsid w:val="00C2073C"/>
    <w:rsid w:val="00C20A66"/>
    <w:rsid w:val="00C20F6E"/>
    <w:rsid w:val="00C20F8F"/>
    <w:rsid w:val="00C2164E"/>
    <w:rsid w:val="00C22A37"/>
    <w:rsid w:val="00C237C7"/>
    <w:rsid w:val="00C23AAD"/>
    <w:rsid w:val="00C23B0A"/>
    <w:rsid w:val="00C23EC3"/>
    <w:rsid w:val="00C24633"/>
    <w:rsid w:val="00C248BA"/>
    <w:rsid w:val="00C24DA0"/>
    <w:rsid w:val="00C24EEE"/>
    <w:rsid w:val="00C25075"/>
    <w:rsid w:val="00C2526B"/>
    <w:rsid w:val="00C258AD"/>
    <w:rsid w:val="00C25C8F"/>
    <w:rsid w:val="00C25D42"/>
    <w:rsid w:val="00C26440"/>
    <w:rsid w:val="00C264C8"/>
    <w:rsid w:val="00C268CD"/>
    <w:rsid w:val="00C26CD3"/>
    <w:rsid w:val="00C27142"/>
    <w:rsid w:val="00C278DF"/>
    <w:rsid w:val="00C27D18"/>
    <w:rsid w:val="00C30110"/>
    <w:rsid w:val="00C301CC"/>
    <w:rsid w:val="00C303F4"/>
    <w:rsid w:val="00C30F03"/>
    <w:rsid w:val="00C30F9B"/>
    <w:rsid w:val="00C316D9"/>
    <w:rsid w:val="00C31A42"/>
    <w:rsid w:val="00C31ADC"/>
    <w:rsid w:val="00C31D64"/>
    <w:rsid w:val="00C31FB1"/>
    <w:rsid w:val="00C323C0"/>
    <w:rsid w:val="00C326A1"/>
    <w:rsid w:val="00C32CFD"/>
    <w:rsid w:val="00C336C3"/>
    <w:rsid w:val="00C33708"/>
    <w:rsid w:val="00C3396A"/>
    <w:rsid w:val="00C339DA"/>
    <w:rsid w:val="00C33A54"/>
    <w:rsid w:val="00C343E2"/>
    <w:rsid w:val="00C3473F"/>
    <w:rsid w:val="00C34C19"/>
    <w:rsid w:val="00C34E18"/>
    <w:rsid w:val="00C350E2"/>
    <w:rsid w:val="00C35ABA"/>
    <w:rsid w:val="00C35BB5"/>
    <w:rsid w:val="00C36081"/>
    <w:rsid w:val="00C36D00"/>
    <w:rsid w:val="00C36DC3"/>
    <w:rsid w:val="00C36EF0"/>
    <w:rsid w:val="00C37164"/>
    <w:rsid w:val="00C37251"/>
    <w:rsid w:val="00C37537"/>
    <w:rsid w:val="00C37B52"/>
    <w:rsid w:val="00C37EA0"/>
    <w:rsid w:val="00C40079"/>
    <w:rsid w:val="00C4049A"/>
    <w:rsid w:val="00C4073D"/>
    <w:rsid w:val="00C41498"/>
    <w:rsid w:val="00C418E2"/>
    <w:rsid w:val="00C4253B"/>
    <w:rsid w:val="00C426D2"/>
    <w:rsid w:val="00C42CA0"/>
    <w:rsid w:val="00C42E1F"/>
    <w:rsid w:val="00C43ABF"/>
    <w:rsid w:val="00C43D1A"/>
    <w:rsid w:val="00C44918"/>
    <w:rsid w:val="00C45128"/>
    <w:rsid w:val="00C4534F"/>
    <w:rsid w:val="00C45EB5"/>
    <w:rsid w:val="00C46432"/>
    <w:rsid w:val="00C467AB"/>
    <w:rsid w:val="00C46957"/>
    <w:rsid w:val="00C46B18"/>
    <w:rsid w:val="00C46D99"/>
    <w:rsid w:val="00C47102"/>
    <w:rsid w:val="00C47256"/>
    <w:rsid w:val="00C474D1"/>
    <w:rsid w:val="00C504AB"/>
    <w:rsid w:val="00C50E81"/>
    <w:rsid w:val="00C518B1"/>
    <w:rsid w:val="00C519B4"/>
    <w:rsid w:val="00C51EC3"/>
    <w:rsid w:val="00C527C3"/>
    <w:rsid w:val="00C52E6B"/>
    <w:rsid w:val="00C53168"/>
    <w:rsid w:val="00C538AB"/>
    <w:rsid w:val="00C53B5B"/>
    <w:rsid w:val="00C53DB7"/>
    <w:rsid w:val="00C5492F"/>
    <w:rsid w:val="00C5498C"/>
    <w:rsid w:val="00C55C4E"/>
    <w:rsid w:val="00C55C68"/>
    <w:rsid w:val="00C55E67"/>
    <w:rsid w:val="00C5699F"/>
    <w:rsid w:val="00C56CF7"/>
    <w:rsid w:val="00C56DB6"/>
    <w:rsid w:val="00C57EED"/>
    <w:rsid w:val="00C606E4"/>
    <w:rsid w:val="00C60E6A"/>
    <w:rsid w:val="00C6105A"/>
    <w:rsid w:val="00C610F5"/>
    <w:rsid w:val="00C618A9"/>
    <w:rsid w:val="00C62A72"/>
    <w:rsid w:val="00C62AAF"/>
    <w:rsid w:val="00C63288"/>
    <w:rsid w:val="00C6365B"/>
    <w:rsid w:val="00C639A2"/>
    <w:rsid w:val="00C63DD7"/>
    <w:rsid w:val="00C63DEF"/>
    <w:rsid w:val="00C63F00"/>
    <w:rsid w:val="00C63F22"/>
    <w:rsid w:val="00C63FB4"/>
    <w:rsid w:val="00C645C2"/>
    <w:rsid w:val="00C645C5"/>
    <w:rsid w:val="00C64816"/>
    <w:rsid w:val="00C64C22"/>
    <w:rsid w:val="00C64C91"/>
    <w:rsid w:val="00C64EBF"/>
    <w:rsid w:val="00C65339"/>
    <w:rsid w:val="00C66B12"/>
    <w:rsid w:val="00C67298"/>
    <w:rsid w:val="00C67825"/>
    <w:rsid w:val="00C67A25"/>
    <w:rsid w:val="00C70427"/>
    <w:rsid w:val="00C70471"/>
    <w:rsid w:val="00C70989"/>
    <w:rsid w:val="00C714E2"/>
    <w:rsid w:val="00C7165B"/>
    <w:rsid w:val="00C71A30"/>
    <w:rsid w:val="00C71DC5"/>
    <w:rsid w:val="00C72955"/>
    <w:rsid w:val="00C73A2D"/>
    <w:rsid w:val="00C746CA"/>
    <w:rsid w:val="00C74805"/>
    <w:rsid w:val="00C7487B"/>
    <w:rsid w:val="00C749F3"/>
    <w:rsid w:val="00C74ACC"/>
    <w:rsid w:val="00C75292"/>
    <w:rsid w:val="00C755C6"/>
    <w:rsid w:val="00C755EA"/>
    <w:rsid w:val="00C75778"/>
    <w:rsid w:val="00C75866"/>
    <w:rsid w:val="00C763EC"/>
    <w:rsid w:val="00C76AE2"/>
    <w:rsid w:val="00C76F28"/>
    <w:rsid w:val="00C77861"/>
    <w:rsid w:val="00C806C4"/>
    <w:rsid w:val="00C806D3"/>
    <w:rsid w:val="00C8075B"/>
    <w:rsid w:val="00C80BD4"/>
    <w:rsid w:val="00C80C48"/>
    <w:rsid w:val="00C80F26"/>
    <w:rsid w:val="00C81235"/>
    <w:rsid w:val="00C814ED"/>
    <w:rsid w:val="00C8192E"/>
    <w:rsid w:val="00C819B4"/>
    <w:rsid w:val="00C81E4A"/>
    <w:rsid w:val="00C820F2"/>
    <w:rsid w:val="00C8255E"/>
    <w:rsid w:val="00C82F37"/>
    <w:rsid w:val="00C83083"/>
    <w:rsid w:val="00C8342C"/>
    <w:rsid w:val="00C837A5"/>
    <w:rsid w:val="00C840E2"/>
    <w:rsid w:val="00C843CB"/>
    <w:rsid w:val="00C84EEF"/>
    <w:rsid w:val="00C85090"/>
    <w:rsid w:val="00C85FD8"/>
    <w:rsid w:val="00C860AE"/>
    <w:rsid w:val="00C867A1"/>
    <w:rsid w:val="00C8688D"/>
    <w:rsid w:val="00C86A7A"/>
    <w:rsid w:val="00C872B1"/>
    <w:rsid w:val="00C8743D"/>
    <w:rsid w:val="00C87929"/>
    <w:rsid w:val="00C906F1"/>
    <w:rsid w:val="00C90C3F"/>
    <w:rsid w:val="00C9123B"/>
    <w:rsid w:val="00C91DED"/>
    <w:rsid w:val="00C91F06"/>
    <w:rsid w:val="00C92583"/>
    <w:rsid w:val="00C92ACE"/>
    <w:rsid w:val="00C92C7D"/>
    <w:rsid w:val="00C93A08"/>
    <w:rsid w:val="00C93C15"/>
    <w:rsid w:val="00C94401"/>
    <w:rsid w:val="00C94450"/>
    <w:rsid w:val="00C95161"/>
    <w:rsid w:val="00C9560B"/>
    <w:rsid w:val="00C9747D"/>
    <w:rsid w:val="00C97541"/>
    <w:rsid w:val="00C97660"/>
    <w:rsid w:val="00C97906"/>
    <w:rsid w:val="00C979DE"/>
    <w:rsid w:val="00C97D86"/>
    <w:rsid w:val="00CA0225"/>
    <w:rsid w:val="00CA1466"/>
    <w:rsid w:val="00CA17F7"/>
    <w:rsid w:val="00CA187D"/>
    <w:rsid w:val="00CA1A0E"/>
    <w:rsid w:val="00CA20F0"/>
    <w:rsid w:val="00CA23B6"/>
    <w:rsid w:val="00CA2794"/>
    <w:rsid w:val="00CA2910"/>
    <w:rsid w:val="00CA2973"/>
    <w:rsid w:val="00CA2BC9"/>
    <w:rsid w:val="00CA2BDE"/>
    <w:rsid w:val="00CA2C3B"/>
    <w:rsid w:val="00CA2FFD"/>
    <w:rsid w:val="00CA348E"/>
    <w:rsid w:val="00CA3672"/>
    <w:rsid w:val="00CA3DA1"/>
    <w:rsid w:val="00CA3FE1"/>
    <w:rsid w:val="00CA45EE"/>
    <w:rsid w:val="00CA4D25"/>
    <w:rsid w:val="00CA6103"/>
    <w:rsid w:val="00CA6925"/>
    <w:rsid w:val="00CA6E0D"/>
    <w:rsid w:val="00CA7B87"/>
    <w:rsid w:val="00CA7C09"/>
    <w:rsid w:val="00CB0125"/>
    <w:rsid w:val="00CB01A4"/>
    <w:rsid w:val="00CB07DF"/>
    <w:rsid w:val="00CB0AF8"/>
    <w:rsid w:val="00CB0F37"/>
    <w:rsid w:val="00CB1191"/>
    <w:rsid w:val="00CB122B"/>
    <w:rsid w:val="00CB1A88"/>
    <w:rsid w:val="00CB279D"/>
    <w:rsid w:val="00CB284D"/>
    <w:rsid w:val="00CB28A0"/>
    <w:rsid w:val="00CB2AAA"/>
    <w:rsid w:val="00CB3003"/>
    <w:rsid w:val="00CB37F5"/>
    <w:rsid w:val="00CB3FF2"/>
    <w:rsid w:val="00CB4276"/>
    <w:rsid w:val="00CB4427"/>
    <w:rsid w:val="00CB4597"/>
    <w:rsid w:val="00CB4697"/>
    <w:rsid w:val="00CB4803"/>
    <w:rsid w:val="00CB494F"/>
    <w:rsid w:val="00CB4BFE"/>
    <w:rsid w:val="00CB4D8A"/>
    <w:rsid w:val="00CB506A"/>
    <w:rsid w:val="00CB51C9"/>
    <w:rsid w:val="00CB59E1"/>
    <w:rsid w:val="00CB5CCB"/>
    <w:rsid w:val="00CB6323"/>
    <w:rsid w:val="00CB66BE"/>
    <w:rsid w:val="00CB7119"/>
    <w:rsid w:val="00CB76EF"/>
    <w:rsid w:val="00CB7CB8"/>
    <w:rsid w:val="00CC023E"/>
    <w:rsid w:val="00CC0B73"/>
    <w:rsid w:val="00CC0D12"/>
    <w:rsid w:val="00CC0F4C"/>
    <w:rsid w:val="00CC1471"/>
    <w:rsid w:val="00CC1507"/>
    <w:rsid w:val="00CC1528"/>
    <w:rsid w:val="00CC1DC5"/>
    <w:rsid w:val="00CC25B5"/>
    <w:rsid w:val="00CC2CDA"/>
    <w:rsid w:val="00CC2D33"/>
    <w:rsid w:val="00CC3233"/>
    <w:rsid w:val="00CC44D7"/>
    <w:rsid w:val="00CC48C4"/>
    <w:rsid w:val="00CC4C38"/>
    <w:rsid w:val="00CC50D4"/>
    <w:rsid w:val="00CC51F9"/>
    <w:rsid w:val="00CC52C6"/>
    <w:rsid w:val="00CC5443"/>
    <w:rsid w:val="00CC5986"/>
    <w:rsid w:val="00CC5DD3"/>
    <w:rsid w:val="00CC61B2"/>
    <w:rsid w:val="00CC6B57"/>
    <w:rsid w:val="00CC6F8B"/>
    <w:rsid w:val="00CC7341"/>
    <w:rsid w:val="00CC76C1"/>
    <w:rsid w:val="00CD026F"/>
    <w:rsid w:val="00CD098D"/>
    <w:rsid w:val="00CD0B6D"/>
    <w:rsid w:val="00CD0C53"/>
    <w:rsid w:val="00CD0E18"/>
    <w:rsid w:val="00CD10AE"/>
    <w:rsid w:val="00CD1225"/>
    <w:rsid w:val="00CD1454"/>
    <w:rsid w:val="00CD16E6"/>
    <w:rsid w:val="00CD2A83"/>
    <w:rsid w:val="00CD2CB0"/>
    <w:rsid w:val="00CD3825"/>
    <w:rsid w:val="00CD3A65"/>
    <w:rsid w:val="00CD3B45"/>
    <w:rsid w:val="00CD4BD0"/>
    <w:rsid w:val="00CD4E2C"/>
    <w:rsid w:val="00CD52F1"/>
    <w:rsid w:val="00CD539F"/>
    <w:rsid w:val="00CD6F89"/>
    <w:rsid w:val="00CD7324"/>
    <w:rsid w:val="00CD7330"/>
    <w:rsid w:val="00CD7E06"/>
    <w:rsid w:val="00CD7F02"/>
    <w:rsid w:val="00CE091F"/>
    <w:rsid w:val="00CE25A4"/>
    <w:rsid w:val="00CE2F9C"/>
    <w:rsid w:val="00CE3BFF"/>
    <w:rsid w:val="00CE3DFD"/>
    <w:rsid w:val="00CE42A7"/>
    <w:rsid w:val="00CE4C05"/>
    <w:rsid w:val="00CE513F"/>
    <w:rsid w:val="00CE592D"/>
    <w:rsid w:val="00CE5BCF"/>
    <w:rsid w:val="00CE5CC5"/>
    <w:rsid w:val="00CE5DAF"/>
    <w:rsid w:val="00CE6E00"/>
    <w:rsid w:val="00CE7317"/>
    <w:rsid w:val="00CE74CF"/>
    <w:rsid w:val="00CE7698"/>
    <w:rsid w:val="00CE77E9"/>
    <w:rsid w:val="00CE78EC"/>
    <w:rsid w:val="00CF0201"/>
    <w:rsid w:val="00CF0395"/>
    <w:rsid w:val="00CF03AF"/>
    <w:rsid w:val="00CF0402"/>
    <w:rsid w:val="00CF0D15"/>
    <w:rsid w:val="00CF0F58"/>
    <w:rsid w:val="00CF10EB"/>
    <w:rsid w:val="00CF17C2"/>
    <w:rsid w:val="00CF1824"/>
    <w:rsid w:val="00CF2177"/>
    <w:rsid w:val="00CF2956"/>
    <w:rsid w:val="00CF2A90"/>
    <w:rsid w:val="00CF3102"/>
    <w:rsid w:val="00CF37C2"/>
    <w:rsid w:val="00CF3A2A"/>
    <w:rsid w:val="00CF3A34"/>
    <w:rsid w:val="00CF3D0B"/>
    <w:rsid w:val="00CF4448"/>
    <w:rsid w:val="00CF45BD"/>
    <w:rsid w:val="00CF4D15"/>
    <w:rsid w:val="00CF4F2A"/>
    <w:rsid w:val="00CF51D8"/>
    <w:rsid w:val="00CF54DD"/>
    <w:rsid w:val="00CF68ED"/>
    <w:rsid w:val="00CF7559"/>
    <w:rsid w:val="00CF75BB"/>
    <w:rsid w:val="00CF7825"/>
    <w:rsid w:val="00D0016D"/>
    <w:rsid w:val="00D0032F"/>
    <w:rsid w:val="00D0047B"/>
    <w:rsid w:val="00D0190A"/>
    <w:rsid w:val="00D01FDB"/>
    <w:rsid w:val="00D0228D"/>
    <w:rsid w:val="00D02D9A"/>
    <w:rsid w:val="00D02EA9"/>
    <w:rsid w:val="00D038DB"/>
    <w:rsid w:val="00D03AF7"/>
    <w:rsid w:val="00D03C63"/>
    <w:rsid w:val="00D04722"/>
    <w:rsid w:val="00D04BBA"/>
    <w:rsid w:val="00D04F27"/>
    <w:rsid w:val="00D054CE"/>
    <w:rsid w:val="00D05EAA"/>
    <w:rsid w:val="00D05F3C"/>
    <w:rsid w:val="00D063E3"/>
    <w:rsid w:val="00D06573"/>
    <w:rsid w:val="00D06A28"/>
    <w:rsid w:val="00D06AC6"/>
    <w:rsid w:val="00D07395"/>
    <w:rsid w:val="00D0763C"/>
    <w:rsid w:val="00D07A35"/>
    <w:rsid w:val="00D07C4D"/>
    <w:rsid w:val="00D10E5F"/>
    <w:rsid w:val="00D11353"/>
    <w:rsid w:val="00D113E7"/>
    <w:rsid w:val="00D11EC6"/>
    <w:rsid w:val="00D12572"/>
    <w:rsid w:val="00D127C0"/>
    <w:rsid w:val="00D129EE"/>
    <w:rsid w:val="00D12B04"/>
    <w:rsid w:val="00D12CC3"/>
    <w:rsid w:val="00D12DD0"/>
    <w:rsid w:val="00D130CD"/>
    <w:rsid w:val="00D133B7"/>
    <w:rsid w:val="00D13B74"/>
    <w:rsid w:val="00D13DA0"/>
    <w:rsid w:val="00D14CB5"/>
    <w:rsid w:val="00D15090"/>
    <w:rsid w:val="00D1510B"/>
    <w:rsid w:val="00D1559B"/>
    <w:rsid w:val="00D1721B"/>
    <w:rsid w:val="00D21047"/>
    <w:rsid w:val="00D21B3F"/>
    <w:rsid w:val="00D21D03"/>
    <w:rsid w:val="00D2235A"/>
    <w:rsid w:val="00D226E7"/>
    <w:rsid w:val="00D22A93"/>
    <w:rsid w:val="00D22D9B"/>
    <w:rsid w:val="00D22E3A"/>
    <w:rsid w:val="00D236F2"/>
    <w:rsid w:val="00D23762"/>
    <w:rsid w:val="00D24456"/>
    <w:rsid w:val="00D24559"/>
    <w:rsid w:val="00D245D3"/>
    <w:rsid w:val="00D25EFA"/>
    <w:rsid w:val="00D25FDF"/>
    <w:rsid w:val="00D2612A"/>
    <w:rsid w:val="00D26A7F"/>
    <w:rsid w:val="00D26C62"/>
    <w:rsid w:val="00D27526"/>
    <w:rsid w:val="00D27959"/>
    <w:rsid w:val="00D27AE6"/>
    <w:rsid w:val="00D31382"/>
    <w:rsid w:val="00D31A1C"/>
    <w:rsid w:val="00D31A34"/>
    <w:rsid w:val="00D31C47"/>
    <w:rsid w:val="00D31E08"/>
    <w:rsid w:val="00D32051"/>
    <w:rsid w:val="00D32572"/>
    <w:rsid w:val="00D32AAE"/>
    <w:rsid w:val="00D32E82"/>
    <w:rsid w:val="00D3328D"/>
    <w:rsid w:val="00D335CA"/>
    <w:rsid w:val="00D33AFE"/>
    <w:rsid w:val="00D34CBB"/>
    <w:rsid w:val="00D35750"/>
    <w:rsid w:val="00D35C04"/>
    <w:rsid w:val="00D35D61"/>
    <w:rsid w:val="00D35D83"/>
    <w:rsid w:val="00D36009"/>
    <w:rsid w:val="00D36CF9"/>
    <w:rsid w:val="00D37482"/>
    <w:rsid w:val="00D374DB"/>
    <w:rsid w:val="00D379F2"/>
    <w:rsid w:val="00D402A8"/>
    <w:rsid w:val="00D40572"/>
    <w:rsid w:val="00D407E6"/>
    <w:rsid w:val="00D408D5"/>
    <w:rsid w:val="00D40C91"/>
    <w:rsid w:val="00D40FAC"/>
    <w:rsid w:val="00D4101C"/>
    <w:rsid w:val="00D41053"/>
    <w:rsid w:val="00D4177A"/>
    <w:rsid w:val="00D41C49"/>
    <w:rsid w:val="00D422E9"/>
    <w:rsid w:val="00D4250C"/>
    <w:rsid w:val="00D42D9A"/>
    <w:rsid w:val="00D43760"/>
    <w:rsid w:val="00D4390E"/>
    <w:rsid w:val="00D43BDB"/>
    <w:rsid w:val="00D43DFD"/>
    <w:rsid w:val="00D44115"/>
    <w:rsid w:val="00D4467F"/>
    <w:rsid w:val="00D45043"/>
    <w:rsid w:val="00D455ED"/>
    <w:rsid w:val="00D45CA4"/>
    <w:rsid w:val="00D461EB"/>
    <w:rsid w:val="00D464F8"/>
    <w:rsid w:val="00D46688"/>
    <w:rsid w:val="00D46D2A"/>
    <w:rsid w:val="00D4742C"/>
    <w:rsid w:val="00D4756F"/>
    <w:rsid w:val="00D47723"/>
    <w:rsid w:val="00D477E2"/>
    <w:rsid w:val="00D47A0A"/>
    <w:rsid w:val="00D47AC5"/>
    <w:rsid w:val="00D47F62"/>
    <w:rsid w:val="00D50EA2"/>
    <w:rsid w:val="00D51519"/>
    <w:rsid w:val="00D519E8"/>
    <w:rsid w:val="00D51C23"/>
    <w:rsid w:val="00D51C34"/>
    <w:rsid w:val="00D528B3"/>
    <w:rsid w:val="00D52F31"/>
    <w:rsid w:val="00D5342D"/>
    <w:rsid w:val="00D5408B"/>
    <w:rsid w:val="00D540B0"/>
    <w:rsid w:val="00D546EF"/>
    <w:rsid w:val="00D54B34"/>
    <w:rsid w:val="00D55340"/>
    <w:rsid w:val="00D5556F"/>
    <w:rsid w:val="00D55C51"/>
    <w:rsid w:val="00D560DD"/>
    <w:rsid w:val="00D56E83"/>
    <w:rsid w:val="00D56F92"/>
    <w:rsid w:val="00D57119"/>
    <w:rsid w:val="00D57844"/>
    <w:rsid w:val="00D5795B"/>
    <w:rsid w:val="00D57C07"/>
    <w:rsid w:val="00D60070"/>
    <w:rsid w:val="00D60316"/>
    <w:rsid w:val="00D607FC"/>
    <w:rsid w:val="00D61544"/>
    <w:rsid w:val="00D61F6E"/>
    <w:rsid w:val="00D62171"/>
    <w:rsid w:val="00D62E4B"/>
    <w:rsid w:val="00D6376D"/>
    <w:rsid w:val="00D646EE"/>
    <w:rsid w:val="00D64A72"/>
    <w:rsid w:val="00D65583"/>
    <w:rsid w:val="00D657D9"/>
    <w:rsid w:val="00D659C4"/>
    <w:rsid w:val="00D65BE5"/>
    <w:rsid w:val="00D66181"/>
    <w:rsid w:val="00D66328"/>
    <w:rsid w:val="00D66AB6"/>
    <w:rsid w:val="00D66AD0"/>
    <w:rsid w:val="00D66E14"/>
    <w:rsid w:val="00D677DF"/>
    <w:rsid w:val="00D679B2"/>
    <w:rsid w:val="00D67D6E"/>
    <w:rsid w:val="00D67D8A"/>
    <w:rsid w:val="00D67F8D"/>
    <w:rsid w:val="00D7010C"/>
    <w:rsid w:val="00D7063C"/>
    <w:rsid w:val="00D71B89"/>
    <w:rsid w:val="00D71D51"/>
    <w:rsid w:val="00D7247B"/>
    <w:rsid w:val="00D729C8"/>
    <w:rsid w:val="00D72ADD"/>
    <w:rsid w:val="00D72C7C"/>
    <w:rsid w:val="00D7332D"/>
    <w:rsid w:val="00D73333"/>
    <w:rsid w:val="00D74815"/>
    <w:rsid w:val="00D74DEB"/>
    <w:rsid w:val="00D74F39"/>
    <w:rsid w:val="00D74F70"/>
    <w:rsid w:val="00D75C1F"/>
    <w:rsid w:val="00D75EA9"/>
    <w:rsid w:val="00D761CC"/>
    <w:rsid w:val="00D76390"/>
    <w:rsid w:val="00D775B7"/>
    <w:rsid w:val="00D776A2"/>
    <w:rsid w:val="00D7798B"/>
    <w:rsid w:val="00D802E2"/>
    <w:rsid w:val="00D805F4"/>
    <w:rsid w:val="00D80930"/>
    <w:rsid w:val="00D80A9B"/>
    <w:rsid w:val="00D810CB"/>
    <w:rsid w:val="00D814C6"/>
    <w:rsid w:val="00D8168C"/>
    <w:rsid w:val="00D819C6"/>
    <w:rsid w:val="00D81A68"/>
    <w:rsid w:val="00D81C0B"/>
    <w:rsid w:val="00D82482"/>
    <w:rsid w:val="00D8250F"/>
    <w:rsid w:val="00D825EB"/>
    <w:rsid w:val="00D828CD"/>
    <w:rsid w:val="00D82F26"/>
    <w:rsid w:val="00D8316E"/>
    <w:rsid w:val="00D832CD"/>
    <w:rsid w:val="00D83617"/>
    <w:rsid w:val="00D838CD"/>
    <w:rsid w:val="00D8422B"/>
    <w:rsid w:val="00D84441"/>
    <w:rsid w:val="00D849C2"/>
    <w:rsid w:val="00D84DCF"/>
    <w:rsid w:val="00D85339"/>
    <w:rsid w:val="00D855FB"/>
    <w:rsid w:val="00D85F07"/>
    <w:rsid w:val="00D861C1"/>
    <w:rsid w:val="00D86431"/>
    <w:rsid w:val="00D86772"/>
    <w:rsid w:val="00D869C6"/>
    <w:rsid w:val="00D86B35"/>
    <w:rsid w:val="00D90255"/>
    <w:rsid w:val="00D90B12"/>
    <w:rsid w:val="00D916B9"/>
    <w:rsid w:val="00D91F90"/>
    <w:rsid w:val="00D92A52"/>
    <w:rsid w:val="00D9487B"/>
    <w:rsid w:val="00D94C9B"/>
    <w:rsid w:val="00D94DF1"/>
    <w:rsid w:val="00D951DC"/>
    <w:rsid w:val="00D952CD"/>
    <w:rsid w:val="00D955F1"/>
    <w:rsid w:val="00D95C6F"/>
    <w:rsid w:val="00D95DE4"/>
    <w:rsid w:val="00D95E53"/>
    <w:rsid w:val="00D9617E"/>
    <w:rsid w:val="00D963D9"/>
    <w:rsid w:val="00D965BC"/>
    <w:rsid w:val="00D96A45"/>
    <w:rsid w:val="00D96F1E"/>
    <w:rsid w:val="00D96F25"/>
    <w:rsid w:val="00D97132"/>
    <w:rsid w:val="00D977AE"/>
    <w:rsid w:val="00D979A0"/>
    <w:rsid w:val="00D979FD"/>
    <w:rsid w:val="00D97C93"/>
    <w:rsid w:val="00DA00BD"/>
    <w:rsid w:val="00DA04B6"/>
    <w:rsid w:val="00DA0572"/>
    <w:rsid w:val="00DA0639"/>
    <w:rsid w:val="00DA064A"/>
    <w:rsid w:val="00DA06E5"/>
    <w:rsid w:val="00DA0787"/>
    <w:rsid w:val="00DA0E78"/>
    <w:rsid w:val="00DA0ED6"/>
    <w:rsid w:val="00DA1151"/>
    <w:rsid w:val="00DA1469"/>
    <w:rsid w:val="00DA1CDD"/>
    <w:rsid w:val="00DA2080"/>
    <w:rsid w:val="00DA224D"/>
    <w:rsid w:val="00DA2644"/>
    <w:rsid w:val="00DA273D"/>
    <w:rsid w:val="00DA27F9"/>
    <w:rsid w:val="00DA28F6"/>
    <w:rsid w:val="00DA3FCB"/>
    <w:rsid w:val="00DA457B"/>
    <w:rsid w:val="00DA45EF"/>
    <w:rsid w:val="00DA4972"/>
    <w:rsid w:val="00DA4B3D"/>
    <w:rsid w:val="00DA6B4E"/>
    <w:rsid w:val="00DA7227"/>
    <w:rsid w:val="00DA7465"/>
    <w:rsid w:val="00DA7B05"/>
    <w:rsid w:val="00DA7C0B"/>
    <w:rsid w:val="00DB030B"/>
    <w:rsid w:val="00DB05E9"/>
    <w:rsid w:val="00DB10BA"/>
    <w:rsid w:val="00DB13D4"/>
    <w:rsid w:val="00DB14BE"/>
    <w:rsid w:val="00DB1801"/>
    <w:rsid w:val="00DB22FA"/>
    <w:rsid w:val="00DB237A"/>
    <w:rsid w:val="00DB2B66"/>
    <w:rsid w:val="00DB2FEB"/>
    <w:rsid w:val="00DB317C"/>
    <w:rsid w:val="00DB3A80"/>
    <w:rsid w:val="00DB4423"/>
    <w:rsid w:val="00DB4754"/>
    <w:rsid w:val="00DB549F"/>
    <w:rsid w:val="00DB555C"/>
    <w:rsid w:val="00DB557F"/>
    <w:rsid w:val="00DB5A0F"/>
    <w:rsid w:val="00DB5FAD"/>
    <w:rsid w:val="00DB605C"/>
    <w:rsid w:val="00DB63EF"/>
    <w:rsid w:val="00DB71D4"/>
    <w:rsid w:val="00DC02AB"/>
    <w:rsid w:val="00DC0DCD"/>
    <w:rsid w:val="00DC13CD"/>
    <w:rsid w:val="00DC171E"/>
    <w:rsid w:val="00DC19E7"/>
    <w:rsid w:val="00DC1EA8"/>
    <w:rsid w:val="00DC25B7"/>
    <w:rsid w:val="00DC2688"/>
    <w:rsid w:val="00DC2995"/>
    <w:rsid w:val="00DC2B0A"/>
    <w:rsid w:val="00DC2DE8"/>
    <w:rsid w:val="00DC2FB4"/>
    <w:rsid w:val="00DC328E"/>
    <w:rsid w:val="00DC3963"/>
    <w:rsid w:val="00DC4089"/>
    <w:rsid w:val="00DC46B5"/>
    <w:rsid w:val="00DC4806"/>
    <w:rsid w:val="00DC5646"/>
    <w:rsid w:val="00DC566A"/>
    <w:rsid w:val="00DC5A4C"/>
    <w:rsid w:val="00DC6A20"/>
    <w:rsid w:val="00DC6EDA"/>
    <w:rsid w:val="00DC7719"/>
    <w:rsid w:val="00DC77B9"/>
    <w:rsid w:val="00DC783F"/>
    <w:rsid w:val="00DC7B03"/>
    <w:rsid w:val="00DC7B90"/>
    <w:rsid w:val="00DC7BB8"/>
    <w:rsid w:val="00DC7FA2"/>
    <w:rsid w:val="00DD027F"/>
    <w:rsid w:val="00DD0E83"/>
    <w:rsid w:val="00DD1732"/>
    <w:rsid w:val="00DD1AA3"/>
    <w:rsid w:val="00DD1E99"/>
    <w:rsid w:val="00DD2451"/>
    <w:rsid w:val="00DD313E"/>
    <w:rsid w:val="00DD3954"/>
    <w:rsid w:val="00DD3975"/>
    <w:rsid w:val="00DD408A"/>
    <w:rsid w:val="00DD4A5F"/>
    <w:rsid w:val="00DD5257"/>
    <w:rsid w:val="00DD5409"/>
    <w:rsid w:val="00DD6912"/>
    <w:rsid w:val="00DD6EF6"/>
    <w:rsid w:val="00DD72BC"/>
    <w:rsid w:val="00DD7AB4"/>
    <w:rsid w:val="00DE0265"/>
    <w:rsid w:val="00DE0818"/>
    <w:rsid w:val="00DE0C7C"/>
    <w:rsid w:val="00DE0EDF"/>
    <w:rsid w:val="00DE0EE4"/>
    <w:rsid w:val="00DE0FD7"/>
    <w:rsid w:val="00DE180B"/>
    <w:rsid w:val="00DE207E"/>
    <w:rsid w:val="00DE2986"/>
    <w:rsid w:val="00DE3190"/>
    <w:rsid w:val="00DE3A7B"/>
    <w:rsid w:val="00DE3F64"/>
    <w:rsid w:val="00DE4580"/>
    <w:rsid w:val="00DE48DF"/>
    <w:rsid w:val="00DE5249"/>
    <w:rsid w:val="00DE5F72"/>
    <w:rsid w:val="00DE6965"/>
    <w:rsid w:val="00DE6BFE"/>
    <w:rsid w:val="00DE6EF1"/>
    <w:rsid w:val="00DE737A"/>
    <w:rsid w:val="00DE77B1"/>
    <w:rsid w:val="00DE7F85"/>
    <w:rsid w:val="00DF09F9"/>
    <w:rsid w:val="00DF0A97"/>
    <w:rsid w:val="00DF131D"/>
    <w:rsid w:val="00DF166B"/>
    <w:rsid w:val="00DF1778"/>
    <w:rsid w:val="00DF1791"/>
    <w:rsid w:val="00DF1D01"/>
    <w:rsid w:val="00DF1D6C"/>
    <w:rsid w:val="00DF209D"/>
    <w:rsid w:val="00DF268B"/>
    <w:rsid w:val="00DF2B50"/>
    <w:rsid w:val="00DF2F83"/>
    <w:rsid w:val="00DF3B86"/>
    <w:rsid w:val="00DF3F96"/>
    <w:rsid w:val="00DF45BB"/>
    <w:rsid w:val="00DF46DF"/>
    <w:rsid w:val="00DF4B25"/>
    <w:rsid w:val="00DF4C1E"/>
    <w:rsid w:val="00DF4F39"/>
    <w:rsid w:val="00DF504D"/>
    <w:rsid w:val="00DF5179"/>
    <w:rsid w:val="00DF530A"/>
    <w:rsid w:val="00DF5433"/>
    <w:rsid w:val="00DF5554"/>
    <w:rsid w:val="00DF5BD3"/>
    <w:rsid w:val="00DF613F"/>
    <w:rsid w:val="00DF637B"/>
    <w:rsid w:val="00DF6462"/>
    <w:rsid w:val="00DF6700"/>
    <w:rsid w:val="00DF6816"/>
    <w:rsid w:val="00DF6859"/>
    <w:rsid w:val="00DF690E"/>
    <w:rsid w:val="00DF6979"/>
    <w:rsid w:val="00DF737A"/>
    <w:rsid w:val="00DF7BEC"/>
    <w:rsid w:val="00E002CF"/>
    <w:rsid w:val="00E002DC"/>
    <w:rsid w:val="00E0037E"/>
    <w:rsid w:val="00E00502"/>
    <w:rsid w:val="00E00692"/>
    <w:rsid w:val="00E00976"/>
    <w:rsid w:val="00E00B3F"/>
    <w:rsid w:val="00E00BA7"/>
    <w:rsid w:val="00E00CD4"/>
    <w:rsid w:val="00E01493"/>
    <w:rsid w:val="00E01657"/>
    <w:rsid w:val="00E01CB8"/>
    <w:rsid w:val="00E01E12"/>
    <w:rsid w:val="00E02281"/>
    <w:rsid w:val="00E0245C"/>
    <w:rsid w:val="00E02B5F"/>
    <w:rsid w:val="00E02FA4"/>
    <w:rsid w:val="00E02FDC"/>
    <w:rsid w:val="00E031EA"/>
    <w:rsid w:val="00E035F2"/>
    <w:rsid w:val="00E03C7A"/>
    <w:rsid w:val="00E040EF"/>
    <w:rsid w:val="00E0439D"/>
    <w:rsid w:val="00E0474E"/>
    <w:rsid w:val="00E05DF7"/>
    <w:rsid w:val="00E06825"/>
    <w:rsid w:val="00E06DA4"/>
    <w:rsid w:val="00E1047F"/>
    <w:rsid w:val="00E110BD"/>
    <w:rsid w:val="00E111E4"/>
    <w:rsid w:val="00E111F2"/>
    <w:rsid w:val="00E11F32"/>
    <w:rsid w:val="00E11FA9"/>
    <w:rsid w:val="00E12271"/>
    <w:rsid w:val="00E12D36"/>
    <w:rsid w:val="00E13186"/>
    <w:rsid w:val="00E13E7B"/>
    <w:rsid w:val="00E13EC7"/>
    <w:rsid w:val="00E14C13"/>
    <w:rsid w:val="00E14FD3"/>
    <w:rsid w:val="00E15512"/>
    <w:rsid w:val="00E15890"/>
    <w:rsid w:val="00E15BB4"/>
    <w:rsid w:val="00E1609E"/>
    <w:rsid w:val="00E16637"/>
    <w:rsid w:val="00E1696D"/>
    <w:rsid w:val="00E16F4D"/>
    <w:rsid w:val="00E1736E"/>
    <w:rsid w:val="00E174CC"/>
    <w:rsid w:val="00E1767E"/>
    <w:rsid w:val="00E17F74"/>
    <w:rsid w:val="00E17FF6"/>
    <w:rsid w:val="00E202FD"/>
    <w:rsid w:val="00E2079B"/>
    <w:rsid w:val="00E209A8"/>
    <w:rsid w:val="00E209FD"/>
    <w:rsid w:val="00E20FEC"/>
    <w:rsid w:val="00E219FD"/>
    <w:rsid w:val="00E222B2"/>
    <w:rsid w:val="00E2270D"/>
    <w:rsid w:val="00E229B7"/>
    <w:rsid w:val="00E22B51"/>
    <w:rsid w:val="00E2387A"/>
    <w:rsid w:val="00E23A15"/>
    <w:rsid w:val="00E23D70"/>
    <w:rsid w:val="00E24933"/>
    <w:rsid w:val="00E24A94"/>
    <w:rsid w:val="00E24EA1"/>
    <w:rsid w:val="00E25010"/>
    <w:rsid w:val="00E25047"/>
    <w:rsid w:val="00E25318"/>
    <w:rsid w:val="00E257E0"/>
    <w:rsid w:val="00E25A07"/>
    <w:rsid w:val="00E2625B"/>
    <w:rsid w:val="00E26C36"/>
    <w:rsid w:val="00E27031"/>
    <w:rsid w:val="00E30AD0"/>
    <w:rsid w:val="00E30B73"/>
    <w:rsid w:val="00E30D3E"/>
    <w:rsid w:val="00E3113B"/>
    <w:rsid w:val="00E3131D"/>
    <w:rsid w:val="00E314CC"/>
    <w:rsid w:val="00E31963"/>
    <w:rsid w:val="00E319ED"/>
    <w:rsid w:val="00E31CA2"/>
    <w:rsid w:val="00E31DA2"/>
    <w:rsid w:val="00E32460"/>
    <w:rsid w:val="00E325F6"/>
    <w:rsid w:val="00E32E3E"/>
    <w:rsid w:val="00E33760"/>
    <w:rsid w:val="00E337B6"/>
    <w:rsid w:val="00E33A5F"/>
    <w:rsid w:val="00E343EE"/>
    <w:rsid w:val="00E34711"/>
    <w:rsid w:val="00E34907"/>
    <w:rsid w:val="00E34D34"/>
    <w:rsid w:val="00E35054"/>
    <w:rsid w:val="00E35A6B"/>
    <w:rsid w:val="00E35AE6"/>
    <w:rsid w:val="00E35BD6"/>
    <w:rsid w:val="00E361D9"/>
    <w:rsid w:val="00E3642F"/>
    <w:rsid w:val="00E36AEE"/>
    <w:rsid w:val="00E36FFE"/>
    <w:rsid w:val="00E37293"/>
    <w:rsid w:val="00E3762B"/>
    <w:rsid w:val="00E3778F"/>
    <w:rsid w:val="00E3787C"/>
    <w:rsid w:val="00E37EEB"/>
    <w:rsid w:val="00E40334"/>
    <w:rsid w:val="00E4036F"/>
    <w:rsid w:val="00E404F9"/>
    <w:rsid w:val="00E40647"/>
    <w:rsid w:val="00E406BD"/>
    <w:rsid w:val="00E40B32"/>
    <w:rsid w:val="00E4128D"/>
    <w:rsid w:val="00E419E6"/>
    <w:rsid w:val="00E41DAA"/>
    <w:rsid w:val="00E4200F"/>
    <w:rsid w:val="00E42A12"/>
    <w:rsid w:val="00E43016"/>
    <w:rsid w:val="00E434D5"/>
    <w:rsid w:val="00E4386D"/>
    <w:rsid w:val="00E43A41"/>
    <w:rsid w:val="00E44430"/>
    <w:rsid w:val="00E444D2"/>
    <w:rsid w:val="00E44564"/>
    <w:rsid w:val="00E45637"/>
    <w:rsid w:val="00E45BCD"/>
    <w:rsid w:val="00E45C38"/>
    <w:rsid w:val="00E46019"/>
    <w:rsid w:val="00E461C9"/>
    <w:rsid w:val="00E46776"/>
    <w:rsid w:val="00E46A3E"/>
    <w:rsid w:val="00E46ADC"/>
    <w:rsid w:val="00E46B63"/>
    <w:rsid w:val="00E47295"/>
    <w:rsid w:val="00E4754B"/>
    <w:rsid w:val="00E4760F"/>
    <w:rsid w:val="00E47E62"/>
    <w:rsid w:val="00E50643"/>
    <w:rsid w:val="00E50657"/>
    <w:rsid w:val="00E5089C"/>
    <w:rsid w:val="00E50991"/>
    <w:rsid w:val="00E515E1"/>
    <w:rsid w:val="00E51C5B"/>
    <w:rsid w:val="00E51DFF"/>
    <w:rsid w:val="00E51E45"/>
    <w:rsid w:val="00E5250C"/>
    <w:rsid w:val="00E52842"/>
    <w:rsid w:val="00E52CAD"/>
    <w:rsid w:val="00E52F96"/>
    <w:rsid w:val="00E53225"/>
    <w:rsid w:val="00E544ED"/>
    <w:rsid w:val="00E546BA"/>
    <w:rsid w:val="00E55E7F"/>
    <w:rsid w:val="00E563B0"/>
    <w:rsid w:val="00E56BC9"/>
    <w:rsid w:val="00E56CEF"/>
    <w:rsid w:val="00E56D2E"/>
    <w:rsid w:val="00E5710E"/>
    <w:rsid w:val="00E576DA"/>
    <w:rsid w:val="00E57812"/>
    <w:rsid w:val="00E57883"/>
    <w:rsid w:val="00E601A5"/>
    <w:rsid w:val="00E60BC6"/>
    <w:rsid w:val="00E60FB0"/>
    <w:rsid w:val="00E610C4"/>
    <w:rsid w:val="00E620FF"/>
    <w:rsid w:val="00E62C38"/>
    <w:rsid w:val="00E63810"/>
    <w:rsid w:val="00E64B30"/>
    <w:rsid w:val="00E65429"/>
    <w:rsid w:val="00E65843"/>
    <w:rsid w:val="00E65982"/>
    <w:rsid w:val="00E65C1F"/>
    <w:rsid w:val="00E66062"/>
    <w:rsid w:val="00E66327"/>
    <w:rsid w:val="00E664C4"/>
    <w:rsid w:val="00E66937"/>
    <w:rsid w:val="00E66B9F"/>
    <w:rsid w:val="00E67370"/>
    <w:rsid w:val="00E67A99"/>
    <w:rsid w:val="00E67B24"/>
    <w:rsid w:val="00E705BF"/>
    <w:rsid w:val="00E7077B"/>
    <w:rsid w:val="00E70788"/>
    <w:rsid w:val="00E70A3F"/>
    <w:rsid w:val="00E70A57"/>
    <w:rsid w:val="00E711A5"/>
    <w:rsid w:val="00E71236"/>
    <w:rsid w:val="00E7146B"/>
    <w:rsid w:val="00E7151A"/>
    <w:rsid w:val="00E7156B"/>
    <w:rsid w:val="00E71C0A"/>
    <w:rsid w:val="00E71F13"/>
    <w:rsid w:val="00E723E6"/>
    <w:rsid w:val="00E723E9"/>
    <w:rsid w:val="00E7247A"/>
    <w:rsid w:val="00E72550"/>
    <w:rsid w:val="00E725B5"/>
    <w:rsid w:val="00E72977"/>
    <w:rsid w:val="00E72A83"/>
    <w:rsid w:val="00E72F9C"/>
    <w:rsid w:val="00E73652"/>
    <w:rsid w:val="00E73D49"/>
    <w:rsid w:val="00E73DB1"/>
    <w:rsid w:val="00E74346"/>
    <w:rsid w:val="00E74466"/>
    <w:rsid w:val="00E74710"/>
    <w:rsid w:val="00E74E45"/>
    <w:rsid w:val="00E74FC1"/>
    <w:rsid w:val="00E750E3"/>
    <w:rsid w:val="00E75231"/>
    <w:rsid w:val="00E754C5"/>
    <w:rsid w:val="00E75B10"/>
    <w:rsid w:val="00E75D40"/>
    <w:rsid w:val="00E75E4C"/>
    <w:rsid w:val="00E75E83"/>
    <w:rsid w:val="00E7663F"/>
    <w:rsid w:val="00E76E97"/>
    <w:rsid w:val="00E7713D"/>
    <w:rsid w:val="00E7719F"/>
    <w:rsid w:val="00E77987"/>
    <w:rsid w:val="00E779B1"/>
    <w:rsid w:val="00E8158E"/>
    <w:rsid w:val="00E821EF"/>
    <w:rsid w:val="00E8297A"/>
    <w:rsid w:val="00E82A72"/>
    <w:rsid w:val="00E82CA7"/>
    <w:rsid w:val="00E83D6A"/>
    <w:rsid w:val="00E8432D"/>
    <w:rsid w:val="00E84E3E"/>
    <w:rsid w:val="00E84E80"/>
    <w:rsid w:val="00E8528F"/>
    <w:rsid w:val="00E85500"/>
    <w:rsid w:val="00E8550E"/>
    <w:rsid w:val="00E85856"/>
    <w:rsid w:val="00E859AC"/>
    <w:rsid w:val="00E85C5E"/>
    <w:rsid w:val="00E85EB8"/>
    <w:rsid w:val="00E85FEA"/>
    <w:rsid w:val="00E86907"/>
    <w:rsid w:val="00E86E97"/>
    <w:rsid w:val="00E870C5"/>
    <w:rsid w:val="00E8720A"/>
    <w:rsid w:val="00E87308"/>
    <w:rsid w:val="00E874DE"/>
    <w:rsid w:val="00E87912"/>
    <w:rsid w:val="00E90B42"/>
    <w:rsid w:val="00E90E3C"/>
    <w:rsid w:val="00E90FD7"/>
    <w:rsid w:val="00E91680"/>
    <w:rsid w:val="00E91FEF"/>
    <w:rsid w:val="00E9253E"/>
    <w:rsid w:val="00E93214"/>
    <w:rsid w:val="00E9341F"/>
    <w:rsid w:val="00E93606"/>
    <w:rsid w:val="00E942CB"/>
    <w:rsid w:val="00E94443"/>
    <w:rsid w:val="00E950D3"/>
    <w:rsid w:val="00E95899"/>
    <w:rsid w:val="00E95CE4"/>
    <w:rsid w:val="00E95DB8"/>
    <w:rsid w:val="00E97FD1"/>
    <w:rsid w:val="00EA0A28"/>
    <w:rsid w:val="00EA0EF5"/>
    <w:rsid w:val="00EA10BC"/>
    <w:rsid w:val="00EA1800"/>
    <w:rsid w:val="00EA1D36"/>
    <w:rsid w:val="00EA1F2A"/>
    <w:rsid w:val="00EA2BC4"/>
    <w:rsid w:val="00EA2E85"/>
    <w:rsid w:val="00EA3FB6"/>
    <w:rsid w:val="00EA434E"/>
    <w:rsid w:val="00EA472C"/>
    <w:rsid w:val="00EA49D0"/>
    <w:rsid w:val="00EA4CBA"/>
    <w:rsid w:val="00EA4F9B"/>
    <w:rsid w:val="00EA54AC"/>
    <w:rsid w:val="00EA57D1"/>
    <w:rsid w:val="00EA5893"/>
    <w:rsid w:val="00EA5EDA"/>
    <w:rsid w:val="00EA651C"/>
    <w:rsid w:val="00EA67F1"/>
    <w:rsid w:val="00EA6A6E"/>
    <w:rsid w:val="00EA7A32"/>
    <w:rsid w:val="00EA7B10"/>
    <w:rsid w:val="00EA7C9C"/>
    <w:rsid w:val="00EB03C7"/>
    <w:rsid w:val="00EB059A"/>
    <w:rsid w:val="00EB1D3D"/>
    <w:rsid w:val="00EB24EF"/>
    <w:rsid w:val="00EB26E5"/>
    <w:rsid w:val="00EB2D35"/>
    <w:rsid w:val="00EB31DE"/>
    <w:rsid w:val="00EB38FA"/>
    <w:rsid w:val="00EB46BA"/>
    <w:rsid w:val="00EB4D88"/>
    <w:rsid w:val="00EB5262"/>
    <w:rsid w:val="00EB54DA"/>
    <w:rsid w:val="00EB5AB4"/>
    <w:rsid w:val="00EB5CF4"/>
    <w:rsid w:val="00EB63C8"/>
    <w:rsid w:val="00EB6503"/>
    <w:rsid w:val="00EB6652"/>
    <w:rsid w:val="00EB6D7A"/>
    <w:rsid w:val="00EB6F39"/>
    <w:rsid w:val="00EB7418"/>
    <w:rsid w:val="00EB7699"/>
    <w:rsid w:val="00EB7836"/>
    <w:rsid w:val="00EB7CF1"/>
    <w:rsid w:val="00EB7D99"/>
    <w:rsid w:val="00EC0165"/>
    <w:rsid w:val="00EC0A09"/>
    <w:rsid w:val="00EC0D7E"/>
    <w:rsid w:val="00EC0FCA"/>
    <w:rsid w:val="00EC1504"/>
    <w:rsid w:val="00EC15B7"/>
    <w:rsid w:val="00EC1A20"/>
    <w:rsid w:val="00EC27BC"/>
    <w:rsid w:val="00EC28D5"/>
    <w:rsid w:val="00EC29E9"/>
    <w:rsid w:val="00EC2A79"/>
    <w:rsid w:val="00EC2B25"/>
    <w:rsid w:val="00EC3E89"/>
    <w:rsid w:val="00EC433C"/>
    <w:rsid w:val="00EC433F"/>
    <w:rsid w:val="00EC4ED1"/>
    <w:rsid w:val="00EC508F"/>
    <w:rsid w:val="00EC51DC"/>
    <w:rsid w:val="00EC523D"/>
    <w:rsid w:val="00EC55AD"/>
    <w:rsid w:val="00EC5BAD"/>
    <w:rsid w:val="00EC5F63"/>
    <w:rsid w:val="00EC62E8"/>
    <w:rsid w:val="00EC63B1"/>
    <w:rsid w:val="00EC6818"/>
    <w:rsid w:val="00EC6C30"/>
    <w:rsid w:val="00EC7474"/>
    <w:rsid w:val="00EC76F5"/>
    <w:rsid w:val="00EC7C8E"/>
    <w:rsid w:val="00ED0EA4"/>
    <w:rsid w:val="00ED161A"/>
    <w:rsid w:val="00ED19AD"/>
    <w:rsid w:val="00ED1A3B"/>
    <w:rsid w:val="00ED21F1"/>
    <w:rsid w:val="00ED2C6D"/>
    <w:rsid w:val="00ED2E08"/>
    <w:rsid w:val="00ED35E1"/>
    <w:rsid w:val="00ED4504"/>
    <w:rsid w:val="00ED457E"/>
    <w:rsid w:val="00ED5019"/>
    <w:rsid w:val="00ED53D0"/>
    <w:rsid w:val="00ED5775"/>
    <w:rsid w:val="00ED577E"/>
    <w:rsid w:val="00ED7000"/>
    <w:rsid w:val="00ED7185"/>
    <w:rsid w:val="00ED71A9"/>
    <w:rsid w:val="00ED75E3"/>
    <w:rsid w:val="00EE01EF"/>
    <w:rsid w:val="00EE04A3"/>
    <w:rsid w:val="00EE0884"/>
    <w:rsid w:val="00EE0A89"/>
    <w:rsid w:val="00EE103F"/>
    <w:rsid w:val="00EE127E"/>
    <w:rsid w:val="00EE138D"/>
    <w:rsid w:val="00EE142C"/>
    <w:rsid w:val="00EE14FD"/>
    <w:rsid w:val="00EE1A2B"/>
    <w:rsid w:val="00EE1C2E"/>
    <w:rsid w:val="00EE2298"/>
    <w:rsid w:val="00EE2747"/>
    <w:rsid w:val="00EE28E0"/>
    <w:rsid w:val="00EE291E"/>
    <w:rsid w:val="00EE2A68"/>
    <w:rsid w:val="00EE3769"/>
    <w:rsid w:val="00EE3D74"/>
    <w:rsid w:val="00EE4917"/>
    <w:rsid w:val="00EE4AD5"/>
    <w:rsid w:val="00EE4B1B"/>
    <w:rsid w:val="00EE50C2"/>
    <w:rsid w:val="00EE5295"/>
    <w:rsid w:val="00EE52F2"/>
    <w:rsid w:val="00EE55FA"/>
    <w:rsid w:val="00EE5732"/>
    <w:rsid w:val="00EE57EB"/>
    <w:rsid w:val="00EE5F75"/>
    <w:rsid w:val="00EE621C"/>
    <w:rsid w:val="00EE6B84"/>
    <w:rsid w:val="00EE7139"/>
    <w:rsid w:val="00EE72D3"/>
    <w:rsid w:val="00EF06D5"/>
    <w:rsid w:val="00EF08B3"/>
    <w:rsid w:val="00EF0E26"/>
    <w:rsid w:val="00EF0E93"/>
    <w:rsid w:val="00EF1870"/>
    <w:rsid w:val="00EF18DB"/>
    <w:rsid w:val="00EF1C12"/>
    <w:rsid w:val="00EF1D01"/>
    <w:rsid w:val="00EF20B8"/>
    <w:rsid w:val="00EF32EA"/>
    <w:rsid w:val="00EF364D"/>
    <w:rsid w:val="00EF44B1"/>
    <w:rsid w:val="00EF4BBE"/>
    <w:rsid w:val="00EF4C94"/>
    <w:rsid w:val="00EF50F2"/>
    <w:rsid w:val="00EF51A8"/>
    <w:rsid w:val="00EF51CF"/>
    <w:rsid w:val="00EF55CC"/>
    <w:rsid w:val="00EF5B40"/>
    <w:rsid w:val="00EF5C44"/>
    <w:rsid w:val="00EF6A4B"/>
    <w:rsid w:val="00EF6C4A"/>
    <w:rsid w:val="00EF6E80"/>
    <w:rsid w:val="00EF741E"/>
    <w:rsid w:val="00EF7537"/>
    <w:rsid w:val="00EF7A49"/>
    <w:rsid w:val="00EF7D00"/>
    <w:rsid w:val="00F0061D"/>
    <w:rsid w:val="00F0084D"/>
    <w:rsid w:val="00F0098B"/>
    <w:rsid w:val="00F00B74"/>
    <w:rsid w:val="00F01031"/>
    <w:rsid w:val="00F02074"/>
    <w:rsid w:val="00F02969"/>
    <w:rsid w:val="00F02D02"/>
    <w:rsid w:val="00F03B11"/>
    <w:rsid w:val="00F03D35"/>
    <w:rsid w:val="00F04276"/>
    <w:rsid w:val="00F042CD"/>
    <w:rsid w:val="00F042DD"/>
    <w:rsid w:val="00F04C0B"/>
    <w:rsid w:val="00F04F2B"/>
    <w:rsid w:val="00F05076"/>
    <w:rsid w:val="00F05363"/>
    <w:rsid w:val="00F0568C"/>
    <w:rsid w:val="00F05C06"/>
    <w:rsid w:val="00F05FF4"/>
    <w:rsid w:val="00F0625F"/>
    <w:rsid w:val="00F06E49"/>
    <w:rsid w:val="00F074FE"/>
    <w:rsid w:val="00F07554"/>
    <w:rsid w:val="00F1028D"/>
    <w:rsid w:val="00F10F4A"/>
    <w:rsid w:val="00F10FB6"/>
    <w:rsid w:val="00F11873"/>
    <w:rsid w:val="00F12672"/>
    <w:rsid w:val="00F12CD3"/>
    <w:rsid w:val="00F12D82"/>
    <w:rsid w:val="00F13357"/>
    <w:rsid w:val="00F1343A"/>
    <w:rsid w:val="00F14459"/>
    <w:rsid w:val="00F14677"/>
    <w:rsid w:val="00F148F3"/>
    <w:rsid w:val="00F148FE"/>
    <w:rsid w:val="00F1495A"/>
    <w:rsid w:val="00F14A9B"/>
    <w:rsid w:val="00F14D0E"/>
    <w:rsid w:val="00F154DF"/>
    <w:rsid w:val="00F15C60"/>
    <w:rsid w:val="00F1620E"/>
    <w:rsid w:val="00F167DD"/>
    <w:rsid w:val="00F16884"/>
    <w:rsid w:val="00F1688F"/>
    <w:rsid w:val="00F16B5C"/>
    <w:rsid w:val="00F16D90"/>
    <w:rsid w:val="00F16F1F"/>
    <w:rsid w:val="00F1706D"/>
    <w:rsid w:val="00F177AE"/>
    <w:rsid w:val="00F17B9C"/>
    <w:rsid w:val="00F2046E"/>
    <w:rsid w:val="00F20AFC"/>
    <w:rsid w:val="00F2103D"/>
    <w:rsid w:val="00F21D27"/>
    <w:rsid w:val="00F21D30"/>
    <w:rsid w:val="00F22B38"/>
    <w:rsid w:val="00F22B91"/>
    <w:rsid w:val="00F22DEC"/>
    <w:rsid w:val="00F22EA6"/>
    <w:rsid w:val="00F239A2"/>
    <w:rsid w:val="00F247F2"/>
    <w:rsid w:val="00F24A17"/>
    <w:rsid w:val="00F24A4D"/>
    <w:rsid w:val="00F24D37"/>
    <w:rsid w:val="00F24D9C"/>
    <w:rsid w:val="00F2540D"/>
    <w:rsid w:val="00F25848"/>
    <w:rsid w:val="00F259D0"/>
    <w:rsid w:val="00F25A17"/>
    <w:rsid w:val="00F260F9"/>
    <w:rsid w:val="00F26416"/>
    <w:rsid w:val="00F26E22"/>
    <w:rsid w:val="00F2707B"/>
    <w:rsid w:val="00F271D2"/>
    <w:rsid w:val="00F274B0"/>
    <w:rsid w:val="00F27C24"/>
    <w:rsid w:val="00F27C45"/>
    <w:rsid w:val="00F301B1"/>
    <w:rsid w:val="00F304C7"/>
    <w:rsid w:val="00F30743"/>
    <w:rsid w:val="00F30BE2"/>
    <w:rsid w:val="00F30F3A"/>
    <w:rsid w:val="00F319A6"/>
    <w:rsid w:val="00F31E17"/>
    <w:rsid w:val="00F31ECE"/>
    <w:rsid w:val="00F320F9"/>
    <w:rsid w:val="00F3210B"/>
    <w:rsid w:val="00F3237E"/>
    <w:rsid w:val="00F32548"/>
    <w:rsid w:val="00F32BE7"/>
    <w:rsid w:val="00F32DD7"/>
    <w:rsid w:val="00F331BF"/>
    <w:rsid w:val="00F33ADD"/>
    <w:rsid w:val="00F33B7C"/>
    <w:rsid w:val="00F33BCA"/>
    <w:rsid w:val="00F348CA"/>
    <w:rsid w:val="00F3592D"/>
    <w:rsid w:val="00F35B47"/>
    <w:rsid w:val="00F35CD0"/>
    <w:rsid w:val="00F36166"/>
    <w:rsid w:val="00F363BF"/>
    <w:rsid w:val="00F3680C"/>
    <w:rsid w:val="00F36F3F"/>
    <w:rsid w:val="00F37331"/>
    <w:rsid w:val="00F377DD"/>
    <w:rsid w:val="00F37871"/>
    <w:rsid w:val="00F4022E"/>
    <w:rsid w:val="00F4029E"/>
    <w:rsid w:val="00F4037E"/>
    <w:rsid w:val="00F407B4"/>
    <w:rsid w:val="00F4090C"/>
    <w:rsid w:val="00F40D15"/>
    <w:rsid w:val="00F40D50"/>
    <w:rsid w:val="00F40F01"/>
    <w:rsid w:val="00F4113F"/>
    <w:rsid w:val="00F41824"/>
    <w:rsid w:val="00F41A0A"/>
    <w:rsid w:val="00F41FCE"/>
    <w:rsid w:val="00F4221D"/>
    <w:rsid w:val="00F422A4"/>
    <w:rsid w:val="00F4249D"/>
    <w:rsid w:val="00F42540"/>
    <w:rsid w:val="00F42E52"/>
    <w:rsid w:val="00F43521"/>
    <w:rsid w:val="00F43D34"/>
    <w:rsid w:val="00F43F0C"/>
    <w:rsid w:val="00F4449C"/>
    <w:rsid w:val="00F4459C"/>
    <w:rsid w:val="00F4485C"/>
    <w:rsid w:val="00F44BDA"/>
    <w:rsid w:val="00F44D45"/>
    <w:rsid w:val="00F4514B"/>
    <w:rsid w:val="00F458ED"/>
    <w:rsid w:val="00F46B16"/>
    <w:rsid w:val="00F46C54"/>
    <w:rsid w:val="00F46CA4"/>
    <w:rsid w:val="00F47AE6"/>
    <w:rsid w:val="00F47B67"/>
    <w:rsid w:val="00F47E05"/>
    <w:rsid w:val="00F501C6"/>
    <w:rsid w:val="00F50C41"/>
    <w:rsid w:val="00F50D6C"/>
    <w:rsid w:val="00F50E4E"/>
    <w:rsid w:val="00F51C38"/>
    <w:rsid w:val="00F5203D"/>
    <w:rsid w:val="00F52897"/>
    <w:rsid w:val="00F52B75"/>
    <w:rsid w:val="00F52FD6"/>
    <w:rsid w:val="00F5320E"/>
    <w:rsid w:val="00F53542"/>
    <w:rsid w:val="00F53BBC"/>
    <w:rsid w:val="00F54260"/>
    <w:rsid w:val="00F544B9"/>
    <w:rsid w:val="00F54F7C"/>
    <w:rsid w:val="00F54FF5"/>
    <w:rsid w:val="00F55A2D"/>
    <w:rsid w:val="00F55A2E"/>
    <w:rsid w:val="00F55A57"/>
    <w:rsid w:val="00F55B04"/>
    <w:rsid w:val="00F55CF8"/>
    <w:rsid w:val="00F56903"/>
    <w:rsid w:val="00F56A53"/>
    <w:rsid w:val="00F56E99"/>
    <w:rsid w:val="00F57486"/>
    <w:rsid w:val="00F5748F"/>
    <w:rsid w:val="00F5763D"/>
    <w:rsid w:val="00F57A76"/>
    <w:rsid w:val="00F60652"/>
    <w:rsid w:val="00F60A0C"/>
    <w:rsid w:val="00F60C2F"/>
    <w:rsid w:val="00F60E24"/>
    <w:rsid w:val="00F61EFA"/>
    <w:rsid w:val="00F633F2"/>
    <w:rsid w:val="00F63768"/>
    <w:rsid w:val="00F63BC4"/>
    <w:rsid w:val="00F646A3"/>
    <w:rsid w:val="00F652A4"/>
    <w:rsid w:val="00F6545D"/>
    <w:rsid w:val="00F657F9"/>
    <w:rsid w:val="00F65C91"/>
    <w:rsid w:val="00F66135"/>
    <w:rsid w:val="00F6641A"/>
    <w:rsid w:val="00F664A6"/>
    <w:rsid w:val="00F666B2"/>
    <w:rsid w:val="00F66B84"/>
    <w:rsid w:val="00F66F4D"/>
    <w:rsid w:val="00F67454"/>
    <w:rsid w:val="00F675FE"/>
    <w:rsid w:val="00F67A37"/>
    <w:rsid w:val="00F700D1"/>
    <w:rsid w:val="00F70460"/>
    <w:rsid w:val="00F70A51"/>
    <w:rsid w:val="00F70C18"/>
    <w:rsid w:val="00F70CBD"/>
    <w:rsid w:val="00F70DEB"/>
    <w:rsid w:val="00F7114B"/>
    <w:rsid w:val="00F713EA"/>
    <w:rsid w:val="00F719D2"/>
    <w:rsid w:val="00F71FA1"/>
    <w:rsid w:val="00F72211"/>
    <w:rsid w:val="00F72281"/>
    <w:rsid w:val="00F7231A"/>
    <w:rsid w:val="00F7296A"/>
    <w:rsid w:val="00F73F52"/>
    <w:rsid w:val="00F7435F"/>
    <w:rsid w:val="00F75036"/>
    <w:rsid w:val="00F75655"/>
    <w:rsid w:val="00F75680"/>
    <w:rsid w:val="00F76B92"/>
    <w:rsid w:val="00F76E9E"/>
    <w:rsid w:val="00F77172"/>
    <w:rsid w:val="00F77390"/>
    <w:rsid w:val="00F77900"/>
    <w:rsid w:val="00F7792C"/>
    <w:rsid w:val="00F779CA"/>
    <w:rsid w:val="00F802FC"/>
    <w:rsid w:val="00F8041B"/>
    <w:rsid w:val="00F8055B"/>
    <w:rsid w:val="00F8067E"/>
    <w:rsid w:val="00F80809"/>
    <w:rsid w:val="00F8094D"/>
    <w:rsid w:val="00F80A74"/>
    <w:rsid w:val="00F8159E"/>
    <w:rsid w:val="00F824EE"/>
    <w:rsid w:val="00F82A51"/>
    <w:rsid w:val="00F82AE6"/>
    <w:rsid w:val="00F82CAE"/>
    <w:rsid w:val="00F82DF6"/>
    <w:rsid w:val="00F83ABD"/>
    <w:rsid w:val="00F83ACF"/>
    <w:rsid w:val="00F83BE9"/>
    <w:rsid w:val="00F83DF6"/>
    <w:rsid w:val="00F8473B"/>
    <w:rsid w:val="00F847C3"/>
    <w:rsid w:val="00F848CB"/>
    <w:rsid w:val="00F84A52"/>
    <w:rsid w:val="00F84A6A"/>
    <w:rsid w:val="00F84C17"/>
    <w:rsid w:val="00F8599E"/>
    <w:rsid w:val="00F859F4"/>
    <w:rsid w:val="00F85A7B"/>
    <w:rsid w:val="00F8636C"/>
    <w:rsid w:val="00F86381"/>
    <w:rsid w:val="00F86666"/>
    <w:rsid w:val="00F8677C"/>
    <w:rsid w:val="00F86AFF"/>
    <w:rsid w:val="00F86C7C"/>
    <w:rsid w:val="00F86D7D"/>
    <w:rsid w:val="00F87543"/>
    <w:rsid w:val="00F87675"/>
    <w:rsid w:val="00F877BA"/>
    <w:rsid w:val="00F87831"/>
    <w:rsid w:val="00F8787D"/>
    <w:rsid w:val="00F87A3A"/>
    <w:rsid w:val="00F87FD4"/>
    <w:rsid w:val="00F90550"/>
    <w:rsid w:val="00F90664"/>
    <w:rsid w:val="00F9098E"/>
    <w:rsid w:val="00F91208"/>
    <w:rsid w:val="00F9228A"/>
    <w:rsid w:val="00F9245B"/>
    <w:rsid w:val="00F92E10"/>
    <w:rsid w:val="00F92F98"/>
    <w:rsid w:val="00F93332"/>
    <w:rsid w:val="00F93DBC"/>
    <w:rsid w:val="00F94605"/>
    <w:rsid w:val="00F94D7C"/>
    <w:rsid w:val="00F94E93"/>
    <w:rsid w:val="00F94FDF"/>
    <w:rsid w:val="00F95A2B"/>
    <w:rsid w:val="00F95B8A"/>
    <w:rsid w:val="00F9659F"/>
    <w:rsid w:val="00F96885"/>
    <w:rsid w:val="00F968EA"/>
    <w:rsid w:val="00F975F3"/>
    <w:rsid w:val="00F97C6F"/>
    <w:rsid w:val="00FA09D7"/>
    <w:rsid w:val="00FA0A8A"/>
    <w:rsid w:val="00FA2452"/>
    <w:rsid w:val="00FA27BA"/>
    <w:rsid w:val="00FA32FE"/>
    <w:rsid w:val="00FA356C"/>
    <w:rsid w:val="00FA3641"/>
    <w:rsid w:val="00FA43BC"/>
    <w:rsid w:val="00FA45A7"/>
    <w:rsid w:val="00FA4AFD"/>
    <w:rsid w:val="00FA5B12"/>
    <w:rsid w:val="00FA5D3E"/>
    <w:rsid w:val="00FA5E7C"/>
    <w:rsid w:val="00FA6474"/>
    <w:rsid w:val="00FA68D1"/>
    <w:rsid w:val="00FA6C83"/>
    <w:rsid w:val="00FA72C4"/>
    <w:rsid w:val="00FA77BF"/>
    <w:rsid w:val="00FA7A20"/>
    <w:rsid w:val="00FA7E74"/>
    <w:rsid w:val="00FB0265"/>
    <w:rsid w:val="00FB0B88"/>
    <w:rsid w:val="00FB0E1C"/>
    <w:rsid w:val="00FB10D4"/>
    <w:rsid w:val="00FB1771"/>
    <w:rsid w:val="00FB1CAD"/>
    <w:rsid w:val="00FB1E9A"/>
    <w:rsid w:val="00FB2435"/>
    <w:rsid w:val="00FB2859"/>
    <w:rsid w:val="00FB2D61"/>
    <w:rsid w:val="00FB34E5"/>
    <w:rsid w:val="00FB47DE"/>
    <w:rsid w:val="00FB4ADE"/>
    <w:rsid w:val="00FB4BC7"/>
    <w:rsid w:val="00FB50C6"/>
    <w:rsid w:val="00FB60A6"/>
    <w:rsid w:val="00FC0337"/>
    <w:rsid w:val="00FC0397"/>
    <w:rsid w:val="00FC0C43"/>
    <w:rsid w:val="00FC0D2F"/>
    <w:rsid w:val="00FC0EBE"/>
    <w:rsid w:val="00FC0FAF"/>
    <w:rsid w:val="00FC1212"/>
    <w:rsid w:val="00FC1752"/>
    <w:rsid w:val="00FC17DD"/>
    <w:rsid w:val="00FC18B3"/>
    <w:rsid w:val="00FC1CFF"/>
    <w:rsid w:val="00FC228E"/>
    <w:rsid w:val="00FC290F"/>
    <w:rsid w:val="00FC31FC"/>
    <w:rsid w:val="00FC3500"/>
    <w:rsid w:val="00FC3530"/>
    <w:rsid w:val="00FC368D"/>
    <w:rsid w:val="00FC36B2"/>
    <w:rsid w:val="00FC371E"/>
    <w:rsid w:val="00FC3D14"/>
    <w:rsid w:val="00FC3D18"/>
    <w:rsid w:val="00FC44E5"/>
    <w:rsid w:val="00FC44F4"/>
    <w:rsid w:val="00FC4AF3"/>
    <w:rsid w:val="00FC4D9C"/>
    <w:rsid w:val="00FC5229"/>
    <w:rsid w:val="00FC61D8"/>
    <w:rsid w:val="00FC68BF"/>
    <w:rsid w:val="00FC7E13"/>
    <w:rsid w:val="00FD0979"/>
    <w:rsid w:val="00FD0B6D"/>
    <w:rsid w:val="00FD0D3B"/>
    <w:rsid w:val="00FD10F0"/>
    <w:rsid w:val="00FD161E"/>
    <w:rsid w:val="00FD1D18"/>
    <w:rsid w:val="00FD239E"/>
    <w:rsid w:val="00FD2B91"/>
    <w:rsid w:val="00FD2FED"/>
    <w:rsid w:val="00FD4478"/>
    <w:rsid w:val="00FD4894"/>
    <w:rsid w:val="00FD4AA0"/>
    <w:rsid w:val="00FD4F1B"/>
    <w:rsid w:val="00FD541B"/>
    <w:rsid w:val="00FD5652"/>
    <w:rsid w:val="00FD56E6"/>
    <w:rsid w:val="00FD59F2"/>
    <w:rsid w:val="00FD65D9"/>
    <w:rsid w:val="00FD66F7"/>
    <w:rsid w:val="00FD682F"/>
    <w:rsid w:val="00FD6C5C"/>
    <w:rsid w:val="00FD716C"/>
    <w:rsid w:val="00FD75CC"/>
    <w:rsid w:val="00FD7AE9"/>
    <w:rsid w:val="00FE02D8"/>
    <w:rsid w:val="00FE145A"/>
    <w:rsid w:val="00FE16B7"/>
    <w:rsid w:val="00FE1C41"/>
    <w:rsid w:val="00FE1EEA"/>
    <w:rsid w:val="00FE2237"/>
    <w:rsid w:val="00FE2418"/>
    <w:rsid w:val="00FE2429"/>
    <w:rsid w:val="00FE2462"/>
    <w:rsid w:val="00FE27E3"/>
    <w:rsid w:val="00FE304B"/>
    <w:rsid w:val="00FE32D7"/>
    <w:rsid w:val="00FE3721"/>
    <w:rsid w:val="00FE37FA"/>
    <w:rsid w:val="00FE3AAA"/>
    <w:rsid w:val="00FE4473"/>
    <w:rsid w:val="00FE46E3"/>
    <w:rsid w:val="00FE4AA1"/>
    <w:rsid w:val="00FE528C"/>
    <w:rsid w:val="00FE5550"/>
    <w:rsid w:val="00FE57F5"/>
    <w:rsid w:val="00FE599E"/>
    <w:rsid w:val="00FE7570"/>
    <w:rsid w:val="00FE777A"/>
    <w:rsid w:val="00FF00BB"/>
    <w:rsid w:val="00FF024F"/>
    <w:rsid w:val="00FF12F5"/>
    <w:rsid w:val="00FF17BF"/>
    <w:rsid w:val="00FF193A"/>
    <w:rsid w:val="00FF1F1E"/>
    <w:rsid w:val="00FF22FB"/>
    <w:rsid w:val="00FF28BF"/>
    <w:rsid w:val="00FF2A0B"/>
    <w:rsid w:val="00FF2D24"/>
    <w:rsid w:val="00FF2EB2"/>
    <w:rsid w:val="00FF36FC"/>
    <w:rsid w:val="00FF3A63"/>
    <w:rsid w:val="00FF4028"/>
    <w:rsid w:val="00FF547C"/>
    <w:rsid w:val="00FF665C"/>
    <w:rsid w:val="00FF6B73"/>
    <w:rsid w:val="00FF6C37"/>
    <w:rsid w:val="00FF6D40"/>
    <w:rsid w:val="00FF72EC"/>
    <w:rsid w:val="00FF7823"/>
    <w:rsid w:val="00FF7EF8"/>
    <w:rsid w:val="01D86DDF"/>
    <w:rsid w:val="021E53C6"/>
    <w:rsid w:val="02F050A0"/>
    <w:rsid w:val="02F649A7"/>
    <w:rsid w:val="034E5101"/>
    <w:rsid w:val="04304A25"/>
    <w:rsid w:val="045B02E2"/>
    <w:rsid w:val="045F5492"/>
    <w:rsid w:val="046119BE"/>
    <w:rsid w:val="04B151DA"/>
    <w:rsid w:val="04E969F8"/>
    <w:rsid w:val="05535EB4"/>
    <w:rsid w:val="05F10FF2"/>
    <w:rsid w:val="0677721E"/>
    <w:rsid w:val="06BC58E5"/>
    <w:rsid w:val="07776279"/>
    <w:rsid w:val="078B276F"/>
    <w:rsid w:val="07A55D55"/>
    <w:rsid w:val="07D5271E"/>
    <w:rsid w:val="07EE5A5A"/>
    <w:rsid w:val="080B0DEB"/>
    <w:rsid w:val="085A4CB7"/>
    <w:rsid w:val="08F43FAA"/>
    <w:rsid w:val="09095E2C"/>
    <w:rsid w:val="09CA163A"/>
    <w:rsid w:val="0A366EC0"/>
    <w:rsid w:val="0AF55BCD"/>
    <w:rsid w:val="0C4B3BFD"/>
    <w:rsid w:val="0C7B7234"/>
    <w:rsid w:val="0C9A091F"/>
    <w:rsid w:val="0CA91ECA"/>
    <w:rsid w:val="0D3B48BC"/>
    <w:rsid w:val="0D43526B"/>
    <w:rsid w:val="0EA576FB"/>
    <w:rsid w:val="0FB85909"/>
    <w:rsid w:val="104C6C51"/>
    <w:rsid w:val="10956BD1"/>
    <w:rsid w:val="10F45D16"/>
    <w:rsid w:val="11EB450C"/>
    <w:rsid w:val="11F517FE"/>
    <w:rsid w:val="121C0D71"/>
    <w:rsid w:val="125B2D22"/>
    <w:rsid w:val="134A7D3F"/>
    <w:rsid w:val="13CF628F"/>
    <w:rsid w:val="14540175"/>
    <w:rsid w:val="145C422A"/>
    <w:rsid w:val="14825F58"/>
    <w:rsid w:val="14EE366E"/>
    <w:rsid w:val="15274088"/>
    <w:rsid w:val="156813EF"/>
    <w:rsid w:val="15925F8F"/>
    <w:rsid w:val="15986C90"/>
    <w:rsid w:val="162309F7"/>
    <w:rsid w:val="16424C12"/>
    <w:rsid w:val="165276D8"/>
    <w:rsid w:val="16715DB0"/>
    <w:rsid w:val="16C71469"/>
    <w:rsid w:val="175042AD"/>
    <w:rsid w:val="181F1000"/>
    <w:rsid w:val="18482C69"/>
    <w:rsid w:val="18A67014"/>
    <w:rsid w:val="18DA2A4D"/>
    <w:rsid w:val="1A2B43DE"/>
    <w:rsid w:val="1A9C29B5"/>
    <w:rsid w:val="1B3E39FD"/>
    <w:rsid w:val="1B891B18"/>
    <w:rsid w:val="1BB2553B"/>
    <w:rsid w:val="1BFF1EE2"/>
    <w:rsid w:val="1C8D5259"/>
    <w:rsid w:val="1CC64075"/>
    <w:rsid w:val="1CF9545E"/>
    <w:rsid w:val="1D576658"/>
    <w:rsid w:val="1D8B5B16"/>
    <w:rsid w:val="1DA525CB"/>
    <w:rsid w:val="1DD8791A"/>
    <w:rsid w:val="1E0F5A91"/>
    <w:rsid w:val="1E2412CE"/>
    <w:rsid w:val="1F082DEE"/>
    <w:rsid w:val="205D622D"/>
    <w:rsid w:val="20610B06"/>
    <w:rsid w:val="206528CB"/>
    <w:rsid w:val="21076FA7"/>
    <w:rsid w:val="215E123D"/>
    <w:rsid w:val="217B0580"/>
    <w:rsid w:val="22570BB6"/>
    <w:rsid w:val="22E62557"/>
    <w:rsid w:val="232778E7"/>
    <w:rsid w:val="23EF0915"/>
    <w:rsid w:val="23F058F5"/>
    <w:rsid w:val="24663946"/>
    <w:rsid w:val="248660ED"/>
    <w:rsid w:val="250A6BC2"/>
    <w:rsid w:val="250E2C21"/>
    <w:rsid w:val="254D052E"/>
    <w:rsid w:val="26023A0C"/>
    <w:rsid w:val="268534A3"/>
    <w:rsid w:val="26E55D3F"/>
    <w:rsid w:val="27526C4A"/>
    <w:rsid w:val="275D3323"/>
    <w:rsid w:val="288D2754"/>
    <w:rsid w:val="289D3D40"/>
    <w:rsid w:val="29BC11C6"/>
    <w:rsid w:val="29DD577D"/>
    <w:rsid w:val="2A1235B3"/>
    <w:rsid w:val="2A20227A"/>
    <w:rsid w:val="2B0E46F6"/>
    <w:rsid w:val="2B2C2086"/>
    <w:rsid w:val="2B770F44"/>
    <w:rsid w:val="2D575242"/>
    <w:rsid w:val="2D7C0EB1"/>
    <w:rsid w:val="2DE269F9"/>
    <w:rsid w:val="2DEB252D"/>
    <w:rsid w:val="2E4042A2"/>
    <w:rsid w:val="2E582AFD"/>
    <w:rsid w:val="31633D23"/>
    <w:rsid w:val="3163445D"/>
    <w:rsid w:val="31D37123"/>
    <w:rsid w:val="321B7D98"/>
    <w:rsid w:val="3244555D"/>
    <w:rsid w:val="3249716B"/>
    <w:rsid w:val="32B56802"/>
    <w:rsid w:val="333762E9"/>
    <w:rsid w:val="33891134"/>
    <w:rsid w:val="33EE6027"/>
    <w:rsid w:val="342C1DC5"/>
    <w:rsid w:val="35225C8C"/>
    <w:rsid w:val="35FC48CB"/>
    <w:rsid w:val="3657312C"/>
    <w:rsid w:val="36B13C49"/>
    <w:rsid w:val="379759BA"/>
    <w:rsid w:val="381E4219"/>
    <w:rsid w:val="38542DAD"/>
    <w:rsid w:val="386F3902"/>
    <w:rsid w:val="38F30156"/>
    <w:rsid w:val="392E62D5"/>
    <w:rsid w:val="394744BB"/>
    <w:rsid w:val="39BF3787"/>
    <w:rsid w:val="3A0D5641"/>
    <w:rsid w:val="3AB7312D"/>
    <w:rsid w:val="3AE970EB"/>
    <w:rsid w:val="3B872D29"/>
    <w:rsid w:val="3C352AFB"/>
    <w:rsid w:val="3CE63FF6"/>
    <w:rsid w:val="3D056A03"/>
    <w:rsid w:val="3D29798B"/>
    <w:rsid w:val="3D9B1816"/>
    <w:rsid w:val="3F685714"/>
    <w:rsid w:val="40E22151"/>
    <w:rsid w:val="41B77C47"/>
    <w:rsid w:val="41DE13C8"/>
    <w:rsid w:val="41E40FE0"/>
    <w:rsid w:val="43515AD6"/>
    <w:rsid w:val="437904AB"/>
    <w:rsid w:val="43AC0269"/>
    <w:rsid w:val="43CD5398"/>
    <w:rsid w:val="43EE20BF"/>
    <w:rsid w:val="446918EE"/>
    <w:rsid w:val="453A2285"/>
    <w:rsid w:val="45B37A9B"/>
    <w:rsid w:val="45CA6910"/>
    <w:rsid w:val="477B383C"/>
    <w:rsid w:val="482617EA"/>
    <w:rsid w:val="48E46781"/>
    <w:rsid w:val="48ED44B2"/>
    <w:rsid w:val="49471428"/>
    <w:rsid w:val="49B24097"/>
    <w:rsid w:val="49BC28D4"/>
    <w:rsid w:val="4A3A490C"/>
    <w:rsid w:val="4AC5767E"/>
    <w:rsid w:val="4AC66FA7"/>
    <w:rsid w:val="4B484E2A"/>
    <w:rsid w:val="4B5E2E45"/>
    <w:rsid w:val="4B634CAC"/>
    <w:rsid w:val="4BC470FA"/>
    <w:rsid w:val="4C383661"/>
    <w:rsid w:val="4C4E70A1"/>
    <w:rsid w:val="4D081C4E"/>
    <w:rsid w:val="4D432FAB"/>
    <w:rsid w:val="4DAE3F2B"/>
    <w:rsid w:val="4E067A35"/>
    <w:rsid w:val="4E257A5F"/>
    <w:rsid w:val="4E9F7B11"/>
    <w:rsid w:val="4F021DC7"/>
    <w:rsid w:val="4F512648"/>
    <w:rsid w:val="4FBD7D5C"/>
    <w:rsid w:val="4FED5C43"/>
    <w:rsid w:val="503B3419"/>
    <w:rsid w:val="50FD3857"/>
    <w:rsid w:val="51EE2E21"/>
    <w:rsid w:val="5259640F"/>
    <w:rsid w:val="525E6C60"/>
    <w:rsid w:val="526828D5"/>
    <w:rsid w:val="541F5FCA"/>
    <w:rsid w:val="54837AA4"/>
    <w:rsid w:val="54BB2B4E"/>
    <w:rsid w:val="558E1079"/>
    <w:rsid w:val="55924F5D"/>
    <w:rsid w:val="55DD1170"/>
    <w:rsid w:val="55E430FA"/>
    <w:rsid w:val="567B40FE"/>
    <w:rsid w:val="56BB1CCB"/>
    <w:rsid w:val="572841C2"/>
    <w:rsid w:val="573043B3"/>
    <w:rsid w:val="57414C5D"/>
    <w:rsid w:val="57D51175"/>
    <w:rsid w:val="590B2530"/>
    <w:rsid w:val="591566D5"/>
    <w:rsid w:val="59560005"/>
    <w:rsid w:val="597F015D"/>
    <w:rsid w:val="59842D5C"/>
    <w:rsid w:val="5A5C4F28"/>
    <w:rsid w:val="5A934FEE"/>
    <w:rsid w:val="5AAD28DB"/>
    <w:rsid w:val="5AC84D1D"/>
    <w:rsid w:val="5AEF2224"/>
    <w:rsid w:val="5B16187F"/>
    <w:rsid w:val="5B7951E4"/>
    <w:rsid w:val="5B7E57D9"/>
    <w:rsid w:val="5BCC1F66"/>
    <w:rsid w:val="5C9F4F0E"/>
    <w:rsid w:val="5DB572B6"/>
    <w:rsid w:val="5DBB6AAB"/>
    <w:rsid w:val="5E1F471F"/>
    <w:rsid w:val="5E5B7C85"/>
    <w:rsid w:val="5EF13C96"/>
    <w:rsid w:val="5EF52EEF"/>
    <w:rsid w:val="5F027872"/>
    <w:rsid w:val="5F1F564E"/>
    <w:rsid w:val="5F204839"/>
    <w:rsid w:val="5F753B62"/>
    <w:rsid w:val="5FC075BA"/>
    <w:rsid w:val="60B66FF7"/>
    <w:rsid w:val="60C21FE0"/>
    <w:rsid w:val="60E4081F"/>
    <w:rsid w:val="610546AC"/>
    <w:rsid w:val="614855EE"/>
    <w:rsid w:val="61894FF8"/>
    <w:rsid w:val="61957957"/>
    <w:rsid w:val="61DE4E55"/>
    <w:rsid w:val="63027BFF"/>
    <w:rsid w:val="6398297D"/>
    <w:rsid w:val="641E1AC0"/>
    <w:rsid w:val="647D3C77"/>
    <w:rsid w:val="654A5121"/>
    <w:rsid w:val="666A2145"/>
    <w:rsid w:val="66BE4026"/>
    <w:rsid w:val="66C7034E"/>
    <w:rsid w:val="671433EA"/>
    <w:rsid w:val="672E1109"/>
    <w:rsid w:val="677B0A07"/>
    <w:rsid w:val="6817082D"/>
    <w:rsid w:val="69081908"/>
    <w:rsid w:val="693833C3"/>
    <w:rsid w:val="694C3940"/>
    <w:rsid w:val="695B72D9"/>
    <w:rsid w:val="6A8D4BF3"/>
    <w:rsid w:val="6AA621F3"/>
    <w:rsid w:val="6AC77B3B"/>
    <w:rsid w:val="6B8642A5"/>
    <w:rsid w:val="6C1F04FC"/>
    <w:rsid w:val="6CB91F73"/>
    <w:rsid w:val="6CBB1313"/>
    <w:rsid w:val="6CC547A3"/>
    <w:rsid w:val="6CE2495B"/>
    <w:rsid w:val="6CFD3BD8"/>
    <w:rsid w:val="6D1B14B7"/>
    <w:rsid w:val="6DF9039D"/>
    <w:rsid w:val="6E3E4F73"/>
    <w:rsid w:val="6EEB432C"/>
    <w:rsid w:val="6F46189E"/>
    <w:rsid w:val="702E45E1"/>
    <w:rsid w:val="70336344"/>
    <w:rsid w:val="712653DD"/>
    <w:rsid w:val="719D62C8"/>
    <w:rsid w:val="7289591C"/>
    <w:rsid w:val="73067DFB"/>
    <w:rsid w:val="73095045"/>
    <w:rsid w:val="73174B80"/>
    <w:rsid w:val="73B3224A"/>
    <w:rsid w:val="73BB38A0"/>
    <w:rsid w:val="73D21E02"/>
    <w:rsid w:val="73E5342E"/>
    <w:rsid w:val="743B5C12"/>
    <w:rsid w:val="74E401B5"/>
    <w:rsid w:val="75605532"/>
    <w:rsid w:val="759430FD"/>
    <w:rsid w:val="75EB03D3"/>
    <w:rsid w:val="760D67F3"/>
    <w:rsid w:val="776311EF"/>
    <w:rsid w:val="776D5F1B"/>
    <w:rsid w:val="778704BE"/>
    <w:rsid w:val="779D7D11"/>
    <w:rsid w:val="77B1641D"/>
    <w:rsid w:val="7845393E"/>
    <w:rsid w:val="78815D46"/>
    <w:rsid w:val="789B24E3"/>
    <w:rsid w:val="79B319E6"/>
    <w:rsid w:val="7A4A67F9"/>
    <w:rsid w:val="7A635B82"/>
    <w:rsid w:val="7ACD1322"/>
    <w:rsid w:val="7AD70183"/>
    <w:rsid w:val="7AF272FC"/>
    <w:rsid w:val="7AF43BFB"/>
    <w:rsid w:val="7B6F4FCF"/>
    <w:rsid w:val="7C1D4C9E"/>
    <w:rsid w:val="7D0A7E5C"/>
    <w:rsid w:val="7D485F43"/>
    <w:rsid w:val="7D5A4753"/>
    <w:rsid w:val="7E483E67"/>
    <w:rsid w:val="7E7E2DF8"/>
    <w:rsid w:val="7EB84ADB"/>
    <w:rsid w:val="7EE71A61"/>
    <w:rsid w:val="7FD24A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0" w:semiHidden="0"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qFormat="1" w:unhideWhenUsed="0" w:uiPriority="0" w:name="footnote text" w:locked="1"/>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ocked="1"/>
    <w:lsdException w:qFormat="1" w:unhideWhenUsed="0" w:uiPriority="0" w:semiHidden="0" w:name="caption"/>
    <w:lsdException w:uiPriority="99" w:name="table of figures" w:locked="1"/>
    <w:lsdException w:qFormat="1" w:unhideWhenUsed="0" w:uiPriority="99" w:name="envelope address"/>
    <w:lsdException w:qFormat="1" w:unhideWhenUsed="0" w:uiPriority="99" w:name="envelope return"/>
    <w:lsdException w:qFormat="1" w:unhideWhenUsed="0" w:uiPriority="0" w:name="footnote reference" w:locked="1"/>
    <w:lsdException w:qFormat="1" w:unhideWhenUsed="0" w:uiPriority="99" w:semiHidden="0" w:name="annotation reference"/>
    <w:lsdException w:qFormat="1" w:unhideWhenUsed="0" w:uiPriority="99" w:semiHidden="0" w:name="line number"/>
    <w:lsdException w:qFormat="1" w:unhideWhenUsed="0" w:uiPriority="0" w:semiHidden="0" w:name="page number"/>
    <w:lsdException w:uiPriority="99" w:name="endnote reference" w:locked="1"/>
    <w:lsdException w:uiPriority="99" w:name="endnote text" w:locked="1"/>
    <w:lsdException w:qFormat="1" w:unhideWhenUsed="0" w:uiPriority="99" w:name="table of authorities"/>
    <w:lsdException w:uiPriority="99" w:name="macro" w:locked="1"/>
    <w:lsdException w:qFormat="1" w:unhideWhenUsed="0" w:uiPriority="0" w:semiHidden="0" w:name="toa heading"/>
    <w:lsdException w:qFormat="1" w:unhideWhenUsed="0" w:uiPriority="0" w:semiHidden="0" w:name="List"/>
    <w:lsdException w:qFormat="1" w:unhideWhenUsed="0" w:uiPriority="99" w:name="List Bullet"/>
    <w:lsdException w:qFormat="1" w:unhideWhenUsed="0" w:uiPriority="99"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0" w:semiHidden="0" w:name="List Bullet 2"/>
    <w:lsdException w:qFormat="1" w:unhideWhenUsed="0" w:uiPriority="99" w:name="List Bullet 3"/>
    <w:lsdException w:qFormat="1" w:unhideWhenUsed="0" w:uiPriority="99" w:name="List Bullet 4"/>
    <w:lsdException w:qFormat="1" w:unhideWhenUsed="0" w:uiPriority="99" w:name="List Bullet 5"/>
    <w:lsdException w:qFormat="1" w:unhideWhenUsed="0" w:uiPriority="99" w:name="List Number 2"/>
    <w:lsdException w:qFormat="1" w:unhideWhenUsed="0" w:uiPriority="99" w:name="List Number 3"/>
    <w:lsdException w:qFormat="1" w:unhideWhenUsed="0" w:uiPriority="99" w:name="List Number 4"/>
    <w:lsdException w:qFormat="1" w:unhideWhenUsed="0" w:uiPriority="99" w:name="List Number 5"/>
    <w:lsdException w:qFormat="1" w:unhideWhenUsed="0" w:uiPriority="0" w:semiHidden="0" w:name="Title"/>
    <w:lsdException w:qFormat="1" w:unhideWhenUsed="0" w:uiPriority="99" w:name="Closing"/>
    <w:lsdException w:qFormat="1" w:unhideWhenUsed="0" w:uiPriority="99"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name="List Continue 5"/>
    <w:lsdException w:qFormat="1" w:unhideWhenUsed="0" w:uiPriority="99" w:name="Message Header"/>
    <w:lsdException w:qFormat="1" w:unhideWhenUsed="0" w:uiPriority="99" w:semiHidden="0" w:name="Subtitle"/>
    <w:lsdException w:qFormat="1" w:unhideWhenUsed="0" w:uiPriority="99" w:semiHidden="0" w:name="Salutation"/>
    <w:lsdException w:qFormat="1" w:unhideWhenUsed="0" w:uiPriority="0" w:semiHidden="0" w:name="Date"/>
    <w:lsdException w:qFormat="1" w:unhideWhenUsed="0" w:uiPriority="99" w:semiHidden="0" w:name="Body Text First Indent"/>
    <w:lsdException w:qFormat="1" w:unhideWhenUsed="0" w:uiPriority="99" w:name="Body Text First Indent 2"/>
    <w:lsdException w:qFormat="1" w:unhideWhenUsed="0" w:uiPriority="99" w:name="Note Heading"/>
    <w:lsdException w:qFormat="1" w:unhideWhenUsed="0" w:uiPriority="99" w:semiHidden="0"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qFormat="1" w:unhideWhenUsed="0"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99" w:name="E-mail Signature"/>
    <w:lsdException w:qFormat="1" w:unhideWhenUsed="0" w:uiPriority="99" w:semiHidden="0" w:name="Normal (Web)"/>
    <w:lsdException w:qFormat="1" w:unhideWhenUsed="0" w:uiPriority="99" w:name="HTML Acronym"/>
    <w:lsdException w:qFormat="1" w:unhideWhenUsed="0" w:uiPriority="99" w:name="HTML Address"/>
    <w:lsdException w:qFormat="1" w:unhideWhenUsed="0" w:uiPriority="99" w:name="HTML Cite"/>
    <w:lsdException w:qFormat="1" w:unhideWhenUsed="0" w:uiPriority="99" w:name="HTML Code"/>
    <w:lsdException w:qFormat="1" w:unhideWhenUsed="0" w:uiPriority="99" w:name="HTML Definition"/>
    <w:lsdException w:qFormat="1" w:unhideWhenUsed="0" w:uiPriority="99" w:name="HTML Keyboard"/>
    <w:lsdException w:qFormat="1" w:unhideWhenUsed="0" w:uiPriority="99" w:name="HTML Preformatted"/>
    <w:lsdException w:qFormat="1" w:unhideWhenUsed="0" w:uiPriority="99" w:name="HTML Sample"/>
    <w:lsdException w:qFormat="1" w:unhideWhenUsed="0" w:uiPriority="99" w:name="HTML Typewriter"/>
    <w:lsdException w:qFormat="1" w:unhideWhenUsed="0" w:uiPriority="99" w:name="HTML Variable"/>
    <w:lsdException w:qFormat="1" w:uiPriority="99" w:name="Normal Table"/>
    <w:lsdException w:qFormat="1" w:unhideWhenUsed="0" w:uiPriority="99" w:name="annotation subject"/>
    <w:lsdException w:qFormat="1" w:unhideWhenUsed="0" w:uiPriority="99" w:name="Table Simple 1"/>
    <w:lsdException w:qFormat="1" w:unhideWhenUsed="0" w:uiPriority="99" w:name="Table Simple 2"/>
    <w:lsdException w:qFormat="1" w:unhideWhenUsed="0" w:uiPriority="99" w:name="Table Simple 3"/>
    <w:lsdException w:qFormat="1" w:unhideWhenUsed="0" w:uiPriority="99" w:name="Table Classic 1"/>
    <w:lsdException w:qFormat="1" w:unhideWhenUsed="0" w:uiPriority="99" w:name="Table Classic 2"/>
    <w:lsdException w:qFormat="1" w:unhideWhenUsed="0" w:uiPriority="99" w:name="Table Classic 3"/>
    <w:lsdException w:qFormat="1" w:unhideWhenUsed="0" w:uiPriority="99" w:name="Table Classic 4"/>
    <w:lsdException w:qFormat="1" w:unhideWhenUsed="0" w:uiPriority="99" w:name="Table Colorful 1"/>
    <w:lsdException w:qFormat="1" w:unhideWhenUsed="0" w:uiPriority="99" w:name="Table Colorful 2"/>
    <w:lsdException w:qFormat="1" w:unhideWhenUsed="0" w:uiPriority="99" w:name="Table Colorful 3"/>
    <w:lsdException w:qFormat="1" w:unhideWhenUsed="0" w:uiPriority="99" w:name="Table Columns 1"/>
    <w:lsdException w:qFormat="1" w:unhideWhenUsed="0" w:uiPriority="99" w:name="Table Columns 2"/>
    <w:lsdException w:qFormat="1" w:unhideWhenUsed="0" w:uiPriority="99" w:name="Table Columns 3"/>
    <w:lsdException w:qFormat="1" w:unhideWhenUsed="0" w:uiPriority="99" w:name="Table Columns 4"/>
    <w:lsdException w:qFormat="1" w:unhideWhenUsed="0" w:uiPriority="99" w:name="Table Columns 5"/>
    <w:lsdException w:qFormat="1" w:unhideWhenUsed="0" w:uiPriority="99" w:name="Table Grid 1"/>
    <w:lsdException w:qFormat="1" w:unhideWhenUsed="0" w:uiPriority="99" w:name="Table Grid 2"/>
    <w:lsdException w:qFormat="1" w:unhideWhenUsed="0" w:uiPriority="99" w:name="Table Grid 3"/>
    <w:lsdException w:qFormat="1" w:unhideWhenUsed="0" w:uiPriority="99" w:name="Table Grid 4"/>
    <w:lsdException w:qFormat="1" w:unhideWhenUsed="0" w:uiPriority="99" w:name="Table Grid 5"/>
    <w:lsdException w:qFormat="1" w:unhideWhenUsed="0" w:uiPriority="99" w:name="Table Grid 6"/>
    <w:lsdException w:qFormat="1" w:unhideWhenUsed="0" w:uiPriority="99" w:name="Table Grid 7"/>
    <w:lsdException w:qFormat="1" w:unhideWhenUsed="0" w:uiPriority="99" w:name="Table Grid 8"/>
    <w:lsdException w:qFormat="1" w:unhideWhenUsed="0" w:uiPriority="99" w:name="Table List 1"/>
    <w:lsdException w:qFormat="1" w:unhideWhenUsed="0" w:uiPriority="99" w:name="Table List 2"/>
    <w:lsdException w:qFormat="1" w:unhideWhenUsed="0" w:uiPriority="99" w:name="Table List 3"/>
    <w:lsdException w:qFormat="1" w:unhideWhenUsed="0" w:uiPriority="99" w:name="Table List 4"/>
    <w:lsdException w:qFormat="1" w:unhideWhenUsed="0" w:uiPriority="99" w:name="Table List 5"/>
    <w:lsdException w:qFormat="1" w:unhideWhenUsed="0" w:uiPriority="99" w:name="Table List 6"/>
    <w:lsdException w:qFormat="1" w:unhideWhenUsed="0" w:uiPriority="99" w:name="Table List 7"/>
    <w:lsdException w:qFormat="1" w:unhideWhenUsed="0" w:uiPriority="99" w:name="Table List 8"/>
    <w:lsdException w:qFormat="1" w:unhideWhenUsed="0" w:uiPriority="99" w:name="Table 3D effects 1"/>
    <w:lsdException w:qFormat="1" w:unhideWhenUsed="0" w:uiPriority="99" w:name="Table 3D effects 2"/>
    <w:lsdException w:qFormat="1" w:unhideWhenUsed="0" w:uiPriority="99" w:name="Table 3D effects 3"/>
    <w:lsdException w:qFormat="1" w:unhideWhenUsed="0" w:uiPriority="99" w:name="Table Contemporary"/>
    <w:lsdException w:qFormat="1" w:unhideWhenUsed="0" w:uiPriority="99" w:name="Table Elegant"/>
    <w:lsdException w:qFormat="1" w:unhideWhenUsed="0" w:uiPriority="99" w:name="Table Professional"/>
    <w:lsdException w:qFormat="1" w:unhideWhenUsed="0" w:uiPriority="99" w:name="Table Subtle 1"/>
    <w:lsdException w:qFormat="1" w:unhideWhenUsed="0" w:uiPriority="99" w:name="Table Subtle 2"/>
    <w:lsdException w:qFormat="1" w:unhideWhenUsed="0" w:uiPriority="99" w:name="Table Web 1"/>
    <w:lsdException w:qFormat="1" w:unhideWhenUsed="0" w:uiPriority="99" w:name="Table Web 2"/>
    <w:lsdException w:qFormat="1" w:unhideWhenUsed="0" w:uiPriority="99" w:name="Table Web 3"/>
    <w:lsdException w:qFormat="1" w:unhideWhenUsed="0" w:uiPriority="99" w:semiHidden="0" w:name="Balloon Text"/>
    <w:lsdException w:qFormat="1" w:unhideWhenUsed="0" w:uiPriority="59" w:semiHidden="0" w:name="Table Grid"/>
    <w:lsdException w:qFormat="1" w:unhideWhenUsed="0"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3"/>
    <w:next w:val="1"/>
    <w:link w:val="328"/>
    <w:qFormat/>
    <w:uiPriority w:val="99"/>
    <w:pPr>
      <w:tabs>
        <w:tab w:val="right" w:leader="dot" w:pos="9061"/>
      </w:tabs>
      <w:jc w:val="center"/>
      <w:outlineLvl w:val="0"/>
    </w:pPr>
    <w:rPr>
      <w:b/>
      <w:sz w:val="36"/>
    </w:rPr>
  </w:style>
  <w:style w:type="paragraph" w:styleId="4">
    <w:name w:val="heading 2"/>
    <w:basedOn w:val="1"/>
    <w:next w:val="1"/>
    <w:link w:val="284"/>
    <w:qFormat/>
    <w:uiPriority w:val="9"/>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272"/>
    <w:qFormat/>
    <w:uiPriority w:val="99"/>
    <w:pPr>
      <w:keepNext/>
      <w:keepLines/>
      <w:spacing w:before="260" w:after="260" w:line="416" w:lineRule="auto"/>
      <w:outlineLvl w:val="2"/>
    </w:pPr>
    <w:rPr>
      <w:b/>
      <w:bCs/>
      <w:kern w:val="0"/>
      <w:sz w:val="32"/>
      <w:szCs w:val="32"/>
    </w:rPr>
  </w:style>
  <w:style w:type="paragraph" w:styleId="6">
    <w:name w:val="heading 4"/>
    <w:basedOn w:val="1"/>
    <w:next w:val="1"/>
    <w:link w:val="294"/>
    <w:qFormat/>
    <w:uiPriority w:val="99"/>
    <w:pPr>
      <w:keepNext/>
      <w:keepLines/>
      <w:spacing w:before="280" w:after="290" w:line="376" w:lineRule="auto"/>
      <w:outlineLvl w:val="3"/>
    </w:pPr>
    <w:rPr>
      <w:rFonts w:ascii="Arial" w:hAnsi="Arial" w:eastAsia="黑体"/>
      <w:b/>
      <w:bCs/>
      <w:kern w:val="0"/>
      <w:sz w:val="28"/>
      <w:szCs w:val="28"/>
    </w:rPr>
  </w:style>
  <w:style w:type="paragraph" w:styleId="7">
    <w:name w:val="heading 5"/>
    <w:basedOn w:val="1"/>
    <w:next w:val="1"/>
    <w:link w:val="275"/>
    <w:qFormat/>
    <w:uiPriority w:val="99"/>
    <w:pPr>
      <w:keepNext/>
      <w:keepLines/>
      <w:spacing w:before="280" w:after="290" w:line="376" w:lineRule="auto"/>
      <w:outlineLvl w:val="4"/>
    </w:pPr>
    <w:rPr>
      <w:b/>
      <w:bCs/>
      <w:kern w:val="0"/>
      <w:sz w:val="28"/>
      <w:szCs w:val="28"/>
    </w:rPr>
  </w:style>
  <w:style w:type="paragraph" w:styleId="8">
    <w:name w:val="heading 6"/>
    <w:basedOn w:val="1"/>
    <w:next w:val="1"/>
    <w:link w:val="290"/>
    <w:qFormat/>
    <w:uiPriority w:val="99"/>
    <w:pPr>
      <w:keepNext/>
      <w:keepLines/>
      <w:spacing w:before="240" w:after="64" w:line="320" w:lineRule="auto"/>
      <w:outlineLvl w:val="5"/>
    </w:pPr>
    <w:rPr>
      <w:rFonts w:ascii="Arial" w:hAnsi="Arial" w:eastAsia="黑体"/>
      <w:b/>
      <w:bCs/>
      <w:kern w:val="0"/>
      <w:sz w:val="20"/>
      <w:szCs w:val="20"/>
    </w:rPr>
  </w:style>
  <w:style w:type="paragraph" w:styleId="9">
    <w:name w:val="heading 7"/>
    <w:basedOn w:val="1"/>
    <w:next w:val="1"/>
    <w:link w:val="276"/>
    <w:qFormat/>
    <w:uiPriority w:val="99"/>
    <w:pPr>
      <w:keepNext/>
      <w:keepLines/>
      <w:spacing w:before="240" w:after="64" w:line="320" w:lineRule="auto"/>
      <w:jc w:val="left"/>
      <w:outlineLvl w:val="6"/>
    </w:pPr>
    <w:rPr>
      <w:b/>
      <w:bCs/>
      <w:kern w:val="0"/>
      <w:sz w:val="24"/>
      <w:szCs w:val="24"/>
    </w:rPr>
  </w:style>
  <w:style w:type="paragraph" w:styleId="10">
    <w:name w:val="heading 8"/>
    <w:basedOn w:val="1"/>
    <w:next w:val="1"/>
    <w:link w:val="326"/>
    <w:qFormat/>
    <w:uiPriority w:val="99"/>
    <w:pPr>
      <w:keepNext/>
      <w:keepLines/>
      <w:tabs>
        <w:tab w:val="left" w:pos="1440"/>
      </w:tabs>
      <w:adjustRightInd w:val="0"/>
      <w:spacing w:line="360" w:lineRule="atLeast"/>
      <w:ind w:left="1440" w:hanging="1440"/>
      <w:outlineLvl w:val="7"/>
    </w:pPr>
    <w:rPr>
      <w:rFonts w:ascii="Cambria" w:hAnsi="Cambria"/>
      <w:kern w:val="0"/>
      <w:sz w:val="24"/>
      <w:szCs w:val="24"/>
    </w:rPr>
  </w:style>
  <w:style w:type="paragraph" w:styleId="11">
    <w:name w:val="heading 9"/>
    <w:basedOn w:val="1"/>
    <w:next w:val="1"/>
    <w:link w:val="312"/>
    <w:qFormat/>
    <w:uiPriority w:val="99"/>
    <w:pPr>
      <w:keepNext/>
      <w:keepLines/>
      <w:tabs>
        <w:tab w:val="left" w:pos="1584"/>
      </w:tabs>
      <w:adjustRightInd w:val="0"/>
      <w:spacing w:line="360" w:lineRule="atLeast"/>
      <w:ind w:left="1584" w:hanging="1584"/>
      <w:outlineLvl w:val="8"/>
    </w:pPr>
    <w:rPr>
      <w:rFonts w:ascii="Cambria" w:hAnsi="Cambria"/>
      <w:kern w:val="0"/>
    </w:rPr>
  </w:style>
  <w:style w:type="character" w:default="1" w:styleId="121">
    <w:name w:val="Default Paragraph Font"/>
    <w:semiHidden/>
    <w:unhideWhenUsed/>
    <w:qFormat/>
    <w:uiPriority w:val="1"/>
  </w:style>
  <w:style w:type="table" w:default="1" w:styleId="76">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qFormat/>
    <w:uiPriority w:val="39"/>
    <w:pPr>
      <w:spacing w:line="360" w:lineRule="auto"/>
      <w:ind w:left="420"/>
      <w:jc w:val="left"/>
    </w:pPr>
    <w:rPr>
      <w:iCs/>
      <w:sz w:val="24"/>
      <w:szCs w:val="20"/>
    </w:rPr>
  </w:style>
  <w:style w:type="paragraph" w:styleId="12">
    <w:name w:val="List 3"/>
    <w:basedOn w:val="1"/>
    <w:qFormat/>
    <w:uiPriority w:val="99"/>
    <w:pPr>
      <w:ind w:left="100" w:leftChars="400" w:hanging="200" w:hangingChars="200"/>
    </w:pPr>
  </w:style>
  <w:style w:type="paragraph" w:styleId="13">
    <w:name w:val="toc 7"/>
    <w:basedOn w:val="1"/>
    <w:next w:val="1"/>
    <w:qFormat/>
    <w:uiPriority w:val="0"/>
    <w:pPr>
      <w:ind w:left="1260"/>
      <w:jc w:val="left"/>
    </w:pPr>
    <w:rPr>
      <w:sz w:val="18"/>
      <w:szCs w:val="18"/>
    </w:rPr>
  </w:style>
  <w:style w:type="paragraph" w:styleId="14">
    <w:name w:val="List Number 2"/>
    <w:basedOn w:val="1"/>
    <w:semiHidden/>
    <w:qFormat/>
    <w:uiPriority w:val="99"/>
    <w:pPr>
      <w:tabs>
        <w:tab w:val="left" w:pos="780"/>
      </w:tabs>
      <w:spacing w:after="200" w:line="276" w:lineRule="auto"/>
      <w:ind w:left="780" w:leftChars="200" w:hanging="360" w:hangingChars="200"/>
      <w:jc w:val="left"/>
    </w:pPr>
    <w:rPr>
      <w:rFonts w:ascii="Calibri" w:hAnsi="Calibri" w:cs="Calibri"/>
      <w:kern w:val="0"/>
      <w:sz w:val="22"/>
      <w:szCs w:val="22"/>
      <w:lang w:eastAsia="en-US"/>
    </w:rPr>
  </w:style>
  <w:style w:type="paragraph" w:styleId="15">
    <w:name w:val="table of authorities"/>
    <w:basedOn w:val="1"/>
    <w:next w:val="1"/>
    <w:semiHidden/>
    <w:qFormat/>
    <w:uiPriority w:val="99"/>
    <w:pPr>
      <w:spacing w:after="200" w:line="276" w:lineRule="auto"/>
      <w:ind w:left="420" w:leftChars="200"/>
      <w:jc w:val="left"/>
    </w:pPr>
    <w:rPr>
      <w:rFonts w:ascii="Calibri" w:hAnsi="Calibri" w:cs="Calibri"/>
      <w:kern w:val="0"/>
      <w:sz w:val="22"/>
      <w:szCs w:val="22"/>
      <w:lang w:eastAsia="en-US"/>
    </w:rPr>
  </w:style>
  <w:style w:type="paragraph" w:styleId="16">
    <w:name w:val="Note Heading"/>
    <w:basedOn w:val="1"/>
    <w:next w:val="1"/>
    <w:link w:val="330"/>
    <w:semiHidden/>
    <w:qFormat/>
    <w:uiPriority w:val="99"/>
    <w:pPr>
      <w:spacing w:after="200" w:line="276" w:lineRule="auto"/>
      <w:jc w:val="center"/>
    </w:pPr>
    <w:rPr>
      <w:kern w:val="0"/>
    </w:rPr>
  </w:style>
  <w:style w:type="paragraph" w:styleId="17">
    <w:name w:val="List Bullet 4"/>
    <w:basedOn w:val="1"/>
    <w:semiHidden/>
    <w:qFormat/>
    <w:uiPriority w:val="99"/>
    <w:pPr>
      <w:tabs>
        <w:tab w:val="left" w:pos="360"/>
      </w:tabs>
      <w:spacing w:after="200" w:line="276" w:lineRule="auto"/>
      <w:ind w:left="360" w:hanging="360"/>
      <w:jc w:val="left"/>
    </w:pPr>
    <w:rPr>
      <w:rFonts w:ascii="Calibri" w:hAnsi="Calibri" w:cs="Calibri"/>
      <w:kern w:val="0"/>
      <w:sz w:val="22"/>
      <w:szCs w:val="22"/>
      <w:lang w:eastAsia="en-US"/>
    </w:rPr>
  </w:style>
  <w:style w:type="paragraph" w:styleId="18">
    <w:name w:val="E-mail Signature"/>
    <w:basedOn w:val="1"/>
    <w:link w:val="303"/>
    <w:semiHidden/>
    <w:qFormat/>
    <w:uiPriority w:val="99"/>
    <w:pPr>
      <w:spacing w:after="200" w:line="276" w:lineRule="auto"/>
      <w:jc w:val="left"/>
    </w:pPr>
    <w:rPr>
      <w:kern w:val="0"/>
    </w:rPr>
  </w:style>
  <w:style w:type="paragraph" w:styleId="19">
    <w:name w:val="List Number"/>
    <w:basedOn w:val="1"/>
    <w:semiHidden/>
    <w:qFormat/>
    <w:uiPriority w:val="99"/>
    <w:pPr>
      <w:tabs>
        <w:tab w:val="left" w:pos="360"/>
      </w:tabs>
      <w:spacing w:after="200" w:line="276" w:lineRule="auto"/>
      <w:ind w:left="360" w:hanging="360" w:hangingChars="200"/>
      <w:jc w:val="left"/>
    </w:pPr>
    <w:rPr>
      <w:rFonts w:ascii="Calibri" w:hAnsi="Calibri" w:cs="Calibri"/>
      <w:kern w:val="0"/>
      <w:sz w:val="22"/>
      <w:szCs w:val="22"/>
      <w:lang w:eastAsia="en-US"/>
    </w:rPr>
  </w:style>
  <w:style w:type="paragraph" w:styleId="20">
    <w:name w:val="Normal Indent"/>
    <w:basedOn w:val="1"/>
    <w:link w:val="270"/>
    <w:qFormat/>
    <w:uiPriority w:val="99"/>
    <w:pPr>
      <w:ind w:firstLine="420" w:firstLineChars="200"/>
    </w:pPr>
    <w:rPr>
      <w:kern w:val="0"/>
    </w:rPr>
  </w:style>
  <w:style w:type="paragraph" w:styleId="21">
    <w:name w:val="caption"/>
    <w:basedOn w:val="1"/>
    <w:next w:val="1"/>
    <w:qFormat/>
    <w:uiPriority w:val="0"/>
    <w:pPr>
      <w:spacing w:before="152" w:after="160"/>
    </w:pPr>
    <w:rPr>
      <w:rFonts w:ascii="Arial" w:hAnsi="Arial" w:eastAsia="黑体" w:cs="Arial"/>
      <w:sz w:val="20"/>
      <w:szCs w:val="20"/>
    </w:rPr>
  </w:style>
  <w:style w:type="paragraph" w:styleId="22">
    <w:name w:val="List Bullet"/>
    <w:basedOn w:val="1"/>
    <w:semiHidden/>
    <w:qFormat/>
    <w:uiPriority w:val="99"/>
    <w:pPr>
      <w:tabs>
        <w:tab w:val="left" w:pos="360"/>
      </w:tabs>
      <w:spacing w:after="200" w:line="276" w:lineRule="auto"/>
      <w:ind w:left="360" w:hanging="360"/>
      <w:jc w:val="left"/>
    </w:pPr>
    <w:rPr>
      <w:rFonts w:ascii="Calibri" w:hAnsi="Calibri" w:cs="Calibri"/>
      <w:kern w:val="0"/>
      <w:sz w:val="22"/>
      <w:szCs w:val="22"/>
      <w:lang w:eastAsia="en-US"/>
    </w:rPr>
  </w:style>
  <w:style w:type="paragraph" w:styleId="23">
    <w:name w:val="envelope address"/>
    <w:basedOn w:val="1"/>
    <w:semiHidden/>
    <w:qFormat/>
    <w:uiPriority w:val="99"/>
    <w:pPr>
      <w:framePr w:w="7920" w:h="1980" w:hRule="exact" w:hSpace="180" w:wrap="around" w:vAnchor="margin" w:hAnchor="page" w:xAlign="center" w:yAlign="bottom"/>
      <w:snapToGrid w:val="0"/>
      <w:spacing w:after="200" w:line="276" w:lineRule="auto"/>
      <w:ind w:left="100" w:leftChars="1400"/>
      <w:jc w:val="left"/>
    </w:pPr>
    <w:rPr>
      <w:rFonts w:ascii="Arial" w:hAnsi="Arial" w:cs="Arial"/>
      <w:kern w:val="0"/>
      <w:sz w:val="24"/>
      <w:szCs w:val="24"/>
      <w:lang w:eastAsia="en-US"/>
    </w:rPr>
  </w:style>
  <w:style w:type="paragraph" w:styleId="24">
    <w:name w:val="Document Map"/>
    <w:basedOn w:val="1"/>
    <w:link w:val="315"/>
    <w:qFormat/>
    <w:uiPriority w:val="0"/>
    <w:pPr>
      <w:shd w:val="clear" w:color="auto" w:fill="000080"/>
    </w:pPr>
    <w:rPr>
      <w:kern w:val="0"/>
      <w:sz w:val="2"/>
      <w:szCs w:val="2"/>
    </w:rPr>
  </w:style>
  <w:style w:type="paragraph" w:styleId="25">
    <w:name w:val="toa heading"/>
    <w:basedOn w:val="1"/>
    <w:next w:val="1"/>
    <w:qFormat/>
    <w:uiPriority w:val="0"/>
    <w:pPr>
      <w:spacing w:before="120"/>
    </w:pPr>
    <w:rPr>
      <w:rFonts w:ascii="Arial" w:hAnsi="Arial" w:cs="Arial"/>
      <w:sz w:val="24"/>
      <w:szCs w:val="24"/>
    </w:rPr>
  </w:style>
  <w:style w:type="paragraph" w:styleId="26">
    <w:name w:val="annotation text"/>
    <w:basedOn w:val="1"/>
    <w:link w:val="292"/>
    <w:qFormat/>
    <w:uiPriority w:val="99"/>
    <w:pPr>
      <w:spacing w:after="200" w:line="276" w:lineRule="auto"/>
      <w:jc w:val="left"/>
    </w:pPr>
    <w:rPr>
      <w:kern w:val="0"/>
    </w:rPr>
  </w:style>
  <w:style w:type="paragraph" w:styleId="27">
    <w:name w:val="Salutation"/>
    <w:basedOn w:val="1"/>
    <w:next w:val="1"/>
    <w:link w:val="258"/>
    <w:qFormat/>
    <w:uiPriority w:val="99"/>
    <w:pPr>
      <w:spacing w:after="200" w:line="276" w:lineRule="auto"/>
      <w:jc w:val="left"/>
    </w:pPr>
    <w:rPr>
      <w:kern w:val="0"/>
    </w:rPr>
  </w:style>
  <w:style w:type="paragraph" w:styleId="28">
    <w:name w:val="Body Text 3"/>
    <w:basedOn w:val="1"/>
    <w:link w:val="310"/>
    <w:qFormat/>
    <w:uiPriority w:val="99"/>
    <w:rPr>
      <w:kern w:val="0"/>
      <w:sz w:val="16"/>
      <w:szCs w:val="16"/>
    </w:rPr>
  </w:style>
  <w:style w:type="paragraph" w:styleId="29">
    <w:name w:val="Closing"/>
    <w:basedOn w:val="1"/>
    <w:link w:val="329"/>
    <w:semiHidden/>
    <w:qFormat/>
    <w:uiPriority w:val="99"/>
    <w:pPr>
      <w:spacing w:after="200" w:line="276" w:lineRule="auto"/>
      <w:ind w:left="100" w:leftChars="2100"/>
      <w:jc w:val="left"/>
    </w:pPr>
    <w:rPr>
      <w:kern w:val="0"/>
    </w:rPr>
  </w:style>
  <w:style w:type="paragraph" w:styleId="30">
    <w:name w:val="List Bullet 3"/>
    <w:basedOn w:val="1"/>
    <w:semiHidden/>
    <w:qFormat/>
    <w:uiPriority w:val="99"/>
    <w:pPr>
      <w:tabs>
        <w:tab w:val="left" w:pos="360"/>
      </w:tabs>
      <w:spacing w:after="200" w:line="276" w:lineRule="auto"/>
      <w:ind w:left="360" w:hanging="360"/>
      <w:jc w:val="left"/>
    </w:pPr>
    <w:rPr>
      <w:rFonts w:ascii="Calibri" w:hAnsi="Calibri" w:cs="Calibri"/>
      <w:kern w:val="0"/>
      <w:sz w:val="22"/>
      <w:szCs w:val="22"/>
      <w:lang w:eastAsia="en-US"/>
    </w:rPr>
  </w:style>
  <w:style w:type="paragraph" w:styleId="31">
    <w:name w:val="Body Text"/>
    <w:basedOn w:val="1"/>
    <w:link w:val="277"/>
    <w:qFormat/>
    <w:uiPriority w:val="99"/>
    <w:pPr>
      <w:spacing w:after="120"/>
    </w:pPr>
    <w:rPr>
      <w:kern w:val="0"/>
    </w:rPr>
  </w:style>
  <w:style w:type="paragraph" w:styleId="32">
    <w:name w:val="Body Text Indent"/>
    <w:basedOn w:val="1"/>
    <w:link w:val="313"/>
    <w:qFormat/>
    <w:uiPriority w:val="0"/>
    <w:pPr>
      <w:spacing w:line="500" w:lineRule="exact"/>
      <w:ind w:left="1588" w:leftChars="832" w:firstLine="433" w:firstLineChars="196"/>
    </w:pPr>
    <w:rPr>
      <w:kern w:val="0"/>
    </w:rPr>
  </w:style>
  <w:style w:type="paragraph" w:styleId="33">
    <w:name w:val="List Number 3"/>
    <w:basedOn w:val="1"/>
    <w:semiHidden/>
    <w:qFormat/>
    <w:uiPriority w:val="99"/>
    <w:pPr>
      <w:tabs>
        <w:tab w:val="left" w:pos="360"/>
      </w:tabs>
      <w:spacing w:after="200" w:line="276" w:lineRule="auto"/>
      <w:ind w:left="360" w:hanging="360"/>
      <w:jc w:val="left"/>
    </w:pPr>
    <w:rPr>
      <w:rFonts w:ascii="Calibri" w:hAnsi="Calibri" w:cs="Calibri"/>
      <w:kern w:val="0"/>
      <w:sz w:val="22"/>
      <w:szCs w:val="22"/>
      <w:lang w:eastAsia="en-US"/>
    </w:rPr>
  </w:style>
  <w:style w:type="paragraph" w:styleId="34">
    <w:name w:val="List 2"/>
    <w:basedOn w:val="1"/>
    <w:qFormat/>
    <w:uiPriority w:val="99"/>
    <w:pPr>
      <w:ind w:left="100" w:leftChars="200" w:hanging="200" w:hangingChars="200"/>
    </w:pPr>
  </w:style>
  <w:style w:type="paragraph" w:styleId="35">
    <w:name w:val="List Continue"/>
    <w:basedOn w:val="1"/>
    <w:qFormat/>
    <w:uiPriority w:val="99"/>
    <w:pPr>
      <w:spacing w:after="120"/>
      <w:ind w:left="420" w:leftChars="200"/>
    </w:pPr>
  </w:style>
  <w:style w:type="paragraph" w:styleId="36">
    <w:name w:val="Block Text"/>
    <w:basedOn w:val="1"/>
    <w:semiHidden/>
    <w:qFormat/>
    <w:uiPriority w:val="99"/>
    <w:pPr>
      <w:spacing w:after="120" w:line="276" w:lineRule="auto"/>
      <w:ind w:left="1440" w:leftChars="700" w:right="1440" w:rightChars="700"/>
      <w:jc w:val="left"/>
    </w:pPr>
    <w:rPr>
      <w:rFonts w:ascii="Calibri" w:hAnsi="Calibri" w:cs="Calibri"/>
      <w:kern w:val="0"/>
      <w:sz w:val="22"/>
      <w:szCs w:val="22"/>
      <w:lang w:eastAsia="en-US"/>
    </w:rPr>
  </w:style>
  <w:style w:type="paragraph" w:styleId="37">
    <w:name w:val="List Bullet 2"/>
    <w:basedOn w:val="1"/>
    <w:qFormat/>
    <w:uiPriority w:val="0"/>
    <w:pPr>
      <w:tabs>
        <w:tab w:val="left" w:pos="360"/>
      </w:tabs>
      <w:spacing w:after="200" w:line="276" w:lineRule="auto"/>
      <w:ind w:left="360" w:hanging="360"/>
      <w:jc w:val="left"/>
    </w:pPr>
    <w:rPr>
      <w:rFonts w:ascii="Calibri" w:hAnsi="Calibri" w:cs="Calibri"/>
      <w:kern w:val="0"/>
      <w:sz w:val="22"/>
      <w:szCs w:val="22"/>
      <w:lang w:eastAsia="en-US"/>
    </w:rPr>
  </w:style>
  <w:style w:type="paragraph" w:styleId="38">
    <w:name w:val="HTML Address"/>
    <w:basedOn w:val="1"/>
    <w:link w:val="317"/>
    <w:semiHidden/>
    <w:qFormat/>
    <w:uiPriority w:val="99"/>
    <w:pPr>
      <w:spacing w:after="200" w:line="276" w:lineRule="auto"/>
      <w:jc w:val="left"/>
    </w:pPr>
    <w:rPr>
      <w:i/>
      <w:iCs/>
      <w:kern w:val="0"/>
    </w:rPr>
  </w:style>
  <w:style w:type="paragraph" w:styleId="39">
    <w:name w:val="toc 5"/>
    <w:basedOn w:val="1"/>
    <w:next w:val="1"/>
    <w:qFormat/>
    <w:uiPriority w:val="0"/>
    <w:pPr>
      <w:ind w:left="840"/>
      <w:jc w:val="left"/>
    </w:pPr>
    <w:rPr>
      <w:sz w:val="18"/>
      <w:szCs w:val="18"/>
    </w:rPr>
  </w:style>
  <w:style w:type="paragraph" w:styleId="40">
    <w:name w:val="Plain Text"/>
    <w:basedOn w:val="1"/>
    <w:link w:val="306"/>
    <w:qFormat/>
    <w:uiPriority w:val="0"/>
    <w:rPr>
      <w:rFonts w:ascii="宋体" w:hAnsi="Courier New"/>
      <w:kern w:val="0"/>
    </w:rPr>
  </w:style>
  <w:style w:type="paragraph" w:styleId="41">
    <w:name w:val="List Bullet 5"/>
    <w:basedOn w:val="1"/>
    <w:semiHidden/>
    <w:qFormat/>
    <w:uiPriority w:val="99"/>
    <w:pPr>
      <w:tabs>
        <w:tab w:val="left" w:pos="360"/>
      </w:tabs>
      <w:spacing w:after="200" w:line="276" w:lineRule="auto"/>
      <w:ind w:left="360" w:hanging="360"/>
      <w:jc w:val="left"/>
    </w:pPr>
    <w:rPr>
      <w:rFonts w:ascii="Calibri" w:hAnsi="Calibri" w:cs="Calibri"/>
      <w:kern w:val="0"/>
      <w:sz w:val="22"/>
      <w:szCs w:val="22"/>
      <w:lang w:eastAsia="en-US"/>
    </w:rPr>
  </w:style>
  <w:style w:type="paragraph" w:styleId="42">
    <w:name w:val="List Number 4"/>
    <w:basedOn w:val="1"/>
    <w:semiHidden/>
    <w:qFormat/>
    <w:uiPriority w:val="99"/>
    <w:pPr>
      <w:numPr>
        <w:ilvl w:val="0"/>
        <w:numId w:val="1"/>
      </w:numPr>
      <w:tabs>
        <w:tab w:val="left" w:pos="420"/>
        <w:tab w:val="clear" w:pos="360"/>
      </w:tabs>
      <w:spacing w:after="200" w:line="276" w:lineRule="auto"/>
      <w:ind w:left="420" w:hanging="420"/>
      <w:jc w:val="left"/>
    </w:pPr>
    <w:rPr>
      <w:rFonts w:ascii="Calibri" w:hAnsi="Calibri" w:cs="Calibri"/>
      <w:kern w:val="0"/>
      <w:sz w:val="22"/>
      <w:szCs w:val="22"/>
      <w:lang w:eastAsia="en-US"/>
    </w:rPr>
  </w:style>
  <w:style w:type="paragraph" w:styleId="43">
    <w:name w:val="toc 8"/>
    <w:basedOn w:val="1"/>
    <w:next w:val="1"/>
    <w:qFormat/>
    <w:uiPriority w:val="0"/>
    <w:pPr>
      <w:ind w:left="1470"/>
      <w:jc w:val="left"/>
    </w:pPr>
    <w:rPr>
      <w:sz w:val="18"/>
      <w:szCs w:val="18"/>
    </w:rPr>
  </w:style>
  <w:style w:type="paragraph" w:styleId="44">
    <w:name w:val="Date"/>
    <w:basedOn w:val="1"/>
    <w:next w:val="1"/>
    <w:link w:val="293"/>
    <w:qFormat/>
    <w:uiPriority w:val="0"/>
    <w:pPr>
      <w:ind w:left="100" w:leftChars="2500"/>
    </w:pPr>
    <w:rPr>
      <w:kern w:val="0"/>
    </w:rPr>
  </w:style>
  <w:style w:type="paragraph" w:styleId="45">
    <w:name w:val="Body Text Indent 2"/>
    <w:basedOn w:val="1"/>
    <w:link w:val="300"/>
    <w:qFormat/>
    <w:uiPriority w:val="0"/>
    <w:pPr>
      <w:spacing w:line="500" w:lineRule="exact"/>
      <w:ind w:firstLine="442" w:firstLineChars="200"/>
    </w:pPr>
    <w:rPr>
      <w:kern w:val="0"/>
    </w:rPr>
  </w:style>
  <w:style w:type="paragraph" w:styleId="46">
    <w:name w:val="List Continue 5"/>
    <w:basedOn w:val="1"/>
    <w:semiHidden/>
    <w:qFormat/>
    <w:uiPriority w:val="99"/>
    <w:pPr>
      <w:spacing w:after="120" w:line="276" w:lineRule="auto"/>
      <w:ind w:left="2100" w:leftChars="1000"/>
      <w:jc w:val="left"/>
    </w:pPr>
    <w:rPr>
      <w:rFonts w:ascii="Calibri" w:hAnsi="Calibri" w:cs="Calibri"/>
      <w:kern w:val="0"/>
      <w:sz w:val="22"/>
      <w:szCs w:val="22"/>
      <w:lang w:eastAsia="en-US"/>
    </w:rPr>
  </w:style>
  <w:style w:type="paragraph" w:styleId="47">
    <w:name w:val="Balloon Text"/>
    <w:basedOn w:val="1"/>
    <w:link w:val="295"/>
    <w:qFormat/>
    <w:uiPriority w:val="99"/>
    <w:rPr>
      <w:sz w:val="18"/>
      <w:szCs w:val="18"/>
    </w:rPr>
  </w:style>
  <w:style w:type="paragraph" w:styleId="48">
    <w:name w:val="footer"/>
    <w:basedOn w:val="1"/>
    <w:link w:val="325"/>
    <w:qFormat/>
    <w:uiPriority w:val="99"/>
    <w:pPr>
      <w:tabs>
        <w:tab w:val="center" w:pos="4153"/>
        <w:tab w:val="right" w:pos="8306"/>
      </w:tabs>
      <w:snapToGrid w:val="0"/>
      <w:jc w:val="left"/>
    </w:pPr>
    <w:rPr>
      <w:kern w:val="0"/>
      <w:sz w:val="18"/>
      <w:szCs w:val="18"/>
    </w:rPr>
  </w:style>
  <w:style w:type="paragraph" w:styleId="49">
    <w:name w:val="envelope return"/>
    <w:basedOn w:val="1"/>
    <w:semiHidden/>
    <w:qFormat/>
    <w:uiPriority w:val="99"/>
    <w:pPr>
      <w:snapToGrid w:val="0"/>
      <w:spacing w:after="200" w:line="276" w:lineRule="auto"/>
      <w:jc w:val="left"/>
    </w:pPr>
    <w:rPr>
      <w:rFonts w:ascii="Arial" w:hAnsi="Arial" w:cs="Arial"/>
      <w:kern w:val="0"/>
      <w:sz w:val="22"/>
      <w:szCs w:val="22"/>
      <w:lang w:eastAsia="en-US"/>
    </w:rPr>
  </w:style>
  <w:style w:type="paragraph" w:styleId="50">
    <w:name w:val="header"/>
    <w:basedOn w:val="1"/>
    <w:link w:val="309"/>
    <w:qFormat/>
    <w:uiPriority w:val="0"/>
    <w:pPr>
      <w:pBdr>
        <w:bottom w:val="single" w:color="auto" w:sz="6" w:space="1"/>
      </w:pBdr>
      <w:tabs>
        <w:tab w:val="center" w:pos="4153"/>
        <w:tab w:val="right" w:pos="8306"/>
      </w:tabs>
      <w:snapToGrid w:val="0"/>
      <w:jc w:val="center"/>
    </w:pPr>
    <w:rPr>
      <w:kern w:val="0"/>
      <w:sz w:val="18"/>
      <w:szCs w:val="18"/>
    </w:rPr>
  </w:style>
  <w:style w:type="paragraph" w:styleId="51">
    <w:name w:val="Signature"/>
    <w:basedOn w:val="1"/>
    <w:link w:val="324"/>
    <w:qFormat/>
    <w:uiPriority w:val="99"/>
    <w:pPr>
      <w:ind w:left="100" w:leftChars="2100"/>
    </w:pPr>
    <w:rPr>
      <w:kern w:val="0"/>
    </w:rPr>
  </w:style>
  <w:style w:type="paragraph" w:styleId="52">
    <w:name w:val="toc 1"/>
    <w:basedOn w:val="1"/>
    <w:next w:val="1"/>
    <w:qFormat/>
    <w:uiPriority w:val="39"/>
    <w:pPr>
      <w:spacing w:before="120" w:after="120"/>
      <w:jc w:val="left"/>
    </w:pPr>
    <w:rPr>
      <w:b/>
      <w:bCs/>
      <w:caps/>
      <w:sz w:val="24"/>
      <w:szCs w:val="20"/>
    </w:rPr>
  </w:style>
  <w:style w:type="paragraph" w:styleId="53">
    <w:name w:val="List Continue 4"/>
    <w:basedOn w:val="1"/>
    <w:qFormat/>
    <w:uiPriority w:val="99"/>
    <w:pPr>
      <w:spacing w:after="120"/>
      <w:ind w:left="1680" w:leftChars="800"/>
    </w:pPr>
  </w:style>
  <w:style w:type="paragraph" w:styleId="54">
    <w:name w:val="toc 4"/>
    <w:basedOn w:val="1"/>
    <w:next w:val="1"/>
    <w:qFormat/>
    <w:uiPriority w:val="0"/>
    <w:pPr>
      <w:ind w:left="630"/>
      <w:jc w:val="left"/>
    </w:pPr>
    <w:rPr>
      <w:sz w:val="18"/>
      <w:szCs w:val="18"/>
    </w:rPr>
  </w:style>
  <w:style w:type="paragraph" w:styleId="55">
    <w:name w:val="Subtitle"/>
    <w:basedOn w:val="1"/>
    <w:link w:val="298"/>
    <w:qFormat/>
    <w:uiPriority w:val="99"/>
    <w:pPr>
      <w:spacing w:before="240" w:after="60" w:line="312" w:lineRule="auto"/>
      <w:jc w:val="center"/>
      <w:outlineLvl w:val="1"/>
    </w:pPr>
    <w:rPr>
      <w:rFonts w:ascii="Cambria" w:hAnsi="Cambria"/>
      <w:b/>
      <w:bCs/>
      <w:kern w:val="28"/>
      <w:sz w:val="32"/>
      <w:szCs w:val="32"/>
    </w:rPr>
  </w:style>
  <w:style w:type="paragraph" w:styleId="56">
    <w:name w:val="List Number 5"/>
    <w:basedOn w:val="1"/>
    <w:semiHidden/>
    <w:qFormat/>
    <w:uiPriority w:val="99"/>
    <w:pPr>
      <w:tabs>
        <w:tab w:val="left" w:pos="360"/>
      </w:tabs>
      <w:spacing w:after="200" w:line="276" w:lineRule="auto"/>
      <w:ind w:left="360" w:hanging="360"/>
      <w:jc w:val="left"/>
    </w:pPr>
    <w:rPr>
      <w:rFonts w:ascii="Calibri" w:hAnsi="Calibri" w:cs="Calibri"/>
      <w:kern w:val="0"/>
      <w:sz w:val="22"/>
      <w:szCs w:val="22"/>
      <w:lang w:eastAsia="en-US"/>
    </w:rPr>
  </w:style>
  <w:style w:type="paragraph" w:styleId="57">
    <w:name w:val="List"/>
    <w:basedOn w:val="1"/>
    <w:qFormat/>
    <w:uiPriority w:val="0"/>
    <w:pPr>
      <w:ind w:left="200" w:hanging="200" w:hangingChars="200"/>
    </w:pPr>
  </w:style>
  <w:style w:type="paragraph" w:styleId="58">
    <w:name w:val="footnote text"/>
    <w:basedOn w:val="1"/>
    <w:semiHidden/>
    <w:qFormat/>
    <w:locked/>
    <w:uiPriority w:val="0"/>
    <w:pPr>
      <w:snapToGrid w:val="0"/>
      <w:jc w:val="left"/>
    </w:pPr>
    <w:rPr>
      <w:sz w:val="18"/>
      <w:szCs w:val="18"/>
    </w:rPr>
  </w:style>
  <w:style w:type="paragraph" w:styleId="59">
    <w:name w:val="toc 6"/>
    <w:basedOn w:val="1"/>
    <w:next w:val="1"/>
    <w:qFormat/>
    <w:uiPriority w:val="0"/>
    <w:pPr>
      <w:ind w:left="1050"/>
      <w:jc w:val="left"/>
    </w:pPr>
    <w:rPr>
      <w:sz w:val="18"/>
      <w:szCs w:val="18"/>
    </w:rPr>
  </w:style>
  <w:style w:type="paragraph" w:styleId="60">
    <w:name w:val="List 5"/>
    <w:basedOn w:val="1"/>
    <w:qFormat/>
    <w:uiPriority w:val="99"/>
    <w:pPr>
      <w:ind w:left="100" w:leftChars="800" w:hanging="200" w:hangingChars="200"/>
    </w:pPr>
  </w:style>
  <w:style w:type="paragraph" w:styleId="61">
    <w:name w:val="Body Text Indent 3"/>
    <w:basedOn w:val="1"/>
    <w:link w:val="263"/>
    <w:qFormat/>
    <w:uiPriority w:val="0"/>
    <w:pPr>
      <w:tabs>
        <w:tab w:val="left" w:pos="1134"/>
        <w:tab w:val="left" w:pos="5481"/>
        <w:tab w:val="left" w:pos="5859"/>
      </w:tabs>
      <w:spacing w:line="500" w:lineRule="exact"/>
      <w:ind w:firstLine="8275" w:firstLineChars="1200"/>
    </w:pPr>
    <w:rPr>
      <w:kern w:val="0"/>
      <w:sz w:val="16"/>
      <w:szCs w:val="16"/>
    </w:rPr>
  </w:style>
  <w:style w:type="paragraph" w:styleId="62">
    <w:name w:val="toc 2"/>
    <w:basedOn w:val="1"/>
    <w:next w:val="1"/>
    <w:qFormat/>
    <w:uiPriority w:val="39"/>
    <w:pPr>
      <w:spacing w:line="360" w:lineRule="auto"/>
      <w:ind w:left="210"/>
      <w:jc w:val="left"/>
    </w:pPr>
    <w:rPr>
      <w:smallCaps/>
      <w:sz w:val="24"/>
      <w:szCs w:val="20"/>
    </w:rPr>
  </w:style>
  <w:style w:type="paragraph" w:styleId="63">
    <w:name w:val="toc 9"/>
    <w:basedOn w:val="1"/>
    <w:next w:val="1"/>
    <w:qFormat/>
    <w:uiPriority w:val="0"/>
    <w:pPr>
      <w:ind w:left="1680"/>
      <w:jc w:val="left"/>
    </w:pPr>
    <w:rPr>
      <w:sz w:val="18"/>
      <w:szCs w:val="18"/>
    </w:rPr>
  </w:style>
  <w:style w:type="paragraph" w:styleId="64">
    <w:name w:val="Body Text 2"/>
    <w:basedOn w:val="1"/>
    <w:link w:val="302"/>
    <w:qFormat/>
    <w:uiPriority w:val="99"/>
    <w:rPr>
      <w:kern w:val="0"/>
    </w:rPr>
  </w:style>
  <w:style w:type="paragraph" w:styleId="65">
    <w:name w:val="List 4"/>
    <w:basedOn w:val="1"/>
    <w:qFormat/>
    <w:uiPriority w:val="99"/>
    <w:pPr>
      <w:ind w:left="100" w:leftChars="600" w:hanging="200" w:hangingChars="200"/>
    </w:pPr>
  </w:style>
  <w:style w:type="paragraph" w:styleId="66">
    <w:name w:val="List Continue 2"/>
    <w:basedOn w:val="1"/>
    <w:qFormat/>
    <w:uiPriority w:val="99"/>
    <w:pPr>
      <w:spacing w:after="120"/>
      <w:ind w:left="840" w:leftChars="400"/>
    </w:pPr>
  </w:style>
  <w:style w:type="paragraph" w:styleId="67">
    <w:name w:val="Message Header"/>
    <w:basedOn w:val="1"/>
    <w:link w:val="322"/>
    <w:semiHidden/>
    <w:qFormat/>
    <w:uiPriority w:val="99"/>
    <w:pPr>
      <w:pBdr>
        <w:top w:val="single" w:color="auto" w:sz="6" w:space="1"/>
        <w:left w:val="single" w:color="auto" w:sz="6" w:space="1"/>
        <w:bottom w:val="single" w:color="auto" w:sz="6" w:space="1"/>
        <w:right w:val="single" w:color="auto" w:sz="6" w:space="1"/>
      </w:pBdr>
      <w:shd w:val="pct20" w:color="auto" w:fill="auto"/>
      <w:spacing w:after="200" w:line="276" w:lineRule="auto"/>
      <w:ind w:left="1080" w:leftChars="500" w:hanging="1080" w:hangingChars="500"/>
      <w:jc w:val="left"/>
    </w:pPr>
    <w:rPr>
      <w:rFonts w:ascii="Cambria" w:hAnsi="Cambria"/>
      <w:kern w:val="0"/>
      <w:sz w:val="24"/>
      <w:szCs w:val="24"/>
    </w:rPr>
  </w:style>
  <w:style w:type="paragraph" w:styleId="68">
    <w:name w:val="HTML Preformatted"/>
    <w:basedOn w:val="1"/>
    <w:link w:val="285"/>
    <w:semiHidden/>
    <w:qFormat/>
    <w:uiPriority w:val="99"/>
    <w:pPr>
      <w:spacing w:after="200" w:line="276" w:lineRule="auto"/>
      <w:jc w:val="left"/>
    </w:pPr>
    <w:rPr>
      <w:rFonts w:ascii="Courier New" w:hAnsi="Courier New"/>
      <w:kern w:val="0"/>
      <w:sz w:val="20"/>
      <w:szCs w:val="20"/>
    </w:rPr>
  </w:style>
  <w:style w:type="paragraph" w:styleId="6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70">
    <w:name w:val="List Continue 3"/>
    <w:basedOn w:val="1"/>
    <w:qFormat/>
    <w:uiPriority w:val="99"/>
    <w:pPr>
      <w:spacing w:after="120"/>
      <w:ind w:left="1260" w:leftChars="600"/>
    </w:pPr>
  </w:style>
  <w:style w:type="paragraph" w:styleId="71">
    <w:name w:val="index 1"/>
    <w:basedOn w:val="1"/>
    <w:next w:val="1"/>
    <w:qFormat/>
    <w:locked/>
    <w:uiPriority w:val="0"/>
    <w:rPr>
      <w:sz w:val="24"/>
      <w:szCs w:val="24"/>
    </w:rPr>
  </w:style>
  <w:style w:type="paragraph" w:styleId="72">
    <w:name w:val="Title"/>
    <w:basedOn w:val="1"/>
    <w:next w:val="1"/>
    <w:link w:val="304"/>
    <w:qFormat/>
    <w:uiPriority w:val="0"/>
    <w:pPr>
      <w:spacing w:before="240" w:after="60" w:line="276" w:lineRule="auto"/>
      <w:jc w:val="center"/>
      <w:outlineLvl w:val="0"/>
    </w:pPr>
    <w:rPr>
      <w:rFonts w:ascii="Cambria" w:hAnsi="Cambria"/>
      <w:b/>
      <w:bCs/>
      <w:kern w:val="0"/>
      <w:sz w:val="32"/>
      <w:szCs w:val="32"/>
    </w:rPr>
  </w:style>
  <w:style w:type="paragraph" w:styleId="73">
    <w:name w:val="annotation subject"/>
    <w:basedOn w:val="26"/>
    <w:next w:val="26"/>
    <w:link w:val="269"/>
    <w:semiHidden/>
    <w:qFormat/>
    <w:uiPriority w:val="99"/>
    <w:pPr>
      <w:spacing w:after="0" w:line="240" w:lineRule="auto"/>
    </w:pPr>
    <w:rPr>
      <w:rFonts w:ascii="Calibri" w:hAnsi="Calibri"/>
      <w:b/>
      <w:bCs/>
      <w:lang w:eastAsia="en-US"/>
    </w:rPr>
  </w:style>
  <w:style w:type="paragraph" w:styleId="74">
    <w:name w:val="Body Text First Indent"/>
    <w:basedOn w:val="31"/>
    <w:link w:val="283"/>
    <w:qFormat/>
    <w:uiPriority w:val="99"/>
    <w:pPr>
      <w:spacing w:line="400" w:lineRule="exact"/>
      <w:ind w:firstLine="200" w:firstLineChars="200"/>
    </w:pPr>
  </w:style>
  <w:style w:type="paragraph" w:styleId="75">
    <w:name w:val="Body Text First Indent 2"/>
    <w:basedOn w:val="32"/>
    <w:link w:val="265"/>
    <w:semiHidden/>
    <w:qFormat/>
    <w:uiPriority w:val="99"/>
    <w:pPr>
      <w:spacing w:after="120" w:line="276" w:lineRule="auto"/>
      <w:ind w:left="420" w:leftChars="200" w:firstLine="420" w:firstLineChars="200"/>
      <w:jc w:val="left"/>
    </w:pPr>
  </w:style>
  <w:style w:type="table" w:styleId="77">
    <w:name w:val="Table Grid"/>
    <w:basedOn w:val="76"/>
    <w:qFormat/>
    <w:uiPriority w:val="59"/>
    <w:pPr>
      <w:widowControl w:val="0"/>
      <w:spacing w:after="200" w:line="276" w:lineRule="auto"/>
    </w:pPr>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8">
    <w:name w:val="Table Theme"/>
    <w:basedOn w:val="76"/>
    <w:semiHidden/>
    <w:qFormat/>
    <w:uiPriority w:val="99"/>
    <w:pPr>
      <w:widowControl w:val="0"/>
      <w:spacing w:after="200" w:line="276" w:lineRule="auto"/>
    </w:pPr>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9">
    <w:name w:val="Table Colorful 1"/>
    <w:basedOn w:val="76"/>
    <w:semiHidden/>
    <w:qFormat/>
    <w:uiPriority w:val="99"/>
    <w:pPr>
      <w:widowControl w:val="0"/>
      <w:spacing w:after="200" w:line="276" w:lineRule="auto"/>
    </w:pPr>
    <w:rPr>
      <w:rFonts w:cs="Calibri"/>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rFonts w:cs="微软雅黑"/>
        <w:b/>
        <w:bCs/>
        <w:i/>
        <w:iCs/>
      </w:rPr>
      <w:tblPr/>
      <w:tcPr>
        <w:tcBorders>
          <w:top w:val="nil"/>
          <w:left w:val="nil"/>
          <w:bottom w:val="nil"/>
          <w:right w:val="nil"/>
          <w:insideH w:val="nil"/>
          <w:insideV w:val="nil"/>
          <w:tl2br w:val="nil"/>
          <w:tr2bl w:val="nil"/>
        </w:tcBorders>
        <w:shd w:val="solid" w:color="000000" w:fill="FFFFFF"/>
      </w:tcPr>
    </w:tblStylePr>
    <w:tblStylePr w:type="firstCol">
      <w:rPr>
        <w:rFonts w:cs="微软雅黑"/>
        <w:b/>
        <w:bCs/>
        <w:i/>
        <w:iCs/>
      </w:rPr>
      <w:tblPr/>
      <w:tcPr>
        <w:tcBorders>
          <w:top w:val="nil"/>
          <w:left w:val="nil"/>
          <w:bottom w:val="nil"/>
          <w:right w:val="nil"/>
          <w:insideH w:val="nil"/>
          <w:insideV w:val="nil"/>
          <w:tl2br w:val="nil"/>
          <w:tr2bl w:val="nil"/>
        </w:tcBorders>
        <w:shd w:val="solid" w:color="000080" w:fill="FFFFFF"/>
      </w:tcPr>
    </w:tblStylePr>
    <w:tblStylePr w:type="nwCell">
      <w:rPr>
        <w:rFonts w:cs="微软雅黑"/>
      </w:rPr>
      <w:tblPr/>
      <w:tcPr>
        <w:tcBorders>
          <w:top w:val="nil"/>
          <w:left w:val="nil"/>
          <w:bottom w:val="nil"/>
          <w:right w:val="nil"/>
          <w:insideH w:val="nil"/>
          <w:insideV w:val="nil"/>
          <w:tl2br w:val="nil"/>
          <w:tr2bl w:val="nil"/>
        </w:tcBorders>
        <w:shd w:val="solid" w:color="000000" w:fill="FFFFFF"/>
      </w:tcPr>
    </w:tblStylePr>
    <w:tblStylePr w:type="swCell">
      <w:rPr>
        <w:rFonts w:cs="微软雅黑"/>
        <w:b/>
        <w:bCs/>
        <w:i w:val="0"/>
        <w:iCs w:val="0"/>
      </w:rPr>
      <w:tblPr/>
      <w:tcPr>
        <w:tcBorders>
          <w:top w:val="nil"/>
          <w:left w:val="nil"/>
          <w:bottom w:val="nil"/>
          <w:right w:val="nil"/>
          <w:insideH w:val="nil"/>
          <w:insideV w:val="nil"/>
          <w:tl2br w:val="nil"/>
          <w:tr2bl w:val="nil"/>
        </w:tcBorders>
      </w:tcPr>
    </w:tblStylePr>
  </w:style>
  <w:style w:type="table" w:styleId="80">
    <w:name w:val="Table Colorful 2"/>
    <w:basedOn w:val="76"/>
    <w:semiHidden/>
    <w:qFormat/>
    <w:uiPriority w:val="99"/>
    <w:pPr>
      <w:widowControl w:val="0"/>
      <w:spacing w:after="200" w:line="276" w:lineRule="auto"/>
    </w:pPr>
    <w:rPr>
      <w:rFonts w:cs="Calibri"/>
    </w:rPr>
    <w:tblPr>
      <w:tblBorders>
        <w:bottom w:val="single" w:color="000000" w:sz="12" w:space="0"/>
      </w:tblBorders>
    </w:tblPr>
    <w:tcPr>
      <w:shd w:val="pct20" w:color="FFFF00" w:fill="FFFFFF"/>
    </w:tcPr>
    <w:tblStylePr w:type="firstRow">
      <w:rPr>
        <w:rFonts w:cs="微软雅黑"/>
        <w:b/>
        <w:bCs/>
        <w:i/>
        <w:iCs/>
        <w:color w:val="FFFFFF"/>
      </w:rPr>
      <w:tblPr/>
      <w:tcPr>
        <w:tcBorders>
          <w:top w:val="nil"/>
          <w:left w:val="nil"/>
          <w:bottom w:val="single" w:color="000000" w:sz="12" w:space="0"/>
          <w:right w:val="nil"/>
          <w:insideH w:val="nil"/>
          <w:insideV w:val="nil"/>
          <w:tl2br w:val="nil"/>
          <w:tr2bl w:val="nil"/>
        </w:tcBorders>
        <w:shd w:val="solid" w:color="800000" w:fill="FFFFFF"/>
      </w:tcPr>
    </w:tblStylePr>
    <w:tblStylePr w:type="firstCol">
      <w:rPr>
        <w:rFonts w:cs="微软雅黑"/>
        <w:b/>
        <w:bCs/>
        <w:i/>
        <w:iCs/>
      </w:rPr>
      <w:tblPr/>
      <w:tcPr>
        <w:tcBorders>
          <w:top w:val="nil"/>
          <w:left w:val="nil"/>
          <w:bottom w:val="nil"/>
          <w:right w:val="nil"/>
          <w:insideH w:val="nil"/>
          <w:insideV w:val="nil"/>
          <w:tl2br w:val="nil"/>
          <w:tr2bl w:val="nil"/>
        </w:tcBorders>
      </w:tcPr>
    </w:tblStylePr>
    <w:tblStylePr w:type="lastCol">
      <w:rPr>
        <w:rFonts w:cs="微软雅黑"/>
      </w:rPr>
      <w:tblPr/>
      <w:tcPr>
        <w:tcBorders>
          <w:top w:val="nil"/>
          <w:left w:val="nil"/>
          <w:bottom w:val="nil"/>
          <w:right w:val="nil"/>
          <w:insideH w:val="nil"/>
          <w:insideV w:val="nil"/>
          <w:tl2br w:val="nil"/>
          <w:tr2bl w:val="nil"/>
        </w:tcBorders>
        <w:shd w:val="solid" w:color="C0C0C0" w:fill="FFFFFF"/>
      </w:tcPr>
    </w:tblStylePr>
    <w:tblStylePr w:type="swCell">
      <w:rPr>
        <w:rFonts w:cs="微软雅黑"/>
        <w:b/>
        <w:bCs/>
        <w:i w:val="0"/>
        <w:iCs w:val="0"/>
      </w:rPr>
      <w:tblPr/>
      <w:tcPr>
        <w:tcBorders>
          <w:top w:val="nil"/>
          <w:left w:val="nil"/>
          <w:bottom w:val="nil"/>
          <w:right w:val="nil"/>
          <w:insideH w:val="nil"/>
          <w:insideV w:val="nil"/>
          <w:tl2br w:val="nil"/>
          <w:tr2bl w:val="nil"/>
        </w:tcBorders>
      </w:tcPr>
    </w:tblStylePr>
  </w:style>
  <w:style w:type="table" w:styleId="81">
    <w:name w:val="Table Colorful 3"/>
    <w:basedOn w:val="76"/>
    <w:semiHidden/>
    <w:qFormat/>
    <w:uiPriority w:val="99"/>
    <w:pPr>
      <w:widowControl w:val="0"/>
      <w:spacing w:after="200" w:line="276" w:lineRule="auto"/>
    </w:pPr>
    <w:rPr>
      <w:rFonts w:cs="Calibri"/>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rPr>
        <w:rFonts w:cs="微软雅黑"/>
      </w:rPr>
      <w:tblPr/>
      <w:tcPr>
        <w:tcBorders>
          <w:top w:val="nil"/>
          <w:left w:val="nil"/>
          <w:bottom w:val="single" w:color="000000" w:sz="6" w:space="0"/>
          <w:right w:val="nil"/>
          <w:insideH w:val="nil"/>
          <w:insideV w:val="nil"/>
          <w:tl2br w:val="nil"/>
          <w:tr2bl w:val="nil"/>
        </w:tcBorders>
        <w:shd w:val="solid" w:color="008080" w:fill="FFFFFF"/>
      </w:tcPr>
    </w:tblStylePr>
    <w:tblStylePr w:type="firstCol">
      <w:rPr>
        <w:rFonts w:cs="微软雅黑"/>
      </w:rPr>
      <w:tblPr/>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rFonts w:cs="微软雅黑"/>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82">
    <w:name w:val="Table Elegant"/>
    <w:basedOn w:val="76"/>
    <w:semiHidden/>
    <w:qFormat/>
    <w:uiPriority w:val="99"/>
    <w:pPr>
      <w:widowControl w:val="0"/>
      <w:spacing w:after="200" w:line="276" w:lineRule="auto"/>
    </w:pPr>
    <w:rPr>
      <w:rFonts w:cs="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blStylePr w:type="firstRow">
      <w:rPr>
        <w:rFonts w:cs="微软雅黑"/>
        <w:caps/>
        <w:color w:val="auto"/>
      </w:rPr>
      <w:tblPr/>
      <w:tcPr>
        <w:tcBorders>
          <w:top w:val="nil"/>
          <w:left w:val="nil"/>
          <w:bottom w:val="nil"/>
          <w:right w:val="nil"/>
          <w:insideH w:val="nil"/>
          <w:insideV w:val="nil"/>
          <w:tl2br w:val="nil"/>
          <w:tr2bl w:val="nil"/>
        </w:tcBorders>
      </w:tcPr>
    </w:tblStylePr>
  </w:style>
  <w:style w:type="table" w:styleId="83">
    <w:name w:val="Table Classic 1"/>
    <w:basedOn w:val="76"/>
    <w:semiHidden/>
    <w:qFormat/>
    <w:uiPriority w:val="99"/>
    <w:pPr>
      <w:widowControl w:val="0"/>
      <w:spacing w:after="200" w:line="276" w:lineRule="auto"/>
    </w:pPr>
    <w:rPr>
      <w:rFonts w:cs="Calibri"/>
    </w:rPr>
    <w:tblPr>
      <w:tblBorders>
        <w:top w:val="single" w:color="000000" w:sz="12" w:space="0"/>
        <w:bottom w:val="single" w:color="000000" w:sz="12" w:space="0"/>
      </w:tblBorders>
    </w:tblPr>
    <w:tblStylePr w:type="firstRow">
      <w:rPr>
        <w:rFonts w:cs="微软雅黑"/>
        <w:i/>
        <w:iCs/>
      </w:rPr>
      <w:tblPr/>
      <w:tcPr>
        <w:tcBorders>
          <w:top w:val="nil"/>
          <w:left w:val="nil"/>
          <w:bottom w:val="single" w:color="000000" w:sz="6" w:space="0"/>
          <w:right w:val="nil"/>
          <w:insideH w:val="nil"/>
          <w:insideV w:val="nil"/>
          <w:tl2br w:val="nil"/>
          <w:tr2bl w:val="nil"/>
        </w:tcBorders>
      </w:tcPr>
    </w:tblStylePr>
    <w:tblStylePr w:type="lastRow">
      <w:rPr>
        <w:rFonts w:cs="微软雅黑"/>
        <w:color w:val="auto"/>
      </w:rPr>
      <w:tblPr/>
      <w:tcPr>
        <w:tcBorders>
          <w:top w:val="single" w:color="000000" w:sz="6" w:space="0"/>
          <w:left w:val="nil"/>
          <w:bottom w:val="nil"/>
          <w:right w:val="nil"/>
          <w:insideH w:val="nil"/>
          <w:insideV w:val="nil"/>
          <w:tl2br w:val="nil"/>
          <w:tr2bl w:val="nil"/>
        </w:tcBorders>
      </w:tcPr>
    </w:tblStylePr>
    <w:tblStylePr w:type="firstCol">
      <w:rPr>
        <w:rFonts w:cs="微软雅黑"/>
      </w:rPr>
      <w:tblPr/>
      <w:tcPr>
        <w:tcBorders>
          <w:top w:val="nil"/>
          <w:left w:val="nil"/>
          <w:bottom w:val="nil"/>
          <w:right w:val="single" w:color="000000" w:sz="6" w:space="0"/>
          <w:insideH w:val="nil"/>
          <w:insideV w:val="nil"/>
          <w:tl2br w:val="nil"/>
          <w:tr2bl w:val="nil"/>
        </w:tcBorders>
      </w:tcPr>
    </w:tblStylePr>
    <w:tblStylePr w:type="neCell">
      <w:rPr>
        <w:rFonts w:cs="微软雅黑"/>
        <w:b/>
        <w:bCs/>
        <w:i w:val="0"/>
        <w:iCs w:val="0"/>
      </w:rPr>
      <w:tblPr/>
      <w:tcPr>
        <w:tcBorders>
          <w:top w:val="nil"/>
          <w:left w:val="nil"/>
          <w:bottom w:val="nil"/>
          <w:right w:val="nil"/>
          <w:insideH w:val="nil"/>
          <w:insideV w:val="nil"/>
          <w:tl2br w:val="nil"/>
          <w:tr2bl w:val="nil"/>
        </w:tcBorders>
      </w:tcPr>
    </w:tblStylePr>
    <w:tblStylePr w:type="swCell">
      <w:rPr>
        <w:rFonts w:cs="微软雅黑"/>
        <w:b/>
        <w:bCs/>
      </w:rPr>
      <w:tblPr/>
      <w:tcPr>
        <w:tcBorders>
          <w:top w:val="nil"/>
          <w:left w:val="nil"/>
          <w:bottom w:val="nil"/>
          <w:right w:val="nil"/>
          <w:insideH w:val="nil"/>
          <w:insideV w:val="nil"/>
          <w:tl2br w:val="nil"/>
          <w:tr2bl w:val="nil"/>
        </w:tcBorders>
      </w:tcPr>
    </w:tblStylePr>
  </w:style>
  <w:style w:type="table" w:styleId="84">
    <w:name w:val="Table Classic 2"/>
    <w:basedOn w:val="76"/>
    <w:semiHidden/>
    <w:qFormat/>
    <w:uiPriority w:val="99"/>
    <w:pPr>
      <w:widowControl w:val="0"/>
      <w:spacing w:after="200" w:line="276" w:lineRule="auto"/>
    </w:pPr>
    <w:rPr>
      <w:rFonts w:cs="Calibri"/>
    </w:rPr>
    <w:tblPr>
      <w:tblBorders>
        <w:top w:val="single" w:color="000000" w:sz="12" w:space="0"/>
        <w:bottom w:val="single" w:color="000000" w:sz="12" w:space="0"/>
      </w:tblBorders>
    </w:tblPr>
    <w:tblStylePr w:type="firstRow">
      <w:rPr>
        <w:rFonts w:cs="微软雅黑"/>
        <w:color w:val="FFFFFF"/>
      </w:rPr>
      <w:tblPr/>
      <w:tcPr>
        <w:tcBorders>
          <w:top w:val="nil"/>
          <w:left w:val="nil"/>
          <w:bottom w:val="single" w:color="000000" w:sz="6" w:space="0"/>
          <w:right w:val="nil"/>
          <w:insideH w:val="nil"/>
          <w:insideV w:val="nil"/>
          <w:tl2br w:val="nil"/>
          <w:tr2bl w:val="nil"/>
        </w:tcBorders>
        <w:shd w:val="solid" w:color="800080" w:fill="FFFFFF"/>
      </w:tcPr>
    </w:tblStylePr>
    <w:tblStylePr w:type="lastRow">
      <w:rPr>
        <w:rFonts w:cs="微软雅黑"/>
      </w:rPr>
      <w:tblPr/>
      <w:tcPr>
        <w:tcBorders>
          <w:top w:val="single" w:color="000000" w:sz="6" w:space="0"/>
          <w:left w:val="nil"/>
          <w:bottom w:val="nil"/>
          <w:right w:val="nil"/>
          <w:insideH w:val="nil"/>
          <w:insideV w:val="nil"/>
          <w:tl2br w:val="nil"/>
          <w:tr2bl w:val="nil"/>
        </w:tcBorders>
      </w:tcPr>
    </w:tblStylePr>
    <w:tblStylePr w:type="firstCol">
      <w:rPr>
        <w:rFonts w:cs="微软雅黑"/>
        <w:b/>
        <w:bCs/>
      </w:rPr>
      <w:tblPr/>
      <w:tcPr>
        <w:tcBorders>
          <w:top w:val="nil"/>
          <w:left w:val="nil"/>
          <w:bottom w:val="nil"/>
          <w:right w:val="nil"/>
          <w:insideH w:val="nil"/>
          <w:insideV w:val="nil"/>
          <w:tl2br w:val="nil"/>
          <w:tr2bl w:val="nil"/>
        </w:tcBorders>
        <w:shd w:val="solid" w:color="C0C0C0" w:fill="FFFFFF"/>
      </w:tcPr>
    </w:tblStylePr>
    <w:tblStylePr w:type="neCell">
      <w:rPr>
        <w:rFonts w:cs="微软雅黑"/>
        <w:b/>
        <w:bCs/>
      </w:rPr>
      <w:tblPr/>
      <w:tcPr>
        <w:tcBorders>
          <w:top w:val="nil"/>
          <w:left w:val="nil"/>
          <w:bottom w:val="nil"/>
          <w:right w:val="nil"/>
          <w:insideH w:val="nil"/>
          <w:insideV w:val="nil"/>
          <w:tl2br w:val="nil"/>
          <w:tr2bl w:val="nil"/>
        </w:tcBorders>
      </w:tcPr>
    </w:tblStylePr>
    <w:tblStylePr w:type="nwCell">
      <w:rPr>
        <w:rFonts w:cs="微软雅黑"/>
      </w:rPr>
      <w:tblPr/>
      <w:tcPr>
        <w:tcBorders>
          <w:top w:val="nil"/>
          <w:left w:val="nil"/>
          <w:bottom w:val="nil"/>
          <w:right w:val="nil"/>
          <w:insideH w:val="nil"/>
          <w:insideV w:val="nil"/>
          <w:tl2br w:val="nil"/>
          <w:tr2bl w:val="nil"/>
        </w:tcBorders>
        <w:shd w:val="solid" w:color="800080" w:fill="FFFFFF"/>
      </w:tcPr>
    </w:tblStylePr>
    <w:tblStylePr w:type="swCell">
      <w:rPr>
        <w:rFonts w:cs="微软雅黑"/>
        <w:color w:val="000080"/>
      </w:rPr>
      <w:tblPr/>
      <w:tcPr>
        <w:tcBorders>
          <w:top w:val="nil"/>
          <w:left w:val="nil"/>
          <w:bottom w:val="nil"/>
          <w:right w:val="nil"/>
          <w:insideH w:val="nil"/>
          <w:insideV w:val="nil"/>
          <w:tl2br w:val="nil"/>
          <w:tr2bl w:val="nil"/>
        </w:tcBorders>
      </w:tcPr>
    </w:tblStylePr>
  </w:style>
  <w:style w:type="table" w:styleId="85">
    <w:name w:val="Table Classic 3"/>
    <w:basedOn w:val="76"/>
    <w:semiHidden/>
    <w:qFormat/>
    <w:uiPriority w:val="99"/>
    <w:pPr>
      <w:widowControl w:val="0"/>
      <w:spacing w:after="200" w:line="276" w:lineRule="auto"/>
    </w:pPr>
    <w:rPr>
      <w:rFonts w:cs="Calibri"/>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rFonts w:cs="微软雅黑"/>
        <w:b/>
        <w:bCs/>
        <w:i/>
        <w:iCs/>
        <w:color w:val="FFFFFF"/>
      </w:rPr>
      <w:tblPr/>
      <w:tcPr>
        <w:tcBorders>
          <w:top w:val="nil"/>
          <w:left w:val="nil"/>
          <w:bottom w:val="single" w:color="000000" w:sz="6" w:space="0"/>
          <w:right w:val="nil"/>
          <w:insideH w:val="nil"/>
          <w:insideV w:val="nil"/>
          <w:tl2br w:val="nil"/>
          <w:tr2bl w:val="nil"/>
        </w:tcBorders>
        <w:shd w:val="solid" w:color="000080" w:fill="FFFFFF"/>
      </w:tcPr>
    </w:tblStylePr>
    <w:tblStylePr w:type="lastRow">
      <w:rPr>
        <w:rFonts w:cs="微软雅黑"/>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rFonts w:cs="微软雅黑"/>
        <w:b/>
        <w:bCs/>
        <w:color w:val="000000"/>
      </w:rPr>
      <w:tblPr/>
      <w:tcPr>
        <w:tcBorders>
          <w:top w:val="nil"/>
          <w:left w:val="nil"/>
          <w:bottom w:val="nil"/>
          <w:right w:val="nil"/>
          <w:insideH w:val="nil"/>
          <w:insideV w:val="nil"/>
          <w:tl2br w:val="nil"/>
          <w:tr2bl w:val="nil"/>
        </w:tcBorders>
      </w:tcPr>
    </w:tblStylePr>
  </w:style>
  <w:style w:type="table" w:styleId="86">
    <w:name w:val="Table Classic 4"/>
    <w:basedOn w:val="76"/>
    <w:semiHidden/>
    <w:qFormat/>
    <w:uiPriority w:val="99"/>
    <w:pPr>
      <w:widowControl w:val="0"/>
      <w:spacing w:after="200" w:line="276" w:lineRule="auto"/>
    </w:pPr>
    <w:rPr>
      <w:rFonts w:cs="Calibri"/>
    </w:rPr>
    <w:tblPr>
      <w:tblBorders>
        <w:top w:val="single" w:color="000000" w:sz="12" w:space="0"/>
        <w:left w:val="single" w:color="000000" w:sz="6" w:space="0"/>
        <w:bottom w:val="single" w:color="000000" w:sz="12" w:space="0"/>
        <w:right w:val="single" w:color="000000" w:sz="6" w:space="0"/>
      </w:tblBorders>
    </w:tblPr>
    <w:tblStylePr w:type="firstRow">
      <w:rPr>
        <w:rFonts w:cs="微软雅黑"/>
        <w:b/>
        <w:bCs/>
        <w:i/>
        <w:iCs/>
        <w:color w:val="FFFFFF"/>
      </w:rPr>
      <w:tblPr/>
      <w:tcPr>
        <w:tcBorders>
          <w:top w:val="nil"/>
          <w:left w:val="nil"/>
          <w:bottom w:val="single" w:color="000000" w:sz="6" w:space="0"/>
          <w:right w:val="nil"/>
          <w:insideH w:val="nil"/>
          <w:insideV w:val="nil"/>
          <w:tl2br w:val="nil"/>
          <w:tr2bl w:val="nil"/>
        </w:tcBorders>
        <w:shd w:val="pct50" w:color="000080" w:fill="FFFFFF"/>
      </w:tcPr>
    </w:tblStylePr>
    <w:tblStylePr w:type="lastRow">
      <w:rPr>
        <w:rFonts w:cs="微软雅黑"/>
        <w:color w:val="000080"/>
      </w:rPr>
      <w:tblPr/>
      <w:tcPr>
        <w:tcBorders>
          <w:top w:val="nil"/>
          <w:left w:val="nil"/>
          <w:bottom w:val="single" w:color="000000" w:sz="6" w:space="0"/>
          <w:right w:val="nil"/>
          <w:insideH w:val="nil"/>
          <w:insideV w:val="nil"/>
          <w:tl2br w:val="nil"/>
          <w:tr2bl w:val="nil"/>
        </w:tcBorders>
        <w:shd w:val="pct50" w:color="000000" w:fill="FFFFFF"/>
      </w:tcPr>
    </w:tblStylePr>
    <w:tblStylePr w:type="firstCol">
      <w:rPr>
        <w:rFonts w:cs="微软雅黑"/>
        <w:b/>
        <w:bCs/>
      </w:rPr>
      <w:tblPr/>
      <w:tcPr>
        <w:tcBorders>
          <w:top w:val="nil"/>
          <w:left w:val="nil"/>
          <w:bottom w:val="nil"/>
          <w:right w:val="nil"/>
          <w:insideH w:val="nil"/>
          <w:insideV w:val="nil"/>
          <w:tl2br w:val="nil"/>
          <w:tr2bl w:val="nil"/>
        </w:tcBorders>
      </w:tcPr>
    </w:tblStylePr>
    <w:tblStylePr w:type="nwCell">
      <w:rPr>
        <w:rFonts w:cs="微软雅黑"/>
        <w:b/>
        <w:bCs/>
      </w:rPr>
      <w:tblPr/>
      <w:tcPr>
        <w:tcBorders>
          <w:top w:val="nil"/>
          <w:left w:val="nil"/>
          <w:bottom w:val="nil"/>
          <w:right w:val="nil"/>
          <w:insideH w:val="nil"/>
          <w:insideV w:val="nil"/>
          <w:tl2br w:val="nil"/>
          <w:tr2bl w:val="nil"/>
        </w:tcBorders>
      </w:tcPr>
    </w:tblStylePr>
    <w:tblStylePr w:type="swCell">
      <w:rPr>
        <w:rFonts w:cs="微软雅黑"/>
        <w:color w:val="000080"/>
      </w:rPr>
      <w:tblPr/>
      <w:tcPr>
        <w:tcBorders>
          <w:top w:val="nil"/>
          <w:left w:val="nil"/>
          <w:bottom w:val="nil"/>
          <w:right w:val="nil"/>
          <w:insideH w:val="nil"/>
          <w:insideV w:val="nil"/>
          <w:tl2br w:val="nil"/>
          <w:tr2bl w:val="nil"/>
        </w:tcBorders>
      </w:tcPr>
    </w:tblStylePr>
  </w:style>
  <w:style w:type="table" w:styleId="87">
    <w:name w:val="Table Simple 1"/>
    <w:basedOn w:val="76"/>
    <w:semiHidden/>
    <w:qFormat/>
    <w:uiPriority w:val="99"/>
    <w:pPr>
      <w:widowControl w:val="0"/>
      <w:spacing w:after="200" w:line="276" w:lineRule="auto"/>
    </w:pPr>
    <w:rPr>
      <w:rFonts w:cs="Calibri"/>
    </w:rPr>
    <w:tblPr>
      <w:tblBorders>
        <w:top w:val="single" w:color="008000" w:sz="12" w:space="0"/>
        <w:bottom w:val="single" w:color="008000" w:sz="12" w:space="0"/>
      </w:tblBorders>
    </w:tblPr>
    <w:tblStylePr w:type="firstRow">
      <w:rPr>
        <w:rFonts w:cs="微软雅黑"/>
      </w:rPr>
      <w:tblPr/>
      <w:tcPr>
        <w:tcBorders>
          <w:top w:val="nil"/>
          <w:left w:val="nil"/>
          <w:bottom w:val="single" w:color="008000" w:sz="6" w:space="0"/>
          <w:right w:val="nil"/>
          <w:insideH w:val="nil"/>
          <w:insideV w:val="nil"/>
          <w:tl2br w:val="nil"/>
          <w:tr2bl w:val="nil"/>
        </w:tcBorders>
      </w:tcPr>
    </w:tblStylePr>
    <w:tblStylePr w:type="lastRow">
      <w:rPr>
        <w:rFonts w:cs="微软雅黑"/>
      </w:rPr>
      <w:tblPr/>
      <w:tcPr>
        <w:tcBorders>
          <w:top w:val="single" w:color="008000" w:sz="6" w:space="0"/>
          <w:left w:val="nil"/>
          <w:bottom w:val="nil"/>
          <w:right w:val="nil"/>
          <w:insideH w:val="nil"/>
          <w:insideV w:val="nil"/>
          <w:tl2br w:val="nil"/>
          <w:tr2bl w:val="nil"/>
        </w:tcBorders>
      </w:tcPr>
    </w:tblStylePr>
  </w:style>
  <w:style w:type="table" w:styleId="88">
    <w:name w:val="Table Simple 2"/>
    <w:basedOn w:val="76"/>
    <w:semiHidden/>
    <w:qFormat/>
    <w:uiPriority w:val="99"/>
    <w:pPr>
      <w:widowControl w:val="0"/>
      <w:spacing w:after="200" w:line="276" w:lineRule="auto"/>
    </w:pPr>
    <w:rPr>
      <w:rFonts w:cs="Calibri"/>
    </w:rPr>
    <w:tblPr/>
    <w:tblStylePr w:type="firstRow">
      <w:rPr>
        <w:rFonts w:cs="微软雅黑"/>
        <w:b/>
        <w:bCs/>
      </w:rPr>
      <w:tblPr/>
      <w:tcPr>
        <w:tcBorders>
          <w:top w:val="nil"/>
          <w:left w:val="nil"/>
          <w:bottom w:val="single" w:color="000000" w:sz="12" w:space="0"/>
          <w:right w:val="nil"/>
          <w:insideH w:val="nil"/>
          <w:insideV w:val="nil"/>
          <w:tl2br w:val="nil"/>
          <w:tr2bl w:val="nil"/>
        </w:tcBorders>
      </w:tcPr>
    </w:tblStylePr>
    <w:tblStylePr w:type="lastRow">
      <w:rPr>
        <w:rFonts w:cs="微软雅黑"/>
        <w:b/>
        <w:bCs/>
        <w:color w:val="auto"/>
      </w:rPr>
      <w:tblPr/>
      <w:tcPr>
        <w:tcBorders>
          <w:top w:val="single" w:color="000000" w:sz="6" w:space="0"/>
          <w:left w:val="nil"/>
          <w:bottom w:val="nil"/>
          <w:right w:val="nil"/>
          <w:insideH w:val="nil"/>
          <w:insideV w:val="nil"/>
          <w:tl2br w:val="nil"/>
          <w:tr2bl w:val="nil"/>
        </w:tcBorders>
      </w:tcPr>
    </w:tblStylePr>
    <w:tblStylePr w:type="firstCol">
      <w:rPr>
        <w:rFonts w:cs="微软雅黑"/>
        <w:b/>
        <w:bCs/>
      </w:rPr>
      <w:tblPr/>
      <w:tcPr>
        <w:tcBorders>
          <w:top w:val="nil"/>
          <w:left w:val="nil"/>
          <w:bottom w:val="nil"/>
          <w:right w:val="single" w:color="000000" w:sz="12" w:space="0"/>
          <w:insideH w:val="nil"/>
          <w:insideV w:val="nil"/>
          <w:tl2br w:val="nil"/>
          <w:tr2bl w:val="nil"/>
        </w:tcBorders>
      </w:tcPr>
    </w:tblStylePr>
    <w:tblStylePr w:type="lastCol">
      <w:rPr>
        <w:rFonts w:cs="微软雅黑"/>
        <w:b/>
        <w:bCs/>
      </w:rPr>
      <w:tblPr/>
      <w:tcPr>
        <w:tcBorders>
          <w:top w:val="nil"/>
          <w:left w:val="single" w:color="000000" w:sz="6" w:space="0"/>
          <w:bottom w:val="nil"/>
          <w:right w:val="nil"/>
          <w:insideH w:val="nil"/>
          <w:insideV w:val="nil"/>
          <w:tl2br w:val="nil"/>
          <w:tr2bl w:val="nil"/>
        </w:tcBorders>
      </w:tcPr>
    </w:tblStylePr>
    <w:tblStylePr w:type="neCell">
      <w:rPr>
        <w:rFonts w:cs="微软雅黑"/>
        <w:b/>
        <w:bCs/>
      </w:rPr>
      <w:tblPr/>
      <w:tcPr>
        <w:tcBorders>
          <w:top w:val="nil"/>
          <w:left w:val="nil"/>
          <w:bottom w:val="nil"/>
          <w:right w:val="nil"/>
          <w:insideH w:val="nil"/>
          <w:insideV w:val="nil"/>
          <w:tl2br w:val="nil"/>
          <w:tr2bl w:val="nil"/>
        </w:tcBorders>
      </w:tcPr>
    </w:tblStylePr>
    <w:tblStylePr w:type="swCell">
      <w:rPr>
        <w:rFonts w:cs="微软雅黑"/>
        <w:b/>
        <w:bCs/>
      </w:rPr>
      <w:tblPr/>
      <w:tcPr>
        <w:tcBorders>
          <w:top w:val="nil"/>
          <w:left w:val="nil"/>
          <w:bottom w:val="nil"/>
          <w:right w:val="nil"/>
          <w:insideH w:val="nil"/>
          <w:insideV w:val="nil"/>
          <w:tl2br w:val="nil"/>
          <w:tr2bl w:val="nil"/>
        </w:tcBorders>
      </w:tcPr>
    </w:tblStylePr>
  </w:style>
  <w:style w:type="table" w:styleId="89">
    <w:name w:val="Table Simple 3"/>
    <w:basedOn w:val="76"/>
    <w:semiHidden/>
    <w:qFormat/>
    <w:uiPriority w:val="99"/>
    <w:pPr>
      <w:widowControl w:val="0"/>
      <w:spacing w:after="200" w:line="276" w:lineRule="auto"/>
    </w:pPr>
    <w:rPr>
      <w:rFonts w:cs="Calibri"/>
    </w:rPr>
    <w:tblPr>
      <w:tblBorders>
        <w:top w:val="single" w:color="000000" w:sz="12" w:space="0"/>
        <w:left w:val="single" w:color="000000" w:sz="12" w:space="0"/>
        <w:bottom w:val="single" w:color="000000" w:sz="12" w:space="0"/>
        <w:right w:val="single" w:color="000000" w:sz="12" w:space="0"/>
      </w:tblBorders>
    </w:tblPr>
    <w:tblStylePr w:type="firstRow">
      <w:rPr>
        <w:rFonts w:cs="微软雅黑"/>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0">
    <w:name w:val="Table Subtle 1"/>
    <w:basedOn w:val="76"/>
    <w:semiHidden/>
    <w:qFormat/>
    <w:uiPriority w:val="99"/>
    <w:pPr>
      <w:widowControl w:val="0"/>
      <w:spacing w:after="200" w:line="276" w:lineRule="auto"/>
    </w:pPr>
    <w:rPr>
      <w:rFonts w:cs="Calibri"/>
    </w:rPr>
    <w:tblPr>
      <w:tblStyleRowBandSize w:val="1"/>
    </w:tblPr>
    <w:tblStylePr w:type="firstRow">
      <w:rPr>
        <w:rFonts w:cs="微软雅黑"/>
      </w:rPr>
      <w:tblPr/>
      <w:tcPr>
        <w:tcBorders>
          <w:top w:val="single" w:color="000000" w:sz="6" w:space="0"/>
          <w:left w:val="nil"/>
          <w:bottom w:val="single" w:color="000000" w:sz="12" w:space="0"/>
          <w:right w:val="nil"/>
          <w:insideH w:val="nil"/>
          <w:insideV w:val="nil"/>
          <w:tl2br w:val="nil"/>
          <w:tr2bl w:val="nil"/>
        </w:tcBorders>
      </w:tcPr>
    </w:tblStylePr>
    <w:tblStylePr w:type="lastRow">
      <w:rPr>
        <w:rFonts w:cs="微软雅黑"/>
      </w:rPr>
      <w:tblPr/>
      <w:tcPr>
        <w:tcBorders>
          <w:top w:val="single" w:color="000000" w:sz="12" w:space="0"/>
          <w:left w:val="nil"/>
          <w:bottom w:val="nil"/>
          <w:right w:val="nil"/>
          <w:insideH w:val="nil"/>
          <w:insideV w:val="nil"/>
          <w:tl2br w:val="nil"/>
          <w:tr2bl w:val="nil"/>
        </w:tcBorders>
        <w:shd w:val="pct25" w:color="800080" w:fill="FFFFFF"/>
      </w:tcPr>
    </w:tblStylePr>
    <w:tblStylePr w:type="firstCol">
      <w:rPr>
        <w:rFonts w:cs="微软雅黑"/>
      </w:rPr>
      <w:tblPr/>
      <w:tcPr>
        <w:tcBorders>
          <w:top w:val="nil"/>
          <w:left w:val="nil"/>
          <w:bottom w:val="nil"/>
          <w:right w:val="single" w:color="000000" w:sz="12" w:space="0"/>
          <w:insideH w:val="nil"/>
          <w:insideV w:val="nil"/>
          <w:tl2br w:val="nil"/>
          <w:tr2bl w:val="nil"/>
        </w:tcBorders>
      </w:tcPr>
    </w:tblStylePr>
    <w:tblStylePr w:type="lastCol">
      <w:rPr>
        <w:rFonts w:cs="微软雅黑"/>
      </w:rPr>
      <w:tblPr/>
      <w:tcPr>
        <w:tcBorders>
          <w:top w:val="nil"/>
          <w:left w:val="single" w:color="000000" w:sz="12" w:space="0"/>
          <w:bottom w:val="nil"/>
          <w:right w:val="nil"/>
          <w:insideH w:val="nil"/>
          <w:insideV w:val="nil"/>
          <w:tl2br w:val="nil"/>
          <w:tr2bl w:val="nil"/>
        </w:tcBorders>
      </w:tcPr>
    </w:tblStylePr>
    <w:tblStylePr w:type="band1Horz">
      <w:rPr>
        <w:rFonts w:cs="微软雅黑"/>
      </w:rPr>
      <w:tblPr/>
      <w:tcPr>
        <w:tcBorders>
          <w:top w:val="nil"/>
          <w:left w:val="nil"/>
          <w:bottom w:val="single" w:color="000000" w:sz="6" w:space="0"/>
          <w:right w:val="nil"/>
          <w:insideH w:val="nil"/>
          <w:insideV w:val="nil"/>
          <w:tl2br w:val="nil"/>
          <w:tr2bl w:val="nil"/>
        </w:tcBorders>
        <w:shd w:val="pct25" w:color="808000" w:fill="FFFFFF"/>
      </w:tcPr>
    </w:tblStylePr>
    <w:tblStylePr w:type="neCell">
      <w:rPr>
        <w:rFonts w:cs="微软雅黑"/>
        <w:b/>
        <w:bCs/>
      </w:rPr>
      <w:tblPr/>
      <w:tcPr>
        <w:tcBorders>
          <w:top w:val="nil"/>
          <w:left w:val="nil"/>
          <w:bottom w:val="nil"/>
          <w:right w:val="nil"/>
          <w:insideH w:val="nil"/>
          <w:insideV w:val="nil"/>
          <w:tl2br w:val="nil"/>
          <w:tr2bl w:val="nil"/>
        </w:tcBorders>
      </w:tcPr>
    </w:tblStylePr>
    <w:tblStylePr w:type="swCell">
      <w:rPr>
        <w:rFonts w:cs="微软雅黑"/>
        <w:b/>
        <w:bCs/>
      </w:rPr>
      <w:tblPr/>
      <w:tcPr>
        <w:tcBorders>
          <w:top w:val="nil"/>
          <w:left w:val="nil"/>
          <w:bottom w:val="nil"/>
          <w:right w:val="nil"/>
          <w:insideH w:val="nil"/>
          <w:insideV w:val="nil"/>
          <w:tl2br w:val="nil"/>
          <w:tr2bl w:val="nil"/>
        </w:tcBorders>
      </w:tcPr>
    </w:tblStylePr>
  </w:style>
  <w:style w:type="table" w:styleId="91">
    <w:name w:val="Table Subtle 2"/>
    <w:basedOn w:val="76"/>
    <w:semiHidden/>
    <w:qFormat/>
    <w:uiPriority w:val="99"/>
    <w:pPr>
      <w:widowControl w:val="0"/>
      <w:spacing w:after="200" w:line="276" w:lineRule="auto"/>
    </w:pPr>
    <w:rPr>
      <w:rFonts w:cs="Calibri"/>
    </w:rPr>
    <w:tblPr>
      <w:tblBorders>
        <w:left w:val="single" w:color="000000" w:sz="6" w:space="0"/>
        <w:right w:val="single" w:color="000000" w:sz="6" w:space="0"/>
      </w:tblBorders>
    </w:tblPr>
    <w:tblStylePr w:type="firstRow">
      <w:rPr>
        <w:rFonts w:cs="微软雅黑"/>
      </w:rPr>
      <w:tblPr/>
      <w:tcPr>
        <w:tcBorders>
          <w:top w:val="nil"/>
          <w:left w:val="nil"/>
          <w:bottom w:val="single" w:color="000000" w:sz="12" w:space="0"/>
          <w:right w:val="nil"/>
          <w:insideH w:val="nil"/>
          <w:insideV w:val="nil"/>
          <w:tl2br w:val="nil"/>
          <w:tr2bl w:val="nil"/>
        </w:tcBorders>
      </w:tcPr>
    </w:tblStylePr>
    <w:tblStylePr w:type="lastRow">
      <w:rPr>
        <w:rFonts w:cs="微软雅黑"/>
      </w:rPr>
      <w:tblPr/>
      <w:tcPr>
        <w:tcBorders>
          <w:top w:val="single" w:color="000000" w:sz="12" w:space="0"/>
          <w:left w:val="nil"/>
          <w:bottom w:val="nil"/>
          <w:right w:val="nil"/>
          <w:insideH w:val="nil"/>
          <w:insideV w:val="nil"/>
          <w:tl2br w:val="nil"/>
          <w:tr2bl w:val="nil"/>
        </w:tcBorders>
      </w:tcPr>
    </w:tblStylePr>
    <w:tblStylePr w:type="firstCol">
      <w:rPr>
        <w:rFonts w:cs="微软雅黑"/>
      </w:rPr>
      <w:tblPr/>
      <w:tcPr>
        <w:tcBorders>
          <w:top w:val="nil"/>
          <w:left w:val="nil"/>
          <w:bottom w:val="nil"/>
          <w:right w:val="single" w:color="000000" w:sz="12" w:space="0"/>
          <w:insideH w:val="nil"/>
          <w:insideV w:val="nil"/>
          <w:tl2br w:val="nil"/>
          <w:tr2bl w:val="nil"/>
        </w:tcBorders>
        <w:shd w:val="pct25" w:color="008000" w:fill="FFFFFF"/>
      </w:tcPr>
    </w:tblStylePr>
    <w:tblStylePr w:type="lastCol">
      <w:rPr>
        <w:rFonts w:cs="微软雅黑"/>
      </w:rPr>
      <w:tblPr/>
      <w:tcPr>
        <w:tcBorders>
          <w:top w:val="nil"/>
          <w:left w:val="single" w:color="000000" w:sz="12" w:space="0"/>
          <w:bottom w:val="nil"/>
          <w:right w:val="nil"/>
          <w:insideH w:val="nil"/>
          <w:insideV w:val="nil"/>
          <w:tl2br w:val="nil"/>
          <w:tr2bl w:val="nil"/>
        </w:tcBorders>
        <w:shd w:val="pct25" w:color="808000" w:fill="FFFFFF"/>
      </w:tcPr>
    </w:tblStylePr>
    <w:tblStylePr w:type="neCell">
      <w:rPr>
        <w:rFonts w:cs="微软雅黑"/>
        <w:b/>
        <w:bCs/>
      </w:rPr>
      <w:tblPr/>
      <w:tcPr>
        <w:tcBorders>
          <w:top w:val="nil"/>
          <w:left w:val="nil"/>
          <w:bottom w:val="nil"/>
          <w:right w:val="nil"/>
          <w:insideH w:val="nil"/>
          <w:insideV w:val="nil"/>
          <w:tl2br w:val="nil"/>
          <w:tr2bl w:val="nil"/>
        </w:tcBorders>
      </w:tcPr>
    </w:tblStylePr>
    <w:tblStylePr w:type="swCell">
      <w:rPr>
        <w:rFonts w:cs="微软雅黑"/>
        <w:b/>
        <w:bCs/>
      </w:rPr>
      <w:tblPr/>
      <w:tcPr>
        <w:tcBorders>
          <w:top w:val="nil"/>
          <w:left w:val="nil"/>
          <w:bottom w:val="nil"/>
          <w:right w:val="nil"/>
          <w:insideH w:val="nil"/>
          <w:insideV w:val="nil"/>
          <w:tl2br w:val="nil"/>
          <w:tr2bl w:val="nil"/>
        </w:tcBorders>
      </w:tcPr>
    </w:tblStylePr>
  </w:style>
  <w:style w:type="table" w:styleId="92">
    <w:name w:val="Table 3D effects 1"/>
    <w:basedOn w:val="76"/>
    <w:semiHidden/>
    <w:qFormat/>
    <w:uiPriority w:val="99"/>
    <w:pPr>
      <w:widowControl w:val="0"/>
      <w:spacing w:after="200" w:line="276" w:lineRule="auto"/>
    </w:pPr>
    <w:rPr>
      <w:rFonts w:cs="Calibri"/>
    </w:rPr>
    <w:tblPr/>
    <w:tcPr>
      <w:shd w:val="solid" w:color="C0C0C0" w:fill="FFFFFF"/>
    </w:tcPr>
    <w:tblStylePr w:type="firstRow">
      <w:rPr>
        <w:rFonts w:cs="微软雅黑"/>
        <w:b/>
        <w:bCs/>
        <w:color w:val="800080"/>
      </w:rPr>
      <w:tblPr/>
      <w:tcPr>
        <w:tcBorders>
          <w:top w:val="nil"/>
          <w:left w:val="nil"/>
          <w:bottom w:val="single" w:color="808080" w:sz="6" w:space="0"/>
          <w:right w:val="nil"/>
          <w:insideH w:val="nil"/>
          <w:insideV w:val="nil"/>
          <w:tl2br w:val="nil"/>
          <w:tr2bl w:val="nil"/>
        </w:tcBorders>
      </w:tcPr>
    </w:tblStylePr>
    <w:tblStylePr w:type="lastRow">
      <w:rPr>
        <w:rFonts w:cs="微软雅黑"/>
      </w:rPr>
      <w:tblPr/>
      <w:tcPr>
        <w:tcBorders>
          <w:top w:val="single" w:color="FFFFFF" w:sz="6" w:space="0"/>
          <w:left w:val="nil"/>
          <w:bottom w:val="nil"/>
          <w:right w:val="nil"/>
          <w:insideH w:val="nil"/>
          <w:insideV w:val="nil"/>
          <w:tl2br w:val="nil"/>
          <w:tr2bl w:val="nil"/>
        </w:tcBorders>
      </w:tcPr>
    </w:tblStylePr>
    <w:tblStylePr w:type="firstCol">
      <w:rPr>
        <w:rFonts w:cs="微软雅黑"/>
        <w:b/>
        <w:bCs/>
      </w:rPr>
      <w:tblPr/>
      <w:tcPr>
        <w:tcBorders>
          <w:top w:val="nil"/>
          <w:left w:val="nil"/>
          <w:bottom w:val="nil"/>
          <w:right w:val="single" w:color="808080" w:sz="6" w:space="0"/>
          <w:insideH w:val="nil"/>
          <w:insideV w:val="nil"/>
          <w:tl2br w:val="nil"/>
          <w:tr2bl w:val="nil"/>
        </w:tcBorders>
      </w:tcPr>
    </w:tblStylePr>
    <w:tblStylePr w:type="lastCol">
      <w:rPr>
        <w:rFonts w:cs="微软雅黑"/>
      </w:rPr>
      <w:tblPr/>
      <w:tcPr>
        <w:tcBorders>
          <w:top w:val="nil"/>
          <w:left w:val="single" w:color="FFFFFF" w:sz="6" w:space="0"/>
          <w:bottom w:val="nil"/>
          <w:right w:val="nil"/>
          <w:insideH w:val="nil"/>
          <w:insideV w:val="nil"/>
          <w:tl2br w:val="nil"/>
          <w:tr2bl w:val="nil"/>
        </w:tcBorders>
      </w:tcPr>
    </w:tblStylePr>
    <w:tblStylePr w:type="neCell">
      <w:rPr>
        <w:rFonts w:cs="微软雅黑"/>
      </w:rPr>
      <w:tblPr/>
      <w:tcPr>
        <w:tcBorders>
          <w:top w:val="nil"/>
          <w:left w:val="nil"/>
          <w:bottom w:val="nil"/>
          <w:right w:val="nil"/>
          <w:insideH w:val="nil"/>
          <w:insideV w:val="nil"/>
          <w:tl2br w:val="nil"/>
          <w:tr2bl w:val="nil"/>
        </w:tcBorders>
      </w:tcPr>
    </w:tblStylePr>
    <w:tblStylePr w:type="nwCell">
      <w:rPr>
        <w:rFonts w:cs="微软雅黑"/>
      </w:rPr>
      <w:tblPr/>
      <w:tcPr>
        <w:tcBorders>
          <w:top w:val="nil"/>
          <w:left w:val="nil"/>
          <w:bottom w:val="nil"/>
          <w:right w:val="nil"/>
          <w:insideH w:val="nil"/>
          <w:insideV w:val="nil"/>
          <w:tl2br w:val="nil"/>
          <w:tr2bl w:val="nil"/>
        </w:tcBorders>
      </w:tcPr>
    </w:tblStylePr>
    <w:tblStylePr w:type="seCell">
      <w:rPr>
        <w:rFonts w:cs="微软雅黑"/>
      </w:rPr>
      <w:tblPr/>
      <w:tcPr>
        <w:tcBorders>
          <w:top w:val="nil"/>
          <w:left w:val="nil"/>
          <w:bottom w:val="nil"/>
          <w:right w:val="nil"/>
          <w:insideH w:val="nil"/>
          <w:insideV w:val="nil"/>
          <w:tl2br w:val="nil"/>
          <w:tr2bl w:val="nil"/>
        </w:tcBorders>
      </w:tcPr>
    </w:tblStylePr>
    <w:tblStylePr w:type="swCell">
      <w:rPr>
        <w:rFonts w:cs="微软雅黑"/>
        <w:color w:val="000080"/>
      </w:rPr>
      <w:tblPr/>
      <w:tcPr>
        <w:tcBorders>
          <w:top w:val="nil"/>
          <w:left w:val="nil"/>
          <w:bottom w:val="nil"/>
          <w:right w:val="nil"/>
          <w:insideH w:val="nil"/>
          <w:insideV w:val="nil"/>
          <w:tl2br w:val="nil"/>
          <w:tr2bl w:val="nil"/>
        </w:tcBorders>
      </w:tcPr>
    </w:tblStylePr>
  </w:style>
  <w:style w:type="table" w:styleId="93">
    <w:name w:val="Table 3D effects 2"/>
    <w:basedOn w:val="76"/>
    <w:semiHidden/>
    <w:qFormat/>
    <w:uiPriority w:val="99"/>
    <w:pPr>
      <w:widowControl w:val="0"/>
      <w:spacing w:after="200" w:line="276" w:lineRule="auto"/>
    </w:pPr>
    <w:rPr>
      <w:rFonts w:cs="Calibri"/>
    </w:rPr>
    <w:tblPr>
      <w:tblStyleRowBandSize w:val="1"/>
    </w:tblPr>
    <w:tcPr>
      <w:shd w:val="solid" w:color="C0C0C0" w:fill="FFFFFF"/>
    </w:tcPr>
    <w:tblStylePr w:type="firstRow">
      <w:rPr>
        <w:rFonts w:cs="微软雅黑"/>
        <w:b/>
        <w:bCs/>
      </w:rPr>
      <w:tblPr/>
      <w:tcPr>
        <w:tcBorders>
          <w:top w:val="nil"/>
          <w:left w:val="nil"/>
          <w:bottom w:val="nil"/>
          <w:right w:val="nil"/>
          <w:insideH w:val="nil"/>
          <w:insideV w:val="nil"/>
          <w:tl2br w:val="nil"/>
          <w:tr2bl w:val="nil"/>
        </w:tcBorders>
      </w:tcPr>
    </w:tblStylePr>
    <w:tblStylePr w:type="firstCol">
      <w:rPr>
        <w:rFonts w:cs="微软雅黑"/>
      </w:rPr>
      <w:tblPr/>
      <w:tcPr>
        <w:tcBorders>
          <w:top w:val="nil"/>
          <w:left w:val="nil"/>
          <w:bottom w:val="nil"/>
          <w:right w:val="single" w:color="808080" w:sz="6" w:space="0"/>
          <w:insideH w:val="nil"/>
          <w:insideV w:val="nil"/>
          <w:tl2br w:val="nil"/>
          <w:tr2bl w:val="nil"/>
        </w:tcBorders>
      </w:tcPr>
    </w:tblStylePr>
    <w:tblStylePr w:type="lastCol">
      <w:rPr>
        <w:rFonts w:cs="微软雅黑"/>
      </w:rPr>
      <w:tblPr/>
      <w:tcPr>
        <w:tcBorders>
          <w:top w:val="nil"/>
          <w:left w:val="nil"/>
          <w:bottom w:val="nil"/>
          <w:right w:val="single" w:color="FFFFFF" w:sz="6" w:space="0"/>
          <w:insideH w:val="nil"/>
          <w:insideV w:val="nil"/>
          <w:tl2br w:val="nil"/>
          <w:tr2bl w:val="nil"/>
        </w:tcBorders>
      </w:tcPr>
    </w:tblStylePr>
    <w:tblStylePr w:type="band1Horz">
      <w:rPr>
        <w:rFonts w:cs="微软雅黑"/>
      </w:rPr>
      <w:tblPr/>
      <w:tcPr>
        <w:tcBorders>
          <w:top w:val="single" w:color="808080" w:sz="6" w:space="0"/>
          <w:left w:val="nil"/>
          <w:bottom w:val="single" w:color="FFFFFF" w:sz="6" w:space="0"/>
          <w:right w:val="nil"/>
          <w:insideH w:val="nil"/>
          <w:insideV w:val="nil"/>
          <w:tl2br w:val="nil"/>
          <w:tr2bl w:val="nil"/>
        </w:tcBorders>
      </w:tcPr>
    </w:tblStylePr>
    <w:tblStylePr w:type="swCell">
      <w:rPr>
        <w:rFonts w:cs="微软雅黑"/>
        <w:b/>
        <w:bCs/>
      </w:rPr>
      <w:tblPr/>
      <w:tcPr>
        <w:tcBorders>
          <w:top w:val="nil"/>
          <w:left w:val="nil"/>
          <w:bottom w:val="nil"/>
          <w:right w:val="nil"/>
          <w:insideH w:val="nil"/>
          <w:insideV w:val="nil"/>
          <w:tl2br w:val="nil"/>
          <w:tr2bl w:val="nil"/>
        </w:tcBorders>
      </w:tcPr>
    </w:tblStylePr>
  </w:style>
  <w:style w:type="table" w:styleId="94">
    <w:name w:val="Table 3D effects 3"/>
    <w:basedOn w:val="76"/>
    <w:semiHidden/>
    <w:qFormat/>
    <w:uiPriority w:val="99"/>
    <w:pPr>
      <w:widowControl w:val="0"/>
      <w:spacing w:after="200" w:line="276" w:lineRule="auto"/>
    </w:pPr>
    <w:rPr>
      <w:rFonts w:cs="Calibri"/>
    </w:rPr>
    <w:tblPr>
      <w:tblStyleRowBandSize w:val="1"/>
      <w:tblStyleColBandSize w:val="1"/>
    </w:tblPr>
    <w:tblStylePr w:type="firstRow">
      <w:rPr>
        <w:rFonts w:cs="微软雅黑"/>
        <w:b/>
        <w:bCs/>
      </w:rPr>
      <w:tblPr/>
      <w:tcPr>
        <w:tcBorders>
          <w:top w:val="nil"/>
          <w:left w:val="nil"/>
          <w:bottom w:val="nil"/>
          <w:right w:val="nil"/>
          <w:insideH w:val="nil"/>
          <w:insideV w:val="nil"/>
          <w:tl2br w:val="nil"/>
          <w:tr2bl w:val="nil"/>
        </w:tcBorders>
      </w:tcPr>
    </w:tblStylePr>
    <w:tblStylePr w:type="firstCol">
      <w:rPr>
        <w:rFonts w:cs="微软雅黑"/>
      </w:rPr>
      <w:tblPr/>
      <w:tcPr>
        <w:tcBorders>
          <w:top w:val="nil"/>
          <w:left w:val="nil"/>
          <w:bottom w:val="nil"/>
          <w:right w:val="single" w:color="808080" w:sz="6" w:space="0"/>
          <w:insideH w:val="nil"/>
          <w:insideV w:val="nil"/>
          <w:tl2br w:val="nil"/>
          <w:tr2bl w:val="nil"/>
        </w:tcBorders>
      </w:tcPr>
    </w:tblStylePr>
    <w:tblStylePr w:type="lastCol">
      <w:rPr>
        <w:rFonts w:cs="微软雅黑"/>
      </w:rPr>
      <w:tblPr/>
      <w:tcPr>
        <w:tcBorders>
          <w:top w:val="nil"/>
          <w:left w:val="nil"/>
          <w:bottom w:val="nil"/>
          <w:right w:val="single" w:color="FFFFFF" w:sz="6" w:space="0"/>
          <w:insideH w:val="nil"/>
          <w:insideV w:val="nil"/>
          <w:tl2br w:val="nil"/>
          <w:tr2bl w:val="nil"/>
        </w:tcBorders>
      </w:tcPr>
    </w:tblStylePr>
    <w:tblStylePr w:type="band1Vert">
      <w:rPr>
        <w:rFonts w:cs="微软雅黑"/>
        <w:color w:val="auto"/>
      </w:rPr>
      <w:tblPr/>
      <w:tcPr>
        <w:shd w:val="solid" w:color="C0C0C0" w:fill="FFFFFF"/>
      </w:tcPr>
    </w:tblStylePr>
    <w:tblStylePr w:type="band2Vert">
      <w:rPr>
        <w:rFonts w:cs="微软雅黑"/>
        <w:color w:val="auto"/>
      </w:rPr>
      <w:tblPr/>
      <w:tcPr>
        <w:shd w:val="pct50" w:color="C0C0C0" w:fill="FFFFFF"/>
      </w:tcPr>
    </w:tblStylePr>
    <w:tblStylePr w:type="band1Horz">
      <w:rPr>
        <w:rFonts w:cs="微软雅黑"/>
      </w:rPr>
      <w:tblPr/>
      <w:tcPr>
        <w:tcBorders>
          <w:top w:val="single" w:color="808080" w:sz="6" w:space="0"/>
          <w:left w:val="nil"/>
          <w:bottom w:val="single" w:color="FFFFFF" w:sz="6" w:space="0"/>
          <w:right w:val="nil"/>
          <w:insideH w:val="nil"/>
          <w:insideV w:val="nil"/>
          <w:tl2br w:val="nil"/>
          <w:tr2bl w:val="nil"/>
        </w:tcBorders>
      </w:tcPr>
    </w:tblStylePr>
    <w:tblStylePr w:type="swCell">
      <w:rPr>
        <w:rFonts w:cs="微软雅黑"/>
        <w:b/>
        <w:bCs/>
      </w:rPr>
      <w:tblPr/>
      <w:tcPr>
        <w:tcBorders>
          <w:top w:val="nil"/>
          <w:left w:val="nil"/>
          <w:bottom w:val="nil"/>
          <w:right w:val="nil"/>
          <w:insideH w:val="nil"/>
          <w:insideV w:val="nil"/>
          <w:tl2br w:val="nil"/>
          <w:tr2bl w:val="nil"/>
        </w:tcBorders>
      </w:tcPr>
    </w:tblStylePr>
  </w:style>
  <w:style w:type="table" w:styleId="95">
    <w:name w:val="Table List 1"/>
    <w:basedOn w:val="76"/>
    <w:semiHidden/>
    <w:qFormat/>
    <w:uiPriority w:val="99"/>
    <w:pPr>
      <w:widowControl w:val="0"/>
      <w:spacing w:after="200" w:line="276" w:lineRule="auto"/>
    </w:pPr>
    <w:rPr>
      <w:rFonts w:cs="Calibri"/>
    </w:rPr>
    <w:tblPr>
      <w:tblBorders>
        <w:top w:val="single" w:color="008080" w:sz="12" w:space="0"/>
        <w:left w:val="single" w:color="008080" w:sz="6" w:space="0"/>
        <w:bottom w:val="single" w:color="008080" w:sz="12" w:space="0"/>
        <w:right w:val="single" w:color="008080" w:sz="6" w:space="0"/>
      </w:tblBorders>
    </w:tblPr>
    <w:tblStylePr w:type="firstRow">
      <w:rPr>
        <w:rFonts w:cs="微软雅黑"/>
        <w:b/>
        <w:bCs/>
        <w:i/>
        <w:iCs/>
        <w:color w:val="800000"/>
      </w:rPr>
      <w:tblPr/>
      <w:tcPr>
        <w:tcBorders>
          <w:top w:val="nil"/>
          <w:left w:val="nil"/>
          <w:bottom w:val="single" w:color="000000" w:sz="6" w:space="0"/>
          <w:right w:val="nil"/>
          <w:insideH w:val="nil"/>
          <w:insideV w:val="nil"/>
          <w:tl2br w:val="nil"/>
          <w:tr2bl w:val="nil"/>
        </w:tcBorders>
        <w:shd w:val="solid" w:color="C0C0C0" w:fill="FFFFFF"/>
      </w:tcPr>
    </w:tblStylePr>
    <w:tblStylePr w:type="lastRow">
      <w:rPr>
        <w:rFonts w:cs="微软雅黑"/>
      </w:rPr>
      <w:tblPr/>
      <w:tcPr>
        <w:tcBorders>
          <w:top w:val="single" w:color="000000" w:sz="6" w:space="0"/>
          <w:left w:val="nil"/>
          <w:bottom w:val="nil"/>
          <w:right w:val="nil"/>
          <w:insideH w:val="nil"/>
          <w:insideV w:val="nil"/>
          <w:tl2br w:val="nil"/>
          <w:tr2bl w:val="nil"/>
        </w:tcBorders>
      </w:tcPr>
    </w:tblStylePr>
    <w:tblStylePr w:type="band1Horz">
      <w:rPr>
        <w:rFonts w:cs="微软雅黑"/>
        <w:color w:val="auto"/>
      </w:rPr>
      <w:tblPr/>
      <w:tcPr>
        <w:tcBorders>
          <w:top w:val="nil"/>
          <w:left w:val="nil"/>
          <w:bottom w:val="nil"/>
          <w:right w:val="nil"/>
          <w:insideH w:val="nil"/>
          <w:insideV w:val="nil"/>
          <w:tl2br w:val="nil"/>
          <w:tr2bl w:val="nil"/>
        </w:tcBorders>
        <w:shd w:val="solid" w:color="C0C0C0" w:fill="FFFFFF"/>
      </w:tcPr>
    </w:tblStylePr>
    <w:tblStylePr w:type="band2Horz">
      <w:rPr>
        <w:rFonts w:cs="微软雅黑"/>
        <w:color w:val="auto"/>
      </w:rPr>
      <w:tblPr/>
      <w:tcPr>
        <w:tcBorders>
          <w:top w:val="nil"/>
          <w:left w:val="nil"/>
          <w:bottom w:val="nil"/>
          <w:right w:val="nil"/>
          <w:insideH w:val="nil"/>
          <w:insideV w:val="nil"/>
          <w:tl2br w:val="nil"/>
          <w:tr2bl w:val="nil"/>
        </w:tcBorders>
      </w:tcPr>
    </w:tblStylePr>
    <w:tblStylePr w:type="swCell">
      <w:rPr>
        <w:rFonts w:cs="微软雅黑"/>
        <w:b/>
        <w:bCs/>
      </w:rPr>
      <w:tblPr/>
      <w:tcPr>
        <w:tcBorders>
          <w:top w:val="nil"/>
          <w:left w:val="nil"/>
          <w:bottom w:val="nil"/>
          <w:right w:val="nil"/>
          <w:insideH w:val="nil"/>
          <w:insideV w:val="nil"/>
          <w:tl2br w:val="nil"/>
          <w:tr2bl w:val="nil"/>
        </w:tcBorders>
      </w:tcPr>
    </w:tblStylePr>
  </w:style>
  <w:style w:type="table" w:styleId="96">
    <w:name w:val="Table List 2"/>
    <w:basedOn w:val="76"/>
    <w:semiHidden/>
    <w:qFormat/>
    <w:uiPriority w:val="99"/>
    <w:pPr>
      <w:widowControl w:val="0"/>
      <w:spacing w:after="200" w:line="276" w:lineRule="auto"/>
    </w:pPr>
    <w:rPr>
      <w:rFonts w:cs="Calibri"/>
    </w:rPr>
    <w:tblPr>
      <w:tblBorders>
        <w:bottom w:val="single" w:color="808080" w:sz="12" w:space="0"/>
      </w:tblBorders>
    </w:tblPr>
    <w:tblStylePr w:type="firstRow">
      <w:rPr>
        <w:rFonts w:cs="微软雅黑"/>
        <w:b/>
        <w:bCs/>
        <w:color w:val="FFFFFF"/>
      </w:rPr>
      <w:tblPr/>
      <w:tcPr>
        <w:tcBorders>
          <w:top w:val="nil"/>
          <w:left w:val="nil"/>
          <w:bottom w:val="single" w:color="000000" w:sz="6" w:space="0"/>
          <w:right w:val="nil"/>
          <w:insideH w:val="nil"/>
          <w:insideV w:val="nil"/>
          <w:tl2br w:val="nil"/>
          <w:tr2bl w:val="nil"/>
        </w:tcBorders>
        <w:shd w:val="pct75" w:color="008080" w:fill="008000"/>
      </w:tcPr>
    </w:tblStylePr>
    <w:tblStylePr w:type="lastRow">
      <w:rPr>
        <w:rFonts w:cs="微软雅黑"/>
      </w:rPr>
      <w:tblPr/>
      <w:tcPr>
        <w:tcBorders>
          <w:top w:val="single" w:color="000000" w:sz="6" w:space="0"/>
          <w:left w:val="nil"/>
          <w:bottom w:val="nil"/>
          <w:right w:val="nil"/>
          <w:insideH w:val="nil"/>
          <w:insideV w:val="nil"/>
          <w:tl2br w:val="nil"/>
          <w:tr2bl w:val="nil"/>
        </w:tcBorders>
      </w:tcPr>
    </w:tblStylePr>
    <w:tblStylePr w:type="band1Horz">
      <w:rPr>
        <w:rFonts w:cs="微软雅黑"/>
        <w:color w:val="auto"/>
      </w:rPr>
      <w:tblPr/>
      <w:tcPr>
        <w:tcBorders>
          <w:top w:val="nil"/>
          <w:left w:val="nil"/>
          <w:bottom w:val="nil"/>
          <w:right w:val="nil"/>
          <w:insideH w:val="nil"/>
          <w:insideV w:val="nil"/>
          <w:tl2br w:val="nil"/>
          <w:tr2bl w:val="nil"/>
        </w:tcBorders>
        <w:shd w:val="pct20" w:color="00FF00" w:fill="FFFFFF"/>
      </w:tcPr>
    </w:tblStylePr>
    <w:tblStylePr w:type="band2Horz">
      <w:rPr>
        <w:rFonts w:cs="微软雅黑"/>
        <w:color w:val="auto"/>
      </w:rPr>
      <w:tblPr/>
      <w:tcPr>
        <w:tcBorders>
          <w:top w:val="nil"/>
          <w:left w:val="nil"/>
          <w:bottom w:val="nil"/>
          <w:right w:val="nil"/>
          <w:insideH w:val="nil"/>
          <w:insideV w:val="nil"/>
          <w:tl2br w:val="nil"/>
          <w:tr2bl w:val="nil"/>
        </w:tcBorders>
      </w:tcPr>
    </w:tblStylePr>
    <w:tblStylePr w:type="swCell">
      <w:rPr>
        <w:rFonts w:cs="微软雅黑"/>
        <w:b/>
        <w:bCs/>
      </w:rPr>
      <w:tblPr/>
      <w:tcPr>
        <w:tcBorders>
          <w:top w:val="nil"/>
          <w:left w:val="nil"/>
          <w:bottom w:val="nil"/>
          <w:right w:val="nil"/>
          <w:insideH w:val="nil"/>
          <w:insideV w:val="nil"/>
          <w:tl2br w:val="nil"/>
          <w:tr2bl w:val="nil"/>
        </w:tcBorders>
      </w:tcPr>
    </w:tblStylePr>
  </w:style>
  <w:style w:type="table" w:styleId="97">
    <w:name w:val="Table List 3"/>
    <w:basedOn w:val="76"/>
    <w:semiHidden/>
    <w:qFormat/>
    <w:uiPriority w:val="99"/>
    <w:pPr>
      <w:widowControl w:val="0"/>
      <w:spacing w:after="200" w:line="276" w:lineRule="auto"/>
    </w:pPr>
    <w:rPr>
      <w:rFonts w:cs="Calibri"/>
    </w:rPr>
    <w:tblPr>
      <w:tblBorders>
        <w:top w:val="single" w:color="000000" w:sz="12" w:space="0"/>
        <w:bottom w:val="single" w:color="000000" w:sz="12" w:space="0"/>
        <w:insideH w:val="single" w:color="000000" w:sz="6" w:space="0"/>
      </w:tblBorders>
    </w:tblPr>
    <w:tblStylePr w:type="firstRow">
      <w:rPr>
        <w:rFonts w:cs="微软雅黑"/>
        <w:b/>
        <w:bCs/>
        <w:color w:val="000080"/>
      </w:rPr>
      <w:tblPr/>
      <w:tcPr>
        <w:tcBorders>
          <w:top w:val="nil"/>
          <w:left w:val="nil"/>
          <w:bottom w:val="single" w:color="000000" w:sz="12" w:space="0"/>
          <w:right w:val="nil"/>
          <w:insideH w:val="nil"/>
          <w:insideV w:val="nil"/>
          <w:tl2br w:val="nil"/>
          <w:tr2bl w:val="nil"/>
        </w:tcBorders>
      </w:tcPr>
    </w:tblStylePr>
    <w:tblStylePr w:type="lastRow">
      <w:rPr>
        <w:rFonts w:cs="微软雅黑"/>
      </w:rPr>
      <w:tblPr/>
      <w:tcPr>
        <w:tcBorders>
          <w:top w:val="single" w:color="000000" w:sz="12" w:space="0"/>
          <w:left w:val="nil"/>
          <w:bottom w:val="nil"/>
          <w:right w:val="nil"/>
          <w:insideH w:val="nil"/>
          <w:insideV w:val="nil"/>
          <w:tl2br w:val="nil"/>
          <w:tr2bl w:val="nil"/>
        </w:tcBorders>
      </w:tcPr>
    </w:tblStylePr>
    <w:tblStylePr w:type="swCell">
      <w:rPr>
        <w:rFonts w:cs="微软雅黑"/>
        <w:i/>
        <w:iCs/>
        <w:color w:val="000080"/>
      </w:rPr>
      <w:tblPr/>
      <w:tcPr>
        <w:tcBorders>
          <w:top w:val="nil"/>
          <w:left w:val="nil"/>
          <w:bottom w:val="nil"/>
          <w:right w:val="nil"/>
          <w:insideH w:val="nil"/>
          <w:insideV w:val="nil"/>
          <w:tl2br w:val="nil"/>
          <w:tr2bl w:val="nil"/>
        </w:tcBorders>
      </w:tcPr>
    </w:tblStylePr>
  </w:style>
  <w:style w:type="table" w:styleId="98">
    <w:name w:val="Table List 4"/>
    <w:basedOn w:val="76"/>
    <w:semiHidden/>
    <w:qFormat/>
    <w:uiPriority w:val="99"/>
    <w:pPr>
      <w:widowControl w:val="0"/>
      <w:spacing w:after="200" w:line="276" w:lineRule="auto"/>
    </w:pPr>
    <w:rPr>
      <w:rFonts w:cs="Calibri"/>
    </w:rPr>
    <w:tblPr>
      <w:tblBorders>
        <w:top w:val="single" w:color="000000" w:sz="12" w:space="0"/>
        <w:left w:val="single" w:color="000000" w:sz="12" w:space="0"/>
        <w:bottom w:val="single" w:color="000000" w:sz="12" w:space="0"/>
        <w:right w:val="single" w:color="000000" w:sz="12" w:space="0"/>
        <w:insideH w:val="single" w:color="000000" w:sz="6" w:space="0"/>
      </w:tblBorders>
    </w:tblPr>
    <w:tblStylePr w:type="firstRow">
      <w:rPr>
        <w:rFonts w:cs="微软雅黑"/>
        <w:b/>
        <w:bCs/>
        <w:color w:val="FFFFFF"/>
      </w:rPr>
      <w:tblPr/>
      <w:tcPr>
        <w:tcBorders>
          <w:top w:val="nil"/>
          <w:left w:val="nil"/>
          <w:bottom w:val="single" w:color="000000" w:sz="12" w:space="0"/>
          <w:right w:val="nil"/>
          <w:insideH w:val="nil"/>
          <w:insideV w:val="nil"/>
          <w:tl2br w:val="nil"/>
          <w:tr2bl w:val="nil"/>
        </w:tcBorders>
        <w:shd w:val="solid" w:color="808080" w:fill="FFFFFF"/>
      </w:tcPr>
    </w:tblStylePr>
  </w:style>
  <w:style w:type="table" w:styleId="99">
    <w:name w:val="Table List 5"/>
    <w:basedOn w:val="76"/>
    <w:semiHidden/>
    <w:qFormat/>
    <w:uiPriority w:val="99"/>
    <w:pPr>
      <w:widowControl w:val="0"/>
      <w:spacing w:after="200" w:line="276" w:lineRule="auto"/>
    </w:pPr>
    <w:rPr>
      <w:rFonts w:cs="Calibri"/>
    </w:rPr>
    <w:tblPr>
      <w:tblBorders>
        <w:top w:val="single" w:color="000000" w:sz="6" w:space="0"/>
        <w:left w:val="single" w:color="000000" w:sz="6" w:space="0"/>
        <w:bottom w:val="single" w:color="000000" w:sz="6" w:space="0"/>
        <w:right w:val="single" w:color="000000" w:sz="6" w:space="0"/>
        <w:insideH w:val="single" w:color="000000" w:sz="6" w:space="0"/>
      </w:tblBorders>
    </w:tblPr>
    <w:tblStylePr w:type="firstRow">
      <w:rPr>
        <w:rFonts w:cs="微软雅黑"/>
        <w:b/>
        <w:bCs/>
      </w:rPr>
      <w:tblPr/>
      <w:tcPr>
        <w:tcBorders>
          <w:top w:val="nil"/>
          <w:left w:val="nil"/>
          <w:bottom w:val="single" w:color="000000" w:sz="12" w:space="0"/>
          <w:right w:val="nil"/>
          <w:insideH w:val="nil"/>
          <w:insideV w:val="nil"/>
          <w:tl2br w:val="nil"/>
          <w:tr2bl w:val="nil"/>
        </w:tcBorders>
      </w:tcPr>
    </w:tblStylePr>
    <w:tblStylePr w:type="firstCol">
      <w:rPr>
        <w:rFonts w:cs="微软雅黑"/>
        <w:b/>
        <w:bCs/>
      </w:rPr>
      <w:tblPr/>
      <w:tcPr>
        <w:tcBorders>
          <w:top w:val="nil"/>
          <w:left w:val="nil"/>
          <w:bottom w:val="nil"/>
          <w:right w:val="nil"/>
          <w:insideH w:val="nil"/>
          <w:insideV w:val="nil"/>
          <w:tl2br w:val="nil"/>
          <w:tr2bl w:val="nil"/>
        </w:tcBorders>
      </w:tcPr>
    </w:tblStylePr>
  </w:style>
  <w:style w:type="table" w:styleId="100">
    <w:name w:val="Table List 6"/>
    <w:basedOn w:val="76"/>
    <w:semiHidden/>
    <w:qFormat/>
    <w:uiPriority w:val="99"/>
    <w:pPr>
      <w:widowControl w:val="0"/>
      <w:spacing w:after="200" w:line="276" w:lineRule="auto"/>
    </w:pPr>
    <w:rPr>
      <w:rFonts w:cs="Calibri"/>
    </w:r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rFonts w:cs="微软雅黑"/>
        <w:b/>
        <w:bCs/>
      </w:rPr>
      <w:tblPr/>
      <w:tcPr>
        <w:tcBorders>
          <w:top w:val="nil"/>
          <w:left w:val="nil"/>
          <w:bottom w:val="single" w:color="000000" w:sz="12" w:space="0"/>
          <w:right w:val="nil"/>
          <w:insideH w:val="nil"/>
          <w:insideV w:val="nil"/>
          <w:tl2br w:val="nil"/>
          <w:tr2bl w:val="nil"/>
        </w:tcBorders>
      </w:tcPr>
    </w:tblStylePr>
    <w:tblStylePr w:type="firstCol">
      <w:rPr>
        <w:rFonts w:cs="微软雅黑"/>
        <w:b/>
        <w:bCs/>
      </w:rPr>
      <w:tblPr/>
      <w:tcPr>
        <w:tcBorders>
          <w:top w:val="nil"/>
          <w:left w:val="nil"/>
          <w:bottom w:val="nil"/>
          <w:right w:val="single" w:color="000000" w:sz="12" w:space="0"/>
          <w:insideH w:val="nil"/>
          <w:insideV w:val="nil"/>
          <w:tl2br w:val="nil"/>
          <w:tr2bl w:val="nil"/>
        </w:tcBorders>
      </w:tcPr>
    </w:tblStylePr>
    <w:tblStylePr w:type="band1Horz">
      <w:rPr>
        <w:rFonts w:cs="微软雅黑"/>
      </w:rPr>
      <w:tblPr/>
      <w:tcPr>
        <w:tcBorders>
          <w:top w:val="nil"/>
          <w:left w:val="nil"/>
          <w:bottom w:val="nil"/>
          <w:right w:val="nil"/>
          <w:insideH w:val="nil"/>
          <w:insideV w:val="nil"/>
          <w:tl2br w:val="nil"/>
          <w:tr2bl w:val="nil"/>
        </w:tcBorders>
        <w:shd w:val="pct25" w:color="000000" w:fill="FFFFFF"/>
      </w:tcPr>
    </w:tblStylePr>
    <w:tblStylePr w:type="nwCell">
      <w:rPr>
        <w:rFonts w:cs="微软雅黑"/>
      </w:rPr>
      <w:tblPr/>
      <w:tcPr>
        <w:tcBorders>
          <w:top w:val="nil"/>
          <w:left w:val="nil"/>
          <w:bottom w:val="nil"/>
          <w:right w:val="nil"/>
          <w:insideH w:val="nil"/>
          <w:insideV w:val="nil"/>
          <w:tl2br w:val="single" w:color="000000" w:sz="6" w:space="0"/>
          <w:tr2bl w:val="nil"/>
        </w:tcBorders>
      </w:tcPr>
    </w:tblStylePr>
  </w:style>
  <w:style w:type="table" w:styleId="101">
    <w:name w:val="Table List 7"/>
    <w:basedOn w:val="76"/>
    <w:semiHidden/>
    <w:qFormat/>
    <w:uiPriority w:val="99"/>
    <w:pPr>
      <w:widowControl w:val="0"/>
      <w:spacing w:after="200" w:line="276" w:lineRule="auto"/>
    </w:pPr>
    <w:rPr>
      <w:rFonts w:cs="Calibri"/>
    </w:r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rFonts w:cs="微软雅黑"/>
        <w:b/>
        <w:bCs/>
      </w:rPr>
      <w:tblPr/>
      <w:tcPr>
        <w:tcBorders>
          <w:top w:val="nil"/>
          <w:left w:val="nil"/>
          <w:bottom w:val="single" w:color="008000" w:sz="12" w:space="0"/>
          <w:right w:val="nil"/>
          <w:insideH w:val="nil"/>
          <w:insideV w:val="nil"/>
          <w:tl2br w:val="nil"/>
          <w:tr2bl w:val="nil"/>
        </w:tcBorders>
        <w:shd w:val="solid" w:color="C0C0C0" w:fill="FFFFFF"/>
      </w:tcPr>
    </w:tblStylePr>
    <w:tblStylePr w:type="lastRow">
      <w:rPr>
        <w:rFonts w:cs="微软雅黑"/>
        <w:b/>
        <w:bCs/>
      </w:rPr>
      <w:tblPr/>
      <w:tcPr>
        <w:tcBorders>
          <w:top w:val="single" w:color="008000" w:sz="12" w:space="0"/>
          <w:left w:val="nil"/>
          <w:bottom w:val="nil"/>
          <w:right w:val="nil"/>
          <w:insideH w:val="nil"/>
          <w:insideV w:val="nil"/>
          <w:tl2br w:val="nil"/>
          <w:tr2bl w:val="nil"/>
        </w:tcBorders>
      </w:tcPr>
    </w:tblStylePr>
    <w:tblStylePr w:type="firstCol">
      <w:rPr>
        <w:rFonts w:cs="微软雅黑"/>
        <w:b/>
        <w:bCs/>
      </w:rPr>
      <w:tblPr/>
      <w:tcPr>
        <w:tcBorders>
          <w:top w:val="nil"/>
          <w:left w:val="nil"/>
          <w:bottom w:val="nil"/>
          <w:right w:val="nil"/>
          <w:insideH w:val="nil"/>
          <w:insideV w:val="nil"/>
          <w:tl2br w:val="nil"/>
          <w:tr2bl w:val="nil"/>
        </w:tcBorders>
      </w:tcPr>
    </w:tblStylePr>
    <w:tblStylePr w:type="lastCol">
      <w:rPr>
        <w:rFonts w:cs="微软雅黑"/>
        <w:b/>
        <w:bCs/>
      </w:rPr>
      <w:tblPr/>
      <w:tcPr>
        <w:tcBorders>
          <w:top w:val="nil"/>
          <w:left w:val="nil"/>
          <w:bottom w:val="nil"/>
          <w:right w:val="nil"/>
          <w:insideH w:val="nil"/>
          <w:insideV w:val="nil"/>
          <w:tl2br w:val="nil"/>
          <w:tr2bl w:val="nil"/>
        </w:tcBorders>
      </w:tcPr>
    </w:tblStylePr>
    <w:tblStylePr w:type="band1Horz">
      <w:rPr>
        <w:rFonts w:cs="微软雅黑"/>
        <w:color w:val="auto"/>
      </w:rPr>
      <w:tblPr/>
      <w:tcPr>
        <w:tcBorders>
          <w:top w:val="nil"/>
          <w:left w:val="nil"/>
          <w:bottom w:val="nil"/>
          <w:right w:val="nil"/>
          <w:insideH w:val="nil"/>
          <w:insideV w:val="nil"/>
          <w:tl2br w:val="nil"/>
          <w:tr2bl w:val="nil"/>
        </w:tcBorders>
        <w:shd w:val="pct20" w:color="000000" w:fill="FFFFFF"/>
      </w:tcPr>
    </w:tblStylePr>
    <w:tblStylePr w:type="band2Horz">
      <w:rPr>
        <w:rFonts w:cs="微软雅黑"/>
      </w:rPr>
      <w:tblPr/>
      <w:tcPr>
        <w:tcBorders>
          <w:top w:val="nil"/>
          <w:left w:val="nil"/>
          <w:bottom w:val="nil"/>
          <w:right w:val="nil"/>
          <w:insideH w:val="nil"/>
          <w:insideV w:val="nil"/>
          <w:tl2br w:val="nil"/>
          <w:tr2bl w:val="nil"/>
        </w:tcBorders>
        <w:shd w:val="pct25" w:color="FFFF00" w:fill="FFFFFF"/>
      </w:tcPr>
    </w:tblStylePr>
  </w:style>
  <w:style w:type="table" w:styleId="102">
    <w:name w:val="Table List 8"/>
    <w:basedOn w:val="76"/>
    <w:semiHidden/>
    <w:qFormat/>
    <w:uiPriority w:val="99"/>
    <w:pPr>
      <w:widowControl w:val="0"/>
      <w:spacing w:after="200" w:line="276" w:lineRule="auto"/>
    </w:pPr>
    <w:rPr>
      <w:rFonts w:cs="Calibri"/>
    </w:r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rFonts w:cs="微软雅黑"/>
        <w:b/>
        <w:bCs/>
        <w:i/>
        <w:iCs/>
      </w:rPr>
      <w:tblPr/>
      <w:tcPr>
        <w:tcBorders>
          <w:top w:val="nil"/>
          <w:left w:val="nil"/>
          <w:bottom w:val="single" w:color="000000" w:sz="6" w:space="0"/>
          <w:right w:val="nil"/>
          <w:insideH w:val="nil"/>
          <w:insideV w:val="nil"/>
          <w:tl2br w:val="nil"/>
          <w:tr2bl w:val="nil"/>
        </w:tcBorders>
        <w:shd w:val="solid" w:color="FFFF00" w:fill="FFFFFF"/>
      </w:tcPr>
    </w:tblStylePr>
    <w:tblStylePr w:type="lastRow">
      <w:rPr>
        <w:rFonts w:cs="微软雅黑"/>
        <w:b/>
        <w:bCs/>
      </w:rPr>
      <w:tblPr/>
      <w:tcPr>
        <w:tcBorders>
          <w:top w:val="single" w:color="000000" w:sz="6" w:space="0"/>
          <w:left w:val="nil"/>
          <w:bottom w:val="nil"/>
          <w:right w:val="nil"/>
          <w:insideH w:val="nil"/>
          <w:insideV w:val="nil"/>
          <w:tl2br w:val="nil"/>
          <w:tr2bl w:val="nil"/>
        </w:tcBorders>
      </w:tcPr>
    </w:tblStylePr>
    <w:tblStylePr w:type="firstCol">
      <w:rPr>
        <w:rFonts w:cs="微软雅黑"/>
        <w:b/>
        <w:bCs/>
      </w:rPr>
      <w:tblPr/>
      <w:tcPr>
        <w:tcBorders>
          <w:top w:val="nil"/>
          <w:left w:val="nil"/>
          <w:bottom w:val="nil"/>
          <w:right w:val="nil"/>
          <w:insideH w:val="nil"/>
          <w:insideV w:val="nil"/>
          <w:tl2br w:val="nil"/>
          <w:tr2bl w:val="nil"/>
        </w:tcBorders>
      </w:tcPr>
    </w:tblStylePr>
    <w:tblStylePr w:type="lastCol">
      <w:rPr>
        <w:rFonts w:cs="微软雅黑"/>
        <w:b/>
        <w:bCs/>
      </w:rPr>
      <w:tblPr/>
      <w:tcPr>
        <w:tcBorders>
          <w:top w:val="nil"/>
          <w:left w:val="nil"/>
          <w:bottom w:val="nil"/>
          <w:right w:val="nil"/>
          <w:insideH w:val="nil"/>
          <w:insideV w:val="nil"/>
          <w:tl2br w:val="nil"/>
          <w:tr2bl w:val="nil"/>
        </w:tcBorders>
      </w:tcPr>
    </w:tblStylePr>
    <w:tblStylePr w:type="band1Horz">
      <w:rPr>
        <w:rFonts w:cs="微软雅黑"/>
        <w:color w:val="auto"/>
      </w:rPr>
      <w:tblPr/>
      <w:tcPr>
        <w:tcBorders>
          <w:top w:val="nil"/>
          <w:left w:val="nil"/>
          <w:bottom w:val="nil"/>
          <w:right w:val="nil"/>
          <w:insideH w:val="nil"/>
          <w:insideV w:val="nil"/>
          <w:tl2br w:val="nil"/>
          <w:tr2bl w:val="nil"/>
        </w:tcBorders>
        <w:shd w:val="pct25" w:color="FFFF00" w:fill="FFFFFF"/>
      </w:tcPr>
    </w:tblStylePr>
    <w:tblStylePr w:type="band2Horz">
      <w:rPr>
        <w:rFonts w:cs="微软雅黑"/>
      </w:rPr>
      <w:tblPr/>
      <w:tcPr>
        <w:tcBorders>
          <w:top w:val="nil"/>
          <w:left w:val="nil"/>
          <w:bottom w:val="nil"/>
          <w:right w:val="nil"/>
          <w:insideH w:val="nil"/>
          <w:insideV w:val="nil"/>
          <w:tl2br w:val="nil"/>
          <w:tr2bl w:val="nil"/>
        </w:tcBorders>
        <w:shd w:val="pct50" w:color="FF0000" w:fill="FFFFFF"/>
      </w:tcPr>
    </w:tblStylePr>
    <w:tblStylePr w:type="nwCell">
      <w:rPr>
        <w:rFonts w:cs="微软雅黑"/>
      </w:rPr>
      <w:tblPr/>
      <w:tcPr>
        <w:tcBorders>
          <w:top w:val="nil"/>
          <w:left w:val="nil"/>
          <w:bottom w:val="nil"/>
          <w:right w:val="nil"/>
          <w:insideH w:val="nil"/>
          <w:insideV w:val="nil"/>
          <w:tl2br w:val="single" w:color="auto" w:sz="6" w:space="0"/>
          <w:tr2bl w:val="nil"/>
        </w:tcBorders>
      </w:tcPr>
    </w:tblStylePr>
  </w:style>
  <w:style w:type="table" w:styleId="103">
    <w:name w:val="Table Contemporary"/>
    <w:basedOn w:val="76"/>
    <w:semiHidden/>
    <w:qFormat/>
    <w:uiPriority w:val="99"/>
    <w:pPr>
      <w:widowControl w:val="0"/>
      <w:spacing w:after="200" w:line="276" w:lineRule="auto"/>
    </w:pPr>
    <w:rPr>
      <w:rFonts w:cs="Calibri"/>
    </w:rPr>
    <w:tblPr>
      <w:tblBorders>
        <w:insideH w:val="single" w:color="FFFFFF" w:sz="18" w:space="0"/>
        <w:insideV w:val="single" w:color="FFFFFF" w:sz="18" w:space="0"/>
      </w:tblBorders>
    </w:tblPr>
    <w:tblStylePr w:type="firstRow">
      <w:rPr>
        <w:rFonts w:cs="微软雅黑"/>
        <w:b/>
        <w:bCs/>
        <w:color w:val="auto"/>
      </w:rPr>
      <w:tblPr/>
      <w:tcPr>
        <w:tcBorders>
          <w:top w:val="nil"/>
          <w:left w:val="nil"/>
          <w:bottom w:val="nil"/>
          <w:right w:val="nil"/>
          <w:insideH w:val="nil"/>
          <w:insideV w:val="nil"/>
          <w:tl2br w:val="nil"/>
          <w:tr2bl w:val="nil"/>
        </w:tcBorders>
        <w:shd w:val="pct20" w:color="000000" w:fill="FFFFFF"/>
      </w:tcPr>
    </w:tblStylePr>
    <w:tblStylePr w:type="band1Horz">
      <w:rPr>
        <w:rFonts w:cs="微软雅黑"/>
        <w:color w:val="auto"/>
      </w:rPr>
      <w:tblPr/>
      <w:tcPr>
        <w:tcBorders>
          <w:top w:val="nil"/>
          <w:left w:val="nil"/>
          <w:bottom w:val="nil"/>
          <w:right w:val="nil"/>
          <w:insideH w:val="nil"/>
          <w:insideV w:val="nil"/>
          <w:tl2br w:val="nil"/>
          <w:tr2bl w:val="nil"/>
        </w:tcBorders>
        <w:shd w:val="pct5" w:color="000000" w:fill="FFFFFF"/>
      </w:tcPr>
    </w:tblStylePr>
    <w:tblStylePr w:type="band2Horz">
      <w:rPr>
        <w:rFonts w:cs="微软雅黑"/>
        <w:color w:val="auto"/>
      </w:rPr>
      <w:tblPr/>
      <w:tcPr>
        <w:tcBorders>
          <w:top w:val="nil"/>
          <w:left w:val="nil"/>
          <w:bottom w:val="nil"/>
          <w:right w:val="nil"/>
          <w:insideH w:val="nil"/>
          <w:insideV w:val="nil"/>
          <w:tl2br w:val="nil"/>
          <w:tr2bl w:val="nil"/>
        </w:tcBorders>
        <w:shd w:val="pct20" w:color="000000" w:fill="FFFFFF"/>
      </w:tcPr>
    </w:tblStylePr>
  </w:style>
  <w:style w:type="table" w:styleId="104">
    <w:name w:val="Table Columns 1"/>
    <w:basedOn w:val="76"/>
    <w:semiHidden/>
    <w:qFormat/>
    <w:uiPriority w:val="99"/>
    <w:pPr>
      <w:widowControl w:val="0"/>
      <w:spacing w:after="200" w:line="276" w:lineRule="auto"/>
    </w:pPr>
    <w:rPr>
      <w:rFonts w:cs="Calibri"/>
      <w:b/>
      <w:bCs/>
    </w:rPr>
    <w:tblPr>
      <w:tblBorders>
        <w:top w:val="single" w:color="000000" w:sz="12" w:space="0"/>
        <w:left w:val="single" w:color="000000" w:sz="12" w:space="0"/>
        <w:bottom w:val="single" w:color="000000" w:sz="12" w:space="0"/>
        <w:right w:val="single" w:color="000000" w:sz="12" w:space="0"/>
      </w:tblBorders>
    </w:tblPr>
    <w:tblStylePr w:type="firstRow">
      <w:rPr>
        <w:rFonts w:cs="微软雅黑"/>
        <w:b w:val="0"/>
        <w:bCs w:val="0"/>
      </w:rPr>
      <w:tblPr/>
      <w:tcPr>
        <w:tcBorders>
          <w:top w:val="nil"/>
          <w:left w:val="nil"/>
          <w:bottom w:val="double" w:color="000000" w:sz="6" w:space="0"/>
          <w:right w:val="nil"/>
          <w:insideH w:val="nil"/>
          <w:insideV w:val="nil"/>
          <w:tl2br w:val="nil"/>
          <w:tr2bl w:val="nil"/>
        </w:tcBorders>
      </w:tcPr>
    </w:tblStylePr>
    <w:tblStylePr w:type="lastRow">
      <w:rPr>
        <w:rFonts w:cs="微软雅黑"/>
        <w:b w:val="0"/>
        <w:bCs w:val="0"/>
      </w:rPr>
      <w:tblPr/>
      <w:tcPr>
        <w:tcBorders>
          <w:top w:val="nil"/>
          <w:left w:val="nil"/>
          <w:bottom w:val="nil"/>
          <w:right w:val="nil"/>
          <w:insideH w:val="nil"/>
          <w:insideV w:val="nil"/>
          <w:tl2br w:val="nil"/>
          <w:tr2bl w:val="nil"/>
        </w:tcBorders>
      </w:tcPr>
    </w:tblStylePr>
    <w:tblStylePr w:type="firstCol">
      <w:rPr>
        <w:rFonts w:cs="微软雅黑"/>
        <w:b w:val="0"/>
        <w:bCs w:val="0"/>
      </w:rPr>
      <w:tblPr/>
      <w:tcPr>
        <w:tcBorders>
          <w:top w:val="nil"/>
          <w:left w:val="nil"/>
          <w:bottom w:val="nil"/>
          <w:right w:val="nil"/>
          <w:insideH w:val="nil"/>
          <w:insideV w:val="nil"/>
          <w:tl2br w:val="nil"/>
          <w:tr2bl w:val="nil"/>
        </w:tcBorders>
      </w:tcPr>
    </w:tblStylePr>
    <w:tblStylePr w:type="lastCol">
      <w:rPr>
        <w:rFonts w:cs="微软雅黑"/>
        <w:b w:val="0"/>
        <w:bCs w:val="0"/>
      </w:rPr>
      <w:tblPr/>
      <w:tcPr>
        <w:tcBorders>
          <w:top w:val="nil"/>
          <w:left w:val="nil"/>
          <w:bottom w:val="nil"/>
          <w:right w:val="nil"/>
          <w:insideH w:val="nil"/>
          <w:insideV w:val="nil"/>
          <w:tl2br w:val="nil"/>
          <w:tr2bl w:val="nil"/>
        </w:tcBorders>
      </w:tcPr>
    </w:tblStylePr>
    <w:tblStylePr w:type="band1Vert">
      <w:rPr>
        <w:rFonts w:cs="微软雅黑"/>
        <w:color w:val="auto"/>
      </w:rPr>
      <w:tblPr/>
      <w:tcPr>
        <w:shd w:val="pct25" w:color="000000" w:fill="FFFFFF"/>
      </w:tcPr>
    </w:tblStylePr>
    <w:tblStylePr w:type="band2Vert">
      <w:rPr>
        <w:rFonts w:cs="微软雅黑"/>
        <w:color w:val="auto"/>
      </w:rPr>
      <w:tblPr/>
      <w:tcPr>
        <w:shd w:val="pct25" w:color="FFFF00" w:fill="FFFFFF"/>
      </w:tcPr>
    </w:tblStylePr>
    <w:tblStylePr w:type="neCell">
      <w:rPr>
        <w:rFonts w:cs="微软雅黑"/>
        <w:b/>
        <w:bCs/>
      </w:rPr>
      <w:tblPr/>
      <w:tcPr>
        <w:tcBorders>
          <w:top w:val="nil"/>
          <w:left w:val="nil"/>
          <w:bottom w:val="nil"/>
          <w:right w:val="nil"/>
          <w:insideH w:val="nil"/>
          <w:insideV w:val="nil"/>
          <w:tl2br w:val="nil"/>
          <w:tr2bl w:val="nil"/>
        </w:tcBorders>
      </w:tcPr>
    </w:tblStylePr>
    <w:tblStylePr w:type="swCell">
      <w:rPr>
        <w:rFonts w:cs="微软雅黑"/>
        <w:b/>
        <w:bCs/>
      </w:rPr>
      <w:tblPr/>
      <w:tcPr>
        <w:tcBorders>
          <w:top w:val="nil"/>
          <w:left w:val="nil"/>
          <w:bottom w:val="nil"/>
          <w:right w:val="nil"/>
          <w:insideH w:val="nil"/>
          <w:insideV w:val="nil"/>
          <w:tl2br w:val="nil"/>
          <w:tr2bl w:val="nil"/>
        </w:tcBorders>
      </w:tcPr>
    </w:tblStylePr>
  </w:style>
  <w:style w:type="table" w:styleId="105">
    <w:name w:val="Table Columns 2"/>
    <w:basedOn w:val="76"/>
    <w:semiHidden/>
    <w:qFormat/>
    <w:uiPriority w:val="99"/>
    <w:pPr>
      <w:widowControl w:val="0"/>
      <w:spacing w:after="200" w:line="276" w:lineRule="auto"/>
    </w:pPr>
    <w:rPr>
      <w:rFonts w:cs="Calibri"/>
      <w:b/>
      <w:bCs/>
    </w:rPr>
    <w:tblPr>
      <w:tblStyleColBandSize w:val="1"/>
    </w:tblPr>
    <w:tblStylePr w:type="firstRow">
      <w:rPr>
        <w:rFonts w:cs="微软雅黑"/>
        <w:color w:val="FFFFFF"/>
      </w:rPr>
      <w:tblPr/>
      <w:tcPr>
        <w:tcBorders>
          <w:top w:val="nil"/>
          <w:left w:val="nil"/>
          <w:bottom w:val="nil"/>
          <w:right w:val="nil"/>
          <w:insideH w:val="nil"/>
          <w:insideV w:val="nil"/>
          <w:tl2br w:val="nil"/>
          <w:tr2bl w:val="nil"/>
        </w:tcBorders>
        <w:shd w:val="solid" w:color="000080" w:fill="FFFFFF"/>
      </w:tcPr>
    </w:tblStylePr>
    <w:tblStylePr w:type="lastRow">
      <w:rPr>
        <w:rFonts w:cs="微软雅黑"/>
        <w:b w:val="0"/>
        <w:bCs w:val="0"/>
      </w:rPr>
      <w:tblPr/>
      <w:tcPr>
        <w:tcBorders>
          <w:top w:val="nil"/>
          <w:left w:val="nil"/>
          <w:bottom w:val="nil"/>
          <w:right w:val="nil"/>
          <w:insideH w:val="nil"/>
          <w:insideV w:val="nil"/>
          <w:tl2br w:val="nil"/>
          <w:tr2bl w:val="nil"/>
        </w:tcBorders>
      </w:tcPr>
    </w:tblStylePr>
    <w:tblStylePr w:type="firstCol">
      <w:rPr>
        <w:rFonts w:cs="微软雅黑"/>
        <w:b w:val="0"/>
        <w:bCs w:val="0"/>
        <w:color w:val="000000"/>
      </w:rPr>
      <w:tblPr/>
      <w:tcPr>
        <w:tcBorders>
          <w:top w:val="nil"/>
          <w:left w:val="nil"/>
          <w:bottom w:val="nil"/>
          <w:right w:val="nil"/>
          <w:insideH w:val="nil"/>
          <w:insideV w:val="nil"/>
          <w:tl2br w:val="nil"/>
          <w:tr2bl w:val="nil"/>
        </w:tcBorders>
      </w:tcPr>
    </w:tblStylePr>
    <w:tblStylePr w:type="lastCol">
      <w:rPr>
        <w:rFonts w:cs="微软雅黑"/>
        <w:b w:val="0"/>
        <w:bCs w:val="0"/>
      </w:rPr>
      <w:tblPr/>
      <w:tcPr>
        <w:tcBorders>
          <w:top w:val="nil"/>
          <w:left w:val="nil"/>
          <w:bottom w:val="nil"/>
          <w:right w:val="nil"/>
          <w:insideH w:val="nil"/>
          <w:insideV w:val="nil"/>
          <w:tl2br w:val="nil"/>
          <w:tr2bl w:val="nil"/>
        </w:tcBorders>
      </w:tcPr>
    </w:tblStylePr>
    <w:tblStylePr w:type="band1Vert">
      <w:rPr>
        <w:rFonts w:cs="微软雅黑"/>
        <w:color w:val="auto"/>
      </w:rPr>
      <w:tblPr/>
      <w:tcPr>
        <w:shd w:val="pct30" w:color="000000" w:fill="FFFFFF"/>
      </w:tcPr>
    </w:tblStylePr>
    <w:tblStylePr w:type="band2Vert">
      <w:rPr>
        <w:rFonts w:cs="微软雅黑"/>
        <w:color w:val="auto"/>
      </w:rPr>
      <w:tblPr/>
      <w:tcPr>
        <w:shd w:val="pct25" w:color="00FF00" w:fill="FFFFFF"/>
      </w:tcPr>
    </w:tblStylePr>
    <w:tblStylePr w:type="neCell">
      <w:rPr>
        <w:rFonts w:cs="微软雅黑"/>
        <w:b/>
        <w:bCs/>
      </w:rPr>
      <w:tblPr/>
      <w:tcPr>
        <w:tcBorders>
          <w:top w:val="nil"/>
          <w:left w:val="nil"/>
          <w:bottom w:val="nil"/>
          <w:right w:val="nil"/>
          <w:insideH w:val="nil"/>
          <w:insideV w:val="nil"/>
          <w:tl2br w:val="nil"/>
          <w:tr2bl w:val="nil"/>
        </w:tcBorders>
      </w:tcPr>
    </w:tblStylePr>
    <w:tblStylePr w:type="swCell">
      <w:rPr>
        <w:rFonts w:cs="微软雅黑"/>
        <w:b/>
        <w:bCs/>
      </w:rPr>
      <w:tblPr/>
      <w:tcPr>
        <w:tcBorders>
          <w:top w:val="nil"/>
          <w:left w:val="nil"/>
          <w:bottom w:val="nil"/>
          <w:right w:val="nil"/>
          <w:insideH w:val="nil"/>
          <w:insideV w:val="nil"/>
          <w:tl2br w:val="nil"/>
          <w:tr2bl w:val="nil"/>
        </w:tcBorders>
      </w:tcPr>
    </w:tblStylePr>
  </w:style>
  <w:style w:type="table" w:styleId="106">
    <w:name w:val="Table Columns 3"/>
    <w:basedOn w:val="76"/>
    <w:semiHidden/>
    <w:qFormat/>
    <w:uiPriority w:val="99"/>
    <w:pPr>
      <w:widowControl w:val="0"/>
      <w:spacing w:after="200" w:line="276" w:lineRule="auto"/>
    </w:pPr>
    <w:rPr>
      <w:rFonts w:cs="Calibri"/>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rFonts w:cs="微软雅黑"/>
        <w:color w:val="FFFFFF"/>
      </w:rPr>
      <w:tblPr/>
      <w:tcPr>
        <w:tcBorders>
          <w:top w:val="nil"/>
          <w:left w:val="nil"/>
          <w:bottom w:val="nil"/>
          <w:right w:val="nil"/>
          <w:insideH w:val="nil"/>
          <w:insideV w:val="nil"/>
          <w:tl2br w:val="nil"/>
          <w:tr2bl w:val="nil"/>
        </w:tcBorders>
        <w:shd w:val="solid" w:color="000080" w:fill="FFFFFF"/>
      </w:tcPr>
    </w:tblStylePr>
    <w:tblStylePr w:type="lastRow">
      <w:rPr>
        <w:rFonts w:cs="微软雅黑"/>
        <w:b w:val="0"/>
        <w:bCs w:val="0"/>
      </w:rPr>
      <w:tblPr/>
      <w:tcPr>
        <w:tcBorders>
          <w:top w:val="single" w:color="000080" w:sz="6" w:space="0"/>
          <w:left w:val="nil"/>
          <w:bottom w:val="nil"/>
          <w:right w:val="nil"/>
          <w:insideH w:val="nil"/>
          <w:insideV w:val="nil"/>
          <w:tl2br w:val="nil"/>
          <w:tr2bl w:val="nil"/>
        </w:tcBorders>
      </w:tcPr>
    </w:tblStylePr>
    <w:tblStylePr w:type="firstCol">
      <w:rPr>
        <w:rFonts w:cs="微软雅黑"/>
        <w:b w:val="0"/>
        <w:bCs w:val="0"/>
      </w:rPr>
      <w:tblPr/>
      <w:tcPr>
        <w:tcBorders>
          <w:top w:val="nil"/>
          <w:left w:val="nil"/>
          <w:bottom w:val="nil"/>
          <w:right w:val="nil"/>
          <w:insideH w:val="nil"/>
          <w:insideV w:val="nil"/>
          <w:tl2br w:val="nil"/>
          <w:tr2bl w:val="nil"/>
        </w:tcBorders>
      </w:tcPr>
    </w:tblStylePr>
    <w:tblStylePr w:type="lastCol">
      <w:rPr>
        <w:rFonts w:cs="微软雅黑"/>
        <w:b w:val="0"/>
        <w:bCs w:val="0"/>
      </w:rPr>
      <w:tblPr/>
      <w:tcPr>
        <w:tcBorders>
          <w:top w:val="nil"/>
          <w:left w:val="nil"/>
          <w:bottom w:val="nil"/>
          <w:right w:val="nil"/>
          <w:insideH w:val="nil"/>
          <w:insideV w:val="nil"/>
          <w:tl2br w:val="nil"/>
          <w:tr2bl w:val="nil"/>
        </w:tcBorders>
      </w:tcPr>
    </w:tblStylePr>
    <w:tblStylePr w:type="band1Vert">
      <w:rPr>
        <w:rFonts w:cs="微软雅黑"/>
        <w:color w:val="auto"/>
      </w:rPr>
      <w:tblPr/>
      <w:tcPr>
        <w:shd w:val="solid" w:color="C0C0C0" w:fill="FFFFFF"/>
      </w:tcPr>
    </w:tblStylePr>
    <w:tblStylePr w:type="band2Vert">
      <w:rPr>
        <w:rFonts w:cs="微软雅黑"/>
        <w:color w:val="auto"/>
      </w:rPr>
      <w:tblPr/>
      <w:tcPr>
        <w:shd w:val="pct10" w:color="000000" w:fill="FFFFFF"/>
      </w:tcPr>
    </w:tblStylePr>
    <w:tblStylePr w:type="neCell">
      <w:rPr>
        <w:rFonts w:cs="微软雅黑"/>
        <w:b/>
        <w:bCs/>
      </w:rPr>
      <w:tblPr/>
      <w:tcPr>
        <w:tcBorders>
          <w:top w:val="nil"/>
          <w:left w:val="nil"/>
          <w:bottom w:val="nil"/>
          <w:right w:val="nil"/>
          <w:insideH w:val="nil"/>
          <w:insideV w:val="nil"/>
          <w:tl2br w:val="nil"/>
          <w:tr2bl w:val="nil"/>
        </w:tcBorders>
      </w:tcPr>
    </w:tblStylePr>
  </w:style>
  <w:style w:type="table" w:styleId="107">
    <w:name w:val="Table Columns 4"/>
    <w:basedOn w:val="76"/>
    <w:semiHidden/>
    <w:qFormat/>
    <w:uiPriority w:val="99"/>
    <w:pPr>
      <w:widowControl w:val="0"/>
      <w:spacing w:after="200" w:line="276" w:lineRule="auto"/>
    </w:pPr>
    <w:rPr>
      <w:rFonts w:cs="Calibri"/>
    </w:rPr>
    <w:tblPr>
      <w:tblStyleColBandSize w:val="1"/>
    </w:tblPr>
    <w:tblStylePr w:type="firstRow">
      <w:rPr>
        <w:rFonts w:cs="微软雅黑"/>
        <w:color w:val="FFFFFF"/>
      </w:rPr>
      <w:tblPr/>
      <w:tcPr>
        <w:tcBorders>
          <w:top w:val="nil"/>
          <w:left w:val="nil"/>
          <w:bottom w:val="nil"/>
          <w:right w:val="nil"/>
          <w:insideH w:val="nil"/>
          <w:insideV w:val="nil"/>
          <w:tl2br w:val="nil"/>
          <w:tr2bl w:val="nil"/>
        </w:tcBorders>
        <w:shd w:val="solid" w:color="000000" w:fill="FFFFFF"/>
      </w:tcPr>
    </w:tblStylePr>
    <w:tblStylePr w:type="lastRow">
      <w:rPr>
        <w:rFonts w:cs="微软雅黑"/>
        <w:b/>
        <w:bCs/>
      </w:rPr>
      <w:tblPr/>
      <w:tcPr>
        <w:tcBorders>
          <w:top w:val="nil"/>
          <w:left w:val="nil"/>
          <w:bottom w:val="nil"/>
          <w:right w:val="nil"/>
          <w:insideH w:val="nil"/>
          <w:insideV w:val="nil"/>
          <w:tl2br w:val="nil"/>
          <w:tr2bl w:val="nil"/>
        </w:tcBorders>
      </w:tcPr>
    </w:tblStylePr>
    <w:tblStylePr w:type="lastCol">
      <w:rPr>
        <w:rFonts w:cs="微软雅黑"/>
        <w:b/>
        <w:bCs/>
      </w:rPr>
      <w:tblPr/>
      <w:tcPr>
        <w:tcBorders>
          <w:top w:val="nil"/>
          <w:left w:val="nil"/>
          <w:bottom w:val="nil"/>
          <w:right w:val="nil"/>
          <w:insideH w:val="nil"/>
          <w:insideV w:val="nil"/>
          <w:tl2br w:val="nil"/>
          <w:tr2bl w:val="nil"/>
        </w:tcBorders>
      </w:tcPr>
    </w:tblStylePr>
    <w:tblStylePr w:type="band1Vert">
      <w:rPr>
        <w:rFonts w:cs="微软雅黑"/>
        <w:color w:val="auto"/>
      </w:rPr>
      <w:tblPr/>
      <w:tcPr>
        <w:shd w:val="pct50" w:color="008080" w:fill="FFFFFF"/>
      </w:tcPr>
    </w:tblStylePr>
    <w:tblStylePr w:type="band2Vert">
      <w:rPr>
        <w:rFonts w:cs="微软雅黑"/>
        <w:color w:val="auto"/>
      </w:rPr>
      <w:tblPr/>
      <w:tcPr>
        <w:shd w:val="pct10" w:color="000000" w:fill="FFFFFF"/>
      </w:tcPr>
    </w:tblStylePr>
  </w:style>
  <w:style w:type="table" w:styleId="108">
    <w:name w:val="Table Columns 5"/>
    <w:basedOn w:val="76"/>
    <w:semiHidden/>
    <w:qFormat/>
    <w:uiPriority w:val="99"/>
    <w:pPr>
      <w:widowControl w:val="0"/>
      <w:spacing w:after="200" w:line="276" w:lineRule="auto"/>
    </w:pPr>
    <w:rPr>
      <w:rFonts w:cs="Calibri"/>
    </w:r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rFonts w:cs="微软雅黑"/>
        <w:b/>
        <w:bCs/>
        <w:i/>
        <w:iCs/>
      </w:rPr>
      <w:tblPr/>
      <w:tcPr>
        <w:tcBorders>
          <w:top w:val="nil"/>
          <w:left w:val="nil"/>
          <w:bottom w:val="single" w:color="808080" w:sz="6" w:space="0"/>
          <w:right w:val="nil"/>
          <w:insideH w:val="nil"/>
          <w:insideV w:val="nil"/>
          <w:tl2br w:val="nil"/>
          <w:tr2bl w:val="nil"/>
        </w:tcBorders>
      </w:tcPr>
    </w:tblStylePr>
    <w:tblStylePr w:type="lastRow">
      <w:rPr>
        <w:rFonts w:cs="微软雅黑"/>
        <w:b/>
        <w:bCs/>
      </w:rPr>
      <w:tblPr/>
      <w:tcPr>
        <w:tcBorders>
          <w:top w:val="single" w:color="808080" w:sz="6" w:space="0"/>
          <w:left w:val="nil"/>
          <w:bottom w:val="nil"/>
          <w:right w:val="nil"/>
          <w:insideH w:val="nil"/>
          <w:insideV w:val="nil"/>
          <w:tl2br w:val="nil"/>
          <w:tr2bl w:val="nil"/>
        </w:tcBorders>
      </w:tcPr>
    </w:tblStylePr>
    <w:tblStylePr w:type="firstCol">
      <w:rPr>
        <w:rFonts w:cs="微软雅黑"/>
        <w:b/>
        <w:bCs/>
      </w:rPr>
      <w:tblPr/>
      <w:tcPr>
        <w:tcBorders>
          <w:top w:val="nil"/>
          <w:left w:val="nil"/>
          <w:bottom w:val="nil"/>
          <w:right w:val="nil"/>
          <w:insideH w:val="nil"/>
          <w:insideV w:val="nil"/>
          <w:tl2br w:val="nil"/>
          <w:tr2bl w:val="nil"/>
        </w:tcBorders>
      </w:tcPr>
    </w:tblStylePr>
    <w:tblStylePr w:type="lastCol">
      <w:rPr>
        <w:rFonts w:cs="微软雅黑"/>
        <w:b/>
        <w:bCs/>
      </w:rPr>
      <w:tblPr/>
      <w:tcPr>
        <w:tcBorders>
          <w:top w:val="nil"/>
          <w:left w:val="nil"/>
          <w:bottom w:val="nil"/>
          <w:right w:val="nil"/>
          <w:insideH w:val="nil"/>
          <w:insideV w:val="nil"/>
          <w:tl2br w:val="nil"/>
          <w:tr2bl w:val="nil"/>
        </w:tcBorders>
      </w:tcPr>
    </w:tblStylePr>
    <w:tblStylePr w:type="band1Vert">
      <w:rPr>
        <w:rFonts w:cs="微软雅黑"/>
        <w:color w:val="auto"/>
      </w:rPr>
      <w:tblPr/>
      <w:tcPr>
        <w:shd w:val="solid" w:color="C0C0C0" w:fill="FFFFFF"/>
      </w:tcPr>
    </w:tblStylePr>
    <w:tblStylePr w:type="band2Vert">
      <w:rPr>
        <w:rFonts w:cs="微软雅黑"/>
        <w:color w:val="auto"/>
      </w:rPr>
    </w:tblStylePr>
  </w:style>
  <w:style w:type="table" w:styleId="109">
    <w:name w:val="Table Grid 1"/>
    <w:basedOn w:val="76"/>
    <w:semiHidden/>
    <w:qFormat/>
    <w:uiPriority w:val="99"/>
    <w:pPr>
      <w:widowControl w:val="0"/>
      <w:spacing w:after="200" w:line="276" w:lineRule="auto"/>
    </w:pPr>
    <w:rPr>
      <w:rFonts w:cs="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Row">
      <w:rPr>
        <w:rFonts w:cs="微软雅黑"/>
        <w:i/>
        <w:iCs/>
      </w:rPr>
      <w:tblPr/>
      <w:tcPr>
        <w:tcBorders>
          <w:top w:val="nil"/>
          <w:left w:val="nil"/>
          <w:bottom w:val="nil"/>
          <w:right w:val="nil"/>
          <w:insideH w:val="nil"/>
          <w:insideV w:val="nil"/>
          <w:tl2br w:val="nil"/>
          <w:tr2bl w:val="nil"/>
        </w:tcBorders>
      </w:tcPr>
    </w:tblStylePr>
    <w:tblStylePr w:type="lastCol">
      <w:rPr>
        <w:rFonts w:cs="微软雅黑"/>
        <w:i/>
        <w:iCs/>
      </w:rPr>
      <w:tblPr/>
      <w:tcPr>
        <w:tcBorders>
          <w:top w:val="nil"/>
          <w:left w:val="nil"/>
          <w:bottom w:val="nil"/>
          <w:right w:val="nil"/>
          <w:insideH w:val="nil"/>
          <w:insideV w:val="nil"/>
          <w:tl2br w:val="nil"/>
          <w:tr2bl w:val="nil"/>
        </w:tcBorders>
      </w:tcPr>
    </w:tblStylePr>
    <w:tblStylePr w:type="nwCell">
      <w:rPr>
        <w:rFonts w:cs="微软雅黑"/>
      </w:rPr>
      <w:tblPr/>
      <w:tcPr>
        <w:tcBorders>
          <w:top w:val="nil"/>
          <w:left w:val="nil"/>
          <w:bottom w:val="nil"/>
          <w:right w:val="nil"/>
          <w:insideH w:val="nil"/>
          <w:insideV w:val="nil"/>
          <w:tl2br w:val="single" w:color="000000" w:sz="6" w:space="0"/>
          <w:tr2bl w:val="nil"/>
        </w:tcBorders>
      </w:tcPr>
    </w:tblStylePr>
  </w:style>
  <w:style w:type="table" w:styleId="110">
    <w:name w:val="Table Grid 2"/>
    <w:basedOn w:val="76"/>
    <w:semiHidden/>
    <w:qFormat/>
    <w:uiPriority w:val="99"/>
    <w:pPr>
      <w:widowControl w:val="0"/>
      <w:spacing w:after="200" w:line="276" w:lineRule="auto"/>
    </w:pPr>
    <w:rPr>
      <w:rFonts w:cs="Calibri"/>
    </w:rPr>
    <w:tblPr>
      <w:tblBorders>
        <w:insideH w:val="single" w:color="000000" w:sz="6" w:space="0"/>
        <w:insideV w:val="single" w:color="000000" w:sz="6" w:space="0"/>
      </w:tblBorders>
    </w:tblPr>
    <w:tblStylePr w:type="firstRow">
      <w:rPr>
        <w:rFonts w:cs="微软雅黑"/>
        <w:b/>
        <w:bCs/>
      </w:rPr>
      <w:tblPr/>
      <w:tcPr>
        <w:tcBorders>
          <w:top w:val="nil"/>
          <w:left w:val="nil"/>
          <w:bottom w:val="nil"/>
          <w:right w:val="nil"/>
          <w:insideH w:val="nil"/>
          <w:insideV w:val="nil"/>
          <w:tl2br w:val="nil"/>
          <w:tr2bl w:val="nil"/>
        </w:tcBorders>
      </w:tcPr>
    </w:tblStylePr>
    <w:tblStylePr w:type="lastRow">
      <w:rPr>
        <w:rFonts w:cs="微软雅黑"/>
        <w:b/>
        <w:bCs/>
      </w:rPr>
      <w:tblPr/>
      <w:tcPr>
        <w:tcBorders>
          <w:top w:val="single" w:color="000000" w:sz="6" w:space="0"/>
          <w:left w:val="nil"/>
          <w:bottom w:val="nil"/>
          <w:right w:val="nil"/>
          <w:insideH w:val="nil"/>
          <w:insideV w:val="nil"/>
          <w:tl2br w:val="nil"/>
          <w:tr2bl w:val="nil"/>
        </w:tcBorders>
      </w:tcPr>
    </w:tblStylePr>
    <w:tblStylePr w:type="firstCol">
      <w:rPr>
        <w:rFonts w:cs="微软雅黑"/>
        <w:b/>
        <w:bCs/>
      </w:rPr>
      <w:tblPr/>
      <w:tcPr>
        <w:tcBorders>
          <w:top w:val="nil"/>
          <w:left w:val="nil"/>
          <w:bottom w:val="nil"/>
          <w:right w:val="nil"/>
          <w:insideH w:val="nil"/>
          <w:insideV w:val="nil"/>
          <w:tl2br w:val="nil"/>
          <w:tr2bl w:val="nil"/>
        </w:tcBorders>
      </w:tcPr>
    </w:tblStylePr>
    <w:tblStylePr w:type="lastCol">
      <w:rPr>
        <w:rFonts w:cs="微软雅黑"/>
        <w:b/>
        <w:bCs/>
      </w:rPr>
      <w:tblPr/>
      <w:tcPr>
        <w:tcBorders>
          <w:top w:val="nil"/>
          <w:left w:val="nil"/>
          <w:bottom w:val="nil"/>
          <w:right w:val="nil"/>
          <w:insideH w:val="nil"/>
          <w:insideV w:val="nil"/>
          <w:tl2br w:val="nil"/>
          <w:tr2bl w:val="nil"/>
        </w:tcBorders>
      </w:tcPr>
    </w:tblStylePr>
  </w:style>
  <w:style w:type="table" w:styleId="111">
    <w:name w:val="Table Grid 3"/>
    <w:basedOn w:val="76"/>
    <w:semiHidden/>
    <w:qFormat/>
    <w:uiPriority w:val="99"/>
    <w:pPr>
      <w:widowControl w:val="0"/>
      <w:spacing w:after="200" w:line="276" w:lineRule="auto"/>
    </w:pPr>
    <w:rPr>
      <w:rFonts w:cs="Calibri"/>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rPr>
        <w:rFonts w:cs="微软雅黑"/>
      </w:rPr>
      <w:tblPr/>
      <w:tcPr>
        <w:tcBorders>
          <w:top w:val="nil"/>
          <w:left w:val="nil"/>
          <w:bottom w:val="single" w:color="000000" w:sz="6" w:space="0"/>
          <w:right w:val="nil"/>
          <w:insideH w:val="nil"/>
          <w:insideV w:val="nil"/>
          <w:tl2br w:val="nil"/>
          <w:tr2bl w:val="nil"/>
        </w:tcBorders>
        <w:shd w:val="pct30" w:color="FFFF00" w:fill="FFFFFF"/>
      </w:tcPr>
    </w:tblStylePr>
    <w:tblStylePr w:type="lastRow">
      <w:rPr>
        <w:rFonts w:cs="微软雅黑"/>
        <w:b/>
        <w:bCs/>
      </w:rPr>
      <w:tblPr/>
      <w:tcPr>
        <w:tcBorders>
          <w:top w:val="nil"/>
          <w:left w:val="nil"/>
          <w:bottom w:val="nil"/>
          <w:right w:val="nil"/>
          <w:insideH w:val="nil"/>
          <w:insideV w:val="nil"/>
          <w:tl2br w:val="nil"/>
          <w:tr2bl w:val="nil"/>
        </w:tcBorders>
      </w:tcPr>
    </w:tblStylePr>
    <w:tblStylePr w:type="lastCol">
      <w:rPr>
        <w:rFonts w:cs="微软雅黑"/>
        <w:b/>
        <w:bCs/>
      </w:rPr>
      <w:tblPr/>
      <w:tcPr>
        <w:tcBorders>
          <w:top w:val="nil"/>
          <w:left w:val="nil"/>
          <w:bottom w:val="nil"/>
          <w:right w:val="nil"/>
          <w:insideH w:val="nil"/>
          <w:insideV w:val="nil"/>
          <w:tl2br w:val="nil"/>
          <w:tr2bl w:val="nil"/>
        </w:tcBorders>
      </w:tcPr>
    </w:tblStylePr>
    <w:tblStylePr w:type="nwCell">
      <w:rPr>
        <w:rFonts w:cs="微软雅黑"/>
      </w:rPr>
      <w:tblPr/>
      <w:tcPr>
        <w:tcBorders>
          <w:top w:val="nil"/>
          <w:left w:val="nil"/>
          <w:bottom w:val="nil"/>
          <w:right w:val="nil"/>
          <w:insideH w:val="nil"/>
          <w:insideV w:val="nil"/>
          <w:tl2br w:val="single" w:color="000000" w:sz="6" w:space="0"/>
          <w:tr2bl w:val="nil"/>
        </w:tcBorders>
      </w:tcPr>
    </w:tblStylePr>
  </w:style>
  <w:style w:type="table" w:styleId="112">
    <w:name w:val="Table Grid 4"/>
    <w:basedOn w:val="76"/>
    <w:semiHidden/>
    <w:qFormat/>
    <w:uiPriority w:val="99"/>
    <w:pPr>
      <w:widowControl w:val="0"/>
      <w:spacing w:after="200" w:line="276" w:lineRule="auto"/>
    </w:pPr>
    <w:rPr>
      <w:rFonts w:cs="Calibri"/>
    </w:rPr>
    <w:tblPr>
      <w:tblBorders>
        <w:left w:val="single" w:color="000000" w:sz="12" w:space="0"/>
        <w:right w:val="single" w:color="000000" w:sz="12" w:space="0"/>
        <w:insideH w:val="single" w:color="000000" w:sz="6" w:space="0"/>
        <w:insideV w:val="single" w:color="000000" w:sz="6" w:space="0"/>
      </w:tblBorders>
    </w:tblPr>
    <w:tblStylePr w:type="firstRow">
      <w:rPr>
        <w:rFonts w:cs="微软雅黑"/>
        <w:color w:val="auto"/>
      </w:rPr>
      <w:tblPr/>
      <w:tcPr>
        <w:tcBorders>
          <w:top w:val="nil"/>
          <w:left w:val="nil"/>
          <w:bottom w:val="single" w:color="000000" w:sz="6" w:space="0"/>
          <w:right w:val="nil"/>
          <w:insideH w:val="nil"/>
          <w:insideV w:val="nil"/>
          <w:tl2br w:val="nil"/>
          <w:tr2bl w:val="nil"/>
        </w:tcBorders>
        <w:shd w:val="pct30" w:color="FFFF00" w:fill="FFFFFF"/>
      </w:tcPr>
    </w:tblStylePr>
    <w:tblStylePr w:type="lastRow">
      <w:rPr>
        <w:rFonts w:cs="微软雅黑"/>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rFonts w:cs="微软雅黑"/>
        <w:b/>
        <w:bCs/>
        <w:color w:val="auto"/>
      </w:rPr>
      <w:tblPr/>
      <w:tcPr>
        <w:tcBorders>
          <w:top w:val="nil"/>
          <w:left w:val="nil"/>
          <w:bottom w:val="nil"/>
          <w:right w:val="nil"/>
          <w:insideH w:val="nil"/>
          <w:insideV w:val="nil"/>
          <w:tl2br w:val="nil"/>
          <w:tr2bl w:val="nil"/>
        </w:tcBorders>
      </w:tcPr>
    </w:tblStylePr>
  </w:style>
  <w:style w:type="table" w:styleId="113">
    <w:name w:val="Table Grid 5"/>
    <w:basedOn w:val="76"/>
    <w:semiHidden/>
    <w:qFormat/>
    <w:uiPriority w:val="99"/>
    <w:pPr>
      <w:widowControl w:val="0"/>
      <w:spacing w:after="200" w:line="276" w:lineRule="auto"/>
    </w:pPr>
    <w:rPr>
      <w:rFonts w:cs="Calibri"/>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rPr>
        <w:rFonts w:cs="微软雅黑"/>
      </w:rPr>
      <w:tblPr/>
      <w:tcPr>
        <w:tcBorders>
          <w:top w:val="nil"/>
          <w:left w:val="nil"/>
          <w:bottom w:val="single" w:color="000000" w:sz="12" w:space="0"/>
          <w:right w:val="nil"/>
          <w:insideH w:val="nil"/>
          <w:insideV w:val="nil"/>
          <w:tl2br w:val="nil"/>
          <w:tr2bl w:val="nil"/>
        </w:tcBorders>
      </w:tcPr>
    </w:tblStylePr>
    <w:tblStylePr w:type="lastRow">
      <w:rPr>
        <w:rFonts w:cs="微软雅黑"/>
        <w:b/>
        <w:bCs/>
      </w:rPr>
      <w:tblPr/>
      <w:tcPr>
        <w:tcBorders>
          <w:top w:val="nil"/>
          <w:left w:val="nil"/>
          <w:bottom w:val="nil"/>
          <w:right w:val="nil"/>
          <w:insideH w:val="nil"/>
          <w:insideV w:val="nil"/>
          <w:tl2br w:val="nil"/>
          <w:tr2bl w:val="nil"/>
        </w:tcBorders>
      </w:tcPr>
    </w:tblStylePr>
    <w:tblStylePr w:type="lastCol">
      <w:rPr>
        <w:rFonts w:cs="微软雅黑"/>
        <w:b/>
        <w:bCs/>
      </w:rPr>
      <w:tblPr/>
      <w:tcPr>
        <w:tcBorders>
          <w:top w:val="nil"/>
          <w:left w:val="nil"/>
          <w:bottom w:val="nil"/>
          <w:right w:val="nil"/>
          <w:insideH w:val="nil"/>
          <w:insideV w:val="nil"/>
          <w:tl2br w:val="nil"/>
          <w:tr2bl w:val="nil"/>
        </w:tcBorders>
      </w:tcPr>
    </w:tblStylePr>
    <w:tblStylePr w:type="nwCell">
      <w:rPr>
        <w:rFonts w:cs="微软雅黑"/>
      </w:rPr>
      <w:tblPr/>
      <w:tcPr>
        <w:tcBorders>
          <w:top w:val="nil"/>
          <w:left w:val="nil"/>
          <w:bottom w:val="nil"/>
          <w:right w:val="nil"/>
          <w:insideH w:val="nil"/>
          <w:insideV w:val="nil"/>
          <w:tl2br w:val="single" w:color="000000" w:sz="6" w:space="0"/>
          <w:tr2bl w:val="nil"/>
        </w:tcBorders>
      </w:tcPr>
    </w:tblStylePr>
  </w:style>
  <w:style w:type="table" w:styleId="114">
    <w:name w:val="Table Grid 6"/>
    <w:basedOn w:val="76"/>
    <w:semiHidden/>
    <w:qFormat/>
    <w:uiPriority w:val="99"/>
    <w:pPr>
      <w:widowControl w:val="0"/>
      <w:spacing w:after="200" w:line="276" w:lineRule="auto"/>
    </w:pPr>
    <w:rPr>
      <w:rFonts w:cs="Calibri"/>
    </w:rPr>
    <w:tblPr>
      <w:tblBorders>
        <w:top w:val="single" w:color="000000" w:sz="12" w:space="0"/>
        <w:left w:val="single" w:color="000000" w:sz="12" w:space="0"/>
        <w:bottom w:val="single" w:color="000000" w:sz="12" w:space="0"/>
        <w:right w:val="single" w:color="000000" w:sz="12" w:space="0"/>
        <w:insideV w:val="single" w:color="000000" w:sz="6" w:space="0"/>
      </w:tblBorders>
    </w:tblPr>
    <w:tblStylePr w:type="firstRow">
      <w:rPr>
        <w:rFonts w:cs="微软雅黑"/>
        <w:b/>
        <w:bCs/>
      </w:rPr>
      <w:tblPr/>
      <w:tcPr>
        <w:tcBorders>
          <w:top w:val="nil"/>
          <w:left w:val="nil"/>
          <w:bottom w:val="single" w:color="000000" w:sz="6" w:space="0"/>
          <w:right w:val="nil"/>
          <w:insideH w:val="nil"/>
          <w:insideV w:val="nil"/>
          <w:tl2br w:val="nil"/>
          <w:tr2bl w:val="nil"/>
        </w:tcBorders>
      </w:tcPr>
    </w:tblStylePr>
    <w:tblStylePr w:type="lastRow">
      <w:rPr>
        <w:rFonts w:cs="微软雅黑"/>
        <w:color w:val="auto"/>
      </w:rPr>
      <w:tblPr/>
      <w:tcPr>
        <w:tcBorders>
          <w:top w:val="single" w:color="000000" w:sz="6" w:space="0"/>
          <w:left w:val="nil"/>
          <w:bottom w:val="nil"/>
          <w:right w:val="nil"/>
          <w:insideH w:val="nil"/>
          <w:insideV w:val="nil"/>
          <w:tl2br w:val="nil"/>
          <w:tr2bl w:val="nil"/>
        </w:tcBorders>
      </w:tcPr>
    </w:tblStylePr>
    <w:tblStylePr w:type="firstCol">
      <w:rPr>
        <w:rFonts w:cs="微软雅黑"/>
        <w:b/>
        <w:bCs/>
      </w:rPr>
      <w:tblPr/>
      <w:tcPr>
        <w:tcBorders>
          <w:top w:val="nil"/>
          <w:left w:val="nil"/>
          <w:bottom w:val="nil"/>
          <w:right w:val="nil"/>
          <w:insideH w:val="nil"/>
          <w:insideV w:val="nil"/>
          <w:tl2br w:val="nil"/>
          <w:tr2bl w:val="nil"/>
        </w:tcBorders>
      </w:tcPr>
    </w:tblStylePr>
    <w:tblStylePr w:type="nwCell">
      <w:rPr>
        <w:rFonts w:cs="微软雅黑"/>
      </w:rPr>
      <w:tblPr/>
      <w:tcPr>
        <w:tcBorders>
          <w:top w:val="nil"/>
          <w:left w:val="nil"/>
          <w:bottom w:val="nil"/>
          <w:right w:val="nil"/>
          <w:insideH w:val="nil"/>
          <w:insideV w:val="nil"/>
          <w:tl2br w:val="single" w:color="000000" w:sz="6" w:space="0"/>
          <w:tr2bl w:val="nil"/>
        </w:tcBorders>
      </w:tcPr>
    </w:tblStylePr>
  </w:style>
  <w:style w:type="table" w:styleId="115">
    <w:name w:val="Table Grid 7"/>
    <w:basedOn w:val="76"/>
    <w:semiHidden/>
    <w:qFormat/>
    <w:uiPriority w:val="99"/>
    <w:pPr>
      <w:widowControl w:val="0"/>
      <w:spacing w:after="200" w:line="276" w:lineRule="auto"/>
    </w:pPr>
    <w:rPr>
      <w:rFonts w:cs="Calibri"/>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rPr>
        <w:rFonts w:cs="微软雅黑"/>
        <w:b w:val="0"/>
        <w:bCs w:val="0"/>
      </w:rPr>
      <w:tblPr/>
      <w:tcPr>
        <w:tcBorders>
          <w:top w:val="nil"/>
          <w:left w:val="nil"/>
          <w:bottom w:val="single" w:color="000000" w:sz="12" w:space="0"/>
          <w:right w:val="nil"/>
          <w:insideH w:val="nil"/>
          <w:insideV w:val="nil"/>
          <w:tl2br w:val="nil"/>
          <w:tr2bl w:val="nil"/>
        </w:tcBorders>
      </w:tcPr>
    </w:tblStylePr>
    <w:tblStylePr w:type="lastRow">
      <w:rPr>
        <w:rFonts w:cs="微软雅黑"/>
        <w:b w:val="0"/>
        <w:bCs w:val="0"/>
      </w:rPr>
      <w:tblPr/>
      <w:tcPr>
        <w:tcBorders>
          <w:top w:val="single" w:color="000000" w:sz="6" w:space="0"/>
          <w:left w:val="nil"/>
          <w:bottom w:val="nil"/>
          <w:right w:val="nil"/>
          <w:insideH w:val="nil"/>
          <w:insideV w:val="nil"/>
          <w:tl2br w:val="nil"/>
          <w:tr2bl w:val="nil"/>
        </w:tcBorders>
      </w:tcPr>
    </w:tblStylePr>
    <w:tblStylePr w:type="firstCol">
      <w:rPr>
        <w:rFonts w:cs="微软雅黑"/>
        <w:b w:val="0"/>
        <w:bCs w:val="0"/>
      </w:rPr>
      <w:tblPr/>
      <w:tcPr>
        <w:tcBorders>
          <w:top w:val="nil"/>
          <w:left w:val="nil"/>
          <w:bottom w:val="nil"/>
          <w:right w:val="nil"/>
          <w:insideH w:val="nil"/>
          <w:insideV w:val="nil"/>
          <w:tl2br w:val="nil"/>
          <w:tr2bl w:val="nil"/>
        </w:tcBorders>
      </w:tcPr>
    </w:tblStylePr>
    <w:tblStylePr w:type="lastCol">
      <w:rPr>
        <w:rFonts w:cs="微软雅黑"/>
        <w:b w:val="0"/>
        <w:bCs w:val="0"/>
      </w:rPr>
      <w:tblPr/>
      <w:tcPr>
        <w:tcBorders>
          <w:top w:val="nil"/>
          <w:left w:val="nil"/>
          <w:bottom w:val="nil"/>
          <w:right w:val="nil"/>
          <w:insideH w:val="nil"/>
          <w:insideV w:val="nil"/>
          <w:tl2br w:val="nil"/>
          <w:tr2bl w:val="nil"/>
        </w:tcBorders>
      </w:tcPr>
    </w:tblStylePr>
    <w:tblStylePr w:type="nwCell">
      <w:rPr>
        <w:rFonts w:cs="微软雅黑"/>
      </w:rPr>
      <w:tblPr/>
      <w:tcPr>
        <w:tcBorders>
          <w:top w:val="nil"/>
          <w:left w:val="nil"/>
          <w:bottom w:val="nil"/>
          <w:right w:val="nil"/>
          <w:insideH w:val="nil"/>
          <w:insideV w:val="nil"/>
          <w:tl2br w:val="single" w:color="000000" w:sz="6" w:space="0"/>
          <w:tr2bl w:val="nil"/>
        </w:tcBorders>
      </w:tcPr>
    </w:tblStylePr>
  </w:style>
  <w:style w:type="table" w:styleId="116">
    <w:name w:val="Table Grid 8"/>
    <w:basedOn w:val="76"/>
    <w:semiHidden/>
    <w:qFormat/>
    <w:uiPriority w:val="99"/>
    <w:pPr>
      <w:widowControl w:val="0"/>
      <w:spacing w:after="200" w:line="276" w:lineRule="auto"/>
    </w:pPr>
    <w:rPr>
      <w:rFonts w:cs="Calibri"/>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blStylePr w:type="firstRow">
      <w:rPr>
        <w:rFonts w:cs="微软雅黑"/>
        <w:b/>
        <w:bCs/>
        <w:color w:val="FFFFFF"/>
      </w:rPr>
      <w:tblPr/>
      <w:tcPr>
        <w:tcBorders>
          <w:top w:val="nil"/>
          <w:left w:val="nil"/>
          <w:bottom w:val="nil"/>
          <w:right w:val="nil"/>
          <w:insideH w:val="nil"/>
          <w:insideV w:val="nil"/>
          <w:tl2br w:val="nil"/>
          <w:tr2bl w:val="nil"/>
        </w:tcBorders>
        <w:shd w:val="solid" w:color="000080" w:fill="FFFFFF"/>
      </w:tcPr>
    </w:tblStylePr>
    <w:tblStylePr w:type="lastRow">
      <w:rPr>
        <w:rFonts w:cs="微软雅黑"/>
        <w:b/>
        <w:bCs/>
        <w:color w:val="auto"/>
      </w:rPr>
      <w:tblPr/>
      <w:tcPr>
        <w:tcBorders>
          <w:top w:val="nil"/>
          <w:left w:val="nil"/>
          <w:bottom w:val="nil"/>
          <w:right w:val="nil"/>
          <w:insideH w:val="nil"/>
          <w:insideV w:val="nil"/>
          <w:tl2br w:val="nil"/>
          <w:tr2bl w:val="nil"/>
        </w:tcBorders>
      </w:tcPr>
    </w:tblStylePr>
    <w:tblStylePr w:type="lastCol">
      <w:rPr>
        <w:rFonts w:cs="微软雅黑"/>
        <w:b/>
        <w:bCs/>
        <w:color w:val="auto"/>
      </w:rPr>
      <w:tblPr/>
      <w:tcPr>
        <w:tcBorders>
          <w:top w:val="nil"/>
          <w:left w:val="nil"/>
          <w:bottom w:val="nil"/>
          <w:right w:val="nil"/>
          <w:insideH w:val="nil"/>
          <w:insideV w:val="nil"/>
          <w:tl2br w:val="nil"/>
          <w:tr2bl w:val="nil"/>
        </w:tcBorders>
      </w:tcPr>
    </w:tblStylePr>
  </w:style>
  <w:style w:type="table" w:styleId="117">
    <w:name w:val="Table Web 1"/>
    <w:basedOn w:val="76"/>
    <w:semiHidden/>
    <w:qFormat/>
    <w:uiPriority w:val="99"/>
    <w:pPr>
      <w:widowControl w:val="0"/>
      <w:spacing w:after="200" w:line="276" w:lineRule="auto"/>
    </w:pPr>
    <w:rPr>
      <w:rFonts w:cs="Calibri"/>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blStylePr w:type="firstRow">
      <w:rPr>
        <w:rFonts w:cs="微软雅黑"/>
        <w:color w:val="auto"/>
      </w:rPr>
      <w:tblPr/>
      <w:tcPr>
        <w:tcBorders>
          <w:top w:val="nil"/>
          <w:left w:val="nil"/>
          <w:bottom w:val="nil"/>
          <w:right w:val="nil"/>
          <w:insideH w:val="nil"/>
          <w:insideV w:val="nil"/>
          <w:tl2br w:val="nil"/>
          <w:tr2bl w:val="nil"/>
        </w:tcBorders>
      </w:tcPr>
    </w:tblStylePr>
  </w:style>
  <w:style w:type="table" w:styleId="118">
    <w:name w:val="Table Web 2"/>
    <w:basedOn w:val="76"/>
    <w:semiHidden/>
    <w:qFormat/>
    <w:uiPriority w:val="99"/>
    <w:pPr>
      <w:widowControl w:val="0"/>
      <w:spacing w:after="200" w:line="276" w:lineRule="auto"/>
    </w:pPr>
    <w:rPr>
      <w:rFonts w:cs="Calibri"/>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blStylePr w:type="firstRow">
      <w:rPr>
        <w:rFonts w:cs="微软雅黑"/>
        <w:color w:val="auto"/>
      </w:rPr>
      <w:tblPr/>
      <w:tcPr>
        <w:tcBorders>
          <w:top w:val="nil"/>
          <w:left w:val="nil"/>
          <w:bottom w:val="nil"/>
          <w:right w:val="nil"/>
          <w:insideH w:val="nil"/>
          <w:insideV w:val="nil"/>
          <w:tl2br w:val="nil"/>
          <w:tr2bl w:val="nil"/>
        </w:tcBorders>
      </w:tcPr>
    </w:tblStylePr>
  </w:style>
  <w:style w:type="table" w:styleId="119">
    <w:name w:val="Table Web 3"/>
    <w:basedOn w:val="76"/>
    <w:semiHidden/>
    <w:qFormat/>
    <w:uiPriority w:val="99"/>
    <w:pPr>
      <w:widowControl w:val="0"/>
      <w:spacing w:after="200" w:line="276" w:lineRule="auto"/>
    </w:pPr>
    <w:rPr>
      <w:rFonts w:cs="Calibri"/>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blStylePr w:type="firstRow">
      <w:rPr>
        <w:rFonts w:cs="微软雅黑"/>
        <w:color w:val="auto"/>
      </w:rPr>
      <w:tblPr/>
      <w:tcPr>
        <w:tcBorders>
          <w:top w:val="nil"/>
          <w:left w:val="nil"/>
          <w:bottom w:val="nil"/>
          <w:right w:val="nil"/>
          <w:insideH w:val="nil"/>
          <w:insideV w:val="nil"/>
          <w:tl2br w:val="nil"/>
          <w:tr2bl w:val="nil"/>
        </w:tcBorders>
      </w:tcPr>
    </w:tblStylePr>
  </w:style>
  <w:style w:type="table" w:styleId="120">
    <w:name w:val="Table Professional"/>
    <w:basedOn w:val="76"/>
    <w:semiHidden/>
    <w:qFormat/>
    <w:uiPriority w:val="99"/>
    <w:pPr>
      <w:widowControl w:val="0"/>
      <w:spacing w:after="200" w:line="276" w:lineRule="auto"/>
    </w:pPr>
    <w:rPr>
      <w:rFonts w:cs="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rFonts w:cs="微软雅黑"/>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122">
    <w:name w:val="Strong"/>
    <w:qFormat/>
    <w:uiPriority w:val="0"/>
    <w:rPr>
      <w:rFonts w:cs="Times New Roman"/>
      <w:b/>
      <w:bCs/>
    </w:rPr>
  </w:style>
  <w:style w:type="character" w:styleId="123">
    <w:name w:val="page number"/>
    <w:basedOn w:val="121"/>
    <w:qFormat/>
    <w:uiPriority w:val="0"/>
    <w:rPr>
      <w:rFonts w:cs="Times New Roman"/>
    </w:rPr>
  </w:style>
  <w:style w:type="character" w:styleId="124">
    <w:name w:val="FollowedHyperlink"/>
    <w:qFormat/>
    <w:uiPriority w:val="0"/>
    <w:rPr>
      <w:rFonts w:cs="Times New Roman"/>
      <w:color w:val="1F4F88"/>
      <w:u w:val="none"/>
    </w:rPr>
  </w:style>
  <w:style w:type="character" w:styleId="125">
    <w:name w:val="Emphasis"/>
    <w:qFormat/>
    <w:uiPriority w:val="20"/>
    <w:rPr>
      <w:rFonts w:cs="Times New Roman"/>
      <w:color w:val="auto"/>
    </w:rPr>
  </w:style>
  <w:style w:type="character" w:styleId="126">
    <w:name w:val="line number"/>
    <w:qFormat/>
    <w:uiPriority w:val="99"/>
    <w:rPr>
      <w:rFonts w:cs="Times New Roman"/>
    </w:rPr>
  </w:style>
  <w:style w:type="character" w:styleId="127">
    <w:name w:val="HTML Definition"/>
    <w:semiHidden/>
    <w:qFormat/>
    <w:uiPriority w:val="99"/>
    <w:rPr>
      <w:rFonts w:cs="Times New Roman"/>
      <w:i/>
      <w:iCs/>
    </w:rPr>
  </w:style>
  <w:style w:type="character" w:styleId="128">
    <w:name w:val="HTML Typewriter"/>
    <w:semiHidden/>
    <w:qFormat/>
    <w:uiPriority w:val="99"/>
    <w:rPr>
      <w:rFonts w:ascii="Courier New" w:hAnsi="Courier New" w:cs="Courier New"/>
      <w:sz w:val="20"/>
      <w:szCs w:val="20"/>
    </w:rPr>
  </w:style>
  <w:style w:type="character" w:styleId="129">
    <w:name w:val="HTML Acronym"/>
    <w:semiHidden/>
    <w:qFormat/>
    <w:uiPriority w:val="99"/>
    <w:rPr>
      <w:rFonts w:cs="Times New Roman"/>
    </w:rPr>
  </w:style>
  <w:style w:type="character" w:styleId="130">
    <w:name w:val="HTML Variable"/>
    <w:semiHidden/>
    <w:qFormat/>
    <w:uiPriority w:val="99"/>
    <w:rPr>
      <w:rFonts w:cs="Times New Roman"/>
      <w:i/>
      <w:iCs/>
    </w:rPr>
  </w:style>
  <w:style w:type="character" w:styleId="131">
    <w:name w:val="Hyperlink"/>
    <w:qFormat/>
    <w:uiPriority w:val="99"/>
    <w:rPr>
      <w:rFonts w:cs="Times New Roman"/>
      <w:color w:val="1F4F88"/>
      <w:u w:val="none"/>
    </w:rPr>
  </w:style>
  <w:style w:type="character" w:styleId="132">
    <w:name w:val="HTML Code"/>
    <w:semiHidden/>
    <w:qFormat/>
    <w:uiPriority w:val="99"/>
    <w:rPr>
      <w:rFonts w:ascii="Courier New" w:hAnsi="Courier New" w:cs="Courier New"/>
      <w:sz w:val="20"/>
      <w:szCs w:val="20"/>
    </w:rPr>
  </w:style>
  <w:style w:type="character" w:styleId="133">
    <w:name w:val="annotation reference"/>
    <w:qFormat/>
    <w:uiPriority w:val="99"/>
    <w:rPr>
      <w:rFonts w:cs="Times New Roman"/>
      <w:sz w:val="21"/>
      <w:szCs w:val="21"/>
    </w:rPr>
  </w:style>
  <w:style w:type="character" w:styleId="134">
    <w:name w:val="HTML Cite"/>
    <w:semiHidden/>
    <w:qFormat/>
    <w:uiPriority w:val="99"/>
    <w:rPr>
      <w:rFonts w:cs="Times New Roman"/>
      <w:i/>
      <w:iCs/>
    </w:rPr>
  </w:style>
  <w:style w:type="character" w:styleId="135">
    <w:name w:val="footnote reference"/>
    <w:semiHidden/>
    <w:qFormat/>
    <w:locked/>
    <w:uiPriority w:val="0"/>
    <w:rPr>
      <w:vertAlign w:val="superscript"/>
    </w:rPr>
  </w:style>
  <w:style w:type="character" w:styleId="136">
    <w:name w:val="HTML Keyboard"/>
    <w:semiHidden/>
    <w:qFormat/>
    <w:uiPriority w:val="99"/>
    <w:rPr>
      <w:rFonts w:ascii="Courier New" w:hAnsi="Courier New" w:cs="Courier New"/>
      <w:sz w:val="20"/>
      <w:szCs w:val="20"/>
    </w:rPr>
  </w:style>
  <w:style w:type="character" w:styleId="137">
    <w:name w:val="HTML Sample"/>
    <w:semiHidden/>
    <w:qFormat/>
    <w:uiPriority w:val="99"/>
    <w:rPr>
      <w:rFonts w:ascii="Courier New" w:hAnsi="Courier New" w:cs="Courier New"/>
    </w:rPr>
  </w:style>
  <w:style w:type="paragraph" w:customStyle="1" w:styleId="138">
    <w:name w:val="_Style 137"/>
    <w:unhideWhenUsed/>
    <w:qFormat/>
    <w:uiPriority w:val="99"/>
    <w:rPr>
      <w:rFonts w:ascii="Times New Roman" w:hAnsi="Times New Roman" w:eastAsia="宋体" w:cs="Times New Roman"/>
      <w:kern w:val="2"/>
      <w:sz w:val="21"/>
      <w:szCs w:val="21"/>
      <w:lang w:val="en-US" w:eastAsia="zh-CN" w:bidi="ar-SA"/>
    </w:rPr>
  </w:style>
  <w:style w:type="paragraph" w:customStyle="1" w:styleId="139">
    <w:name w:val="表内文字"/>
    <w:basedOn w:val="1"/>
    <w:qFormat/>
    <w:uiPriority w:val="0"/>
    <w:pPr>
      <w:spacing w:line="360" w:lineRule="auto"/>
      <w:jc w:val="center"/>
    </w:pPr>
    <w:rPr>
      <w:rFonts w:ascii="宋体" w:hAnsi="宋体"/>
      <w:b/>
      <w:bCs/>
      <w:sz w:val="28"/>
      <w:szCs w:val="24"/>
    </w:rPr>
  </w:style>
  <w:style w:type="paragraph" w:customStyle="1" w:styleId="140">
    <w:name w:val="1正文段落"/>
    <w:basedOn w:val="1"/>
    <w:qFormat/>
    <w:uiPriority w:val="0"/>
    <w:pPr>
      <w:spacing w:line="360" w:lineRule="auto"/>
      <w:ind w:firstLine="480" w:firstLineChars="200"/>
      <w:jc w:val="left"/>
    </w:pPr>
    <w:rPr>
      <w:snapToGrid w:val="0"/>
      <w:kern w:val="0"/>
      <w:sz w:val="24"/>
      <w:szCs w:val="24"/>
    </w:rPr>
  </w:style>
  <w:style w:type="paragraph" w:customStyle="1" w:styleId="141">
    <w:name w:val="HR标题7"/>
    <w:basedOn w:val="1"/>
    <w:next w:val="142"/>
    <w:qFormat/>
    <w:uiPriority w:val="0"/>
    <w:pPr>
      <w:numPr>
        <w:ilvl w:val="6"/>
        <w:numId w:val="1"/>
      </w:numPr>
      <w:tabs>
        <w:tab w:val="left" w:pos="1332"/>
      </w:tabs>
      <w:spacing w:line="360" w:lineRule="auto"/>
      <w:outlineLvl w:val="6"/>
    </w:pPr>
    <w:rPr>
      <w:sz w:val="24"/>
      <w:szCs w:val="24"/>
    </w:rPr>
  </w:style>
  <w:style w:type="paragraph" w:customStyle="1" w:styleId="142">
    <w:name w:val="HR正文"/>
    <w:basedOn w:val="1"/>
    <w:link w:val="282"/>
    <w:qFormat/>
    <w:uiPriority w:val="0"/>
    <w:pPr>
      <w:spacing w:line="300" w:lineRule="auto"/>
      <w:ind w:firstLine="200" w:firstLineChars="200"/>
    </w:pPr>
    <w:rPr>
      <w:rFonts w:ascii="Calibri" w:hAnsi="Calibri"/>
      <w:sz w:val="24"/>
      <w:szCs w:val="24"/>
    </w:rPr>
  </w:style>
  <w:style w:type="paragraph" w:customStyle="1" w:styleId="143">
    <w:name w:val="_Style 142"/>
    <w:basedOn w:val="2"/>
    <w:next w:val="1"/>
    <w:qFormat/>
    <w:uiPriority w:val="39"/>
    <w:pPr>
      <w:keepNext/>
      <w:keepLines/>
      <w:tabs>
        <w:tab w:val="clear" w:pos="9061"/>
      </w:tabs>
      <w:spacing w:before="340" w:after="330" w:line="578" w:lineRule="auto"/>
      <w:jc w:val="both"/>
      <w:outlineLvl w:val="9"/>
    </w:pPr>
    <w:rPr>
      <w:bCs/>
      <w:kern w:val="44"/>
      <w:sz w:val="44"/>
      <w:szCs w:val="44"/>
    </w:rPr>
  </w:style>
  <w:style w:type="paragraph" w:customStyle="1" w:styleId="144">
    <w:name w:val="Char Char 字元 字元 字元 Char Char Char Char"/>
    <w:basedOn w:val="1"/>
    <w:qFormat/>
    <w:uiPriority w:val="99"/>
    <w:pPr>
      <w:adjustRightInd w:val="0"/>
      <w:spacing w:line="360" w:lineRule="auto"/>
    </w:pPr>
    <w:rPr>
      <w:kern w:val="0"/>
      <w:sz w:val="24"/>
      <w:szCs w:val="24"/>
    </w:rPr>
  </w:style>
  <w:style w:type="paragraph" w:styleId="145">
    <w:name w:val="List Paragraph"/>
    <w:basedOn w:val="1"/>
    <w:qFormat/>
    <w:uiPriority w:val="34"/>
    <w:pPr>
      <w:ind w:firstLine="420" w:firstLineChars="200"/>
    </w:pPr>
    <w:rPr>
      <w:szCs w:val="24"/>
    </w:rPr>
  </w:style>
  <w:style w:type="paragraph" w:customStyle="1" w:styleId="146">
    <w:name w:val="111111"/>
    <w:basedOn w:val="72"/>
    <w:qFormat/>
    <w:uiPriority w:val="99"/>
    <w:pPr>
      <w:jc w:val="both"/>
    </w:pPr>
  </w:style>
  <w:style w:type="paragraph" w:customStyle="1" w:styleId="147">
    <w:name w:val="插图标注（绿盟科技）"/>
    <w:next w:val="1"/>
    <w:semiHidden/>
    <w:qFormat/>
    <w:uiPriority w:val="99"/>
    <w:pPr>
      <w:tabs>
        <w:tab w:val="left" w:pos="1680"/>
      </w:tabs>
      <w:spacing w:after="156"/>
      <w:ind w:left="426"/>
      <w:jc w:val="center"/>
    </w:pPr>
    <w:rPr>
      <w:rFonts w:ascii="Arial" w:hAnsi="Arial" w:eastAsia="宋体" w:cs="Arial"/>
      <w:sz w:val="21"/>
      <w:szCs w:val="21"/>
      <w:lang w:val="en-US" w:eastAsia="zh-CN" w:bidi="ar-SA"/>
    </w:rPr>
  </w:style>
  <w:style w:type="paragraph" w:customStyle="1" w:styleId="148">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149">
    <w:name w:val="p0"/>
    <w:basedOn w:val="1"/>
    <w:semiHidden/>
    <w:qFormat/>
    <w:uiPriority w:val="99"/>
    <w:pPr>
      <w:widowControl/>
      <w:spacing w:after="200" w:line="273" w:lineRule="auto"/>
      <w:jc w:val="left"/>
    </w:pPr>
    <w:rPr>
      <w:rFonts w:ascii="Calibri" w:hAnsi="Calibri" w:cs="Calibri"/>
      <w:kern w:val="0"/>
      <w:sz w:val="22"/>
      <w:szCs w:val="22"/>
    </w:rPr>
  </w:style>
  <w:style w:type="paragraph" w:customStyle="1" w:styleId="150">
    <w:name w:val="样式7"/>
    <w:basedOn w:val="1"/>
    <w:qFormat/>
    <w:uiPriority w:val="0"/>
    <w:pPr>
      <w:widowControl/>
      <w:spacing w:line="480" w:lineRule="exact"/>
      <w:jc w:val="center"/>
    </w:pPr>
    <w:rPr>
      <w:rFonts w:eastAsia="方正大标宋简体"/>
      <w:spacing w:val="6"/>
      <w:kern w:val="0"/>
      <w:sz w:val="44"/>
      <w:szCs w:val="20"/>
    </w:rPr>
  </w:style>
  <w:style w:type="paragraph" w:customStyle="1" w:styleId="151">
    <w:name w:val="样式 正文文本 + 段前: 0.5 行 段后: 0.5 行3"/>
    <w:basedOn w:val="31"/>
    <w:qFormat/>
    <w:uiPriority w:val="0"/>
    <w:pPr>
      <w:numPr>
        <w:ilvl w:val="1"/>
        <w:numId w:val="2"/>
      </w:numPr>
      <w:spacing w:after="0" w:line="360" w:lineRule="auto"/>
    </w:pPr>
    <w:rPr>
      <w:rFonts w:cs="宋体"/>
      <w:kern w:val="2"/>
      <w:sz w:val="24"/>
      <w:szCs w:val="20"/>
      <w:lang w:val="zh-CN"/>
    </w:rPr>
  </w:style>
  <w:style w:type="paragraph" w:customStyle="1" w:styleId="152">
    <w:name w:val="样式4"/>
    <w:basedOn w:val="153"/>
    <w:qFormat/>
    <w:uiPriority w:val="99"/>
    <w:pPr>
      <w:keepNext w:val="0"/>
      <w:keepLines w:val="0"/>
      <w:tabs>
        <w:tab w:val="left" w:pos="360"/>
      </w:tabs>
      <w:autoSpaceDE/>
      <w:autoSpaceDN/>
      <w:adjustRightInd/>
      <w:spacing w:before="0" w:after="200" w:line="276" w:lineRule="auto"/>
      <w:ind w:left="360" w:firstLine="0" w:firstLineChars="0"/>
      <w:jc w:val="both"/>
      <w:outlineLvl w:val="9"/>
    </w:pPr>
    <w:rPr>
      <w:rFonts w:ascii="Calibri" w:hAnsi="Calibri" w:cs="Calibri"/>
    </w:rPr>
  </w:style>
  <w:style w:type="paragraph" w:customStyle="1" w:styleId="153">
    <w:name w:val="样式2"/>
    <w:basedOn w:val="7"/>
    <w:qFormat/>
    <w:uiPriority w:val="99"/>
    <w:pPr>
      <w:autoSpaceDE w:val="0"/>
      <w:autoSpaceDN w:val="0"/>
      <w:adjustRightInd w:val="0"/>
      <w:spacing w:before="240" w:after="240" w:line="500" w:lineRule="exact"/>
      <w:ind w:firstLine="204" w:firstLineChars="204"/>
      <w:jc w:val="left"/>
    </w:pPr>
    <w:rPr>
      <w:rFonts w:ascii="宋体" w:hAnsi="宋体" w:cs="宋体"/>
      <w:sz w:val="24"/>
      <w:szCs w:val="24"/>
    </w:rPr>
  </w:style>
  <w:style w:type="paragraph" w:customStyle="1" w:styleId="154">
    <w:name w:val="文字正文"/>
    <w:basedOn w:val="1"/>
    <w:qFormat/>
    <w:uiPriority w:val="0"/>
    <w:rPr>
      <w:szCs w:val="24"/>
    </w:rPr>
  </w:style>
  <w:style w:type="paragraph" w:customStyle="1" w:styleId="155">
    <w:name w:val="style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56">
    <w:name w:val="列出段落3"/>
    <w:basedOn w:val="1"/>
    <w:qFormat/>
    <w:uiPriority w:val="0"/>
    <w:pPr>
      <w:ind w:firstLine="420" w:firstLineChars="200"/>
    </w:pPr>
    <w:rPr>
      <w:rFonts w:ascii="Calibri" w:hAnsi="Calibri"/>
      <w:sz w:val="22"/>
      <w:szCs w:val="22"/>
    </w:rPr>
  </w:style>
  <w:style w:type="paragraph" w:customStyle="1" w:styleId="157">
    <w:name w:val="xl72"/>
    <w:basedOn w:val="1"/>
    <w:qFormat/>
    <w:uiPriority w:val="99"/>
    <w:pPr>
      <w:widowControl/>
      <w:spacing w:before="100" w:beforeAutospacing="1" w:after="100" w:afterAutospacing="1"/>
      <w:jc w:val="center"/>
      <w:textAlignment w:val="center"/>
    </w:pPr>
    <w:rPr>
      <w:rFonts w:ascii="宋体" w:hAnsi="宋体" w:cs="宋体"/>
      <w:kern w:val="0"/>
      <w:sz w:val="20"/>
      <w:szCs w:val="20"/>
    </w:rPr>
  </w:style>
  <w:style w:type="paragraph" w:customStyle="1" w:styleId="158">
    <w:name w:val="xl78"/>
    <w:basedOn w:val="1"/>
    <w:qFormat/>
    <w:uiPriority w:val="99"/>
    <w:pPr>
      <w:widowControl/>
      <w:pBdr>
        <w:top w:val="single" w:color="auto" w:sz="4" w:space="0"/>
        <w:left w:val="single" w:color="auto" w:sz="4" w:space="0"/>
        <w:bottom w:val="single" w:color="auto" w:sz="4" w:space="0"/>
        <w:right w:val="single" w:color="auto" w:sz="4" w:space="0"/>
      </w:pBdr>
      <w:shd w:val="clear" w:color="auto" w:fill="99CCFF"/>
      <w:spacing w:before="100" w:beforeAutospacing="1" w:after="100" w:afterAutospacing="1"/>
      <w:jc w:val="center"/>
      <w:textAlignment w:val="center"/>
    </w:pPr>
    <w:rPr>
      <w:rFonts w:ascii="黑体" w:hAnsi="宋体" w:eastAsia="黑体" w:cs="黑体"/>
      <w:b/>
      <w:bCs/>
      <w:kern w:val="0"/>
      <w:sz w:val="28"/>
      <w:szCs w:val="28"/>
    </w:rPr>
  </w:style>
  <w:style w:type="paragraph" w:customStyle="1" w:styleId="159">
    <w:name w:val="1列"/>
    <w:basedOn w:val="1"/>
    <w:qFormat/>
    <w:uiPriority w:val="0"/>
    <w:pPr>
      <w:numPr>
        <w:ilvl w:val="0"/>
        <w:numId w:val="3"/>
      </w:numPr>
      <w:spacing w:line="360" w:lineRule="auto"/>
    </w:pPr>
    <w:rPr>
      <w:szCs w:val="24"/>
    </w:rPr>
  </w:style>
  <w:style w:type="paragraph" w:customStyle="1" w:styleId="160">
    <w:name w:val="xl2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161">
    <w:name w:val="xl26"/>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162">
    <w:name w:val="HR标题4"/>
    <w:basedOn w:val="1"/>
    <w:next w:val="142"/>
    <w:qFormat/>
    <w:uiPriority w:val="0"/>
    <w:pPr>
      <w:numPr>
        <w:ilvl w:val="3"/>
        <w:numId w:val="1"/>
      </w:numPr>
      <w:tabs>
        <w:tab w:val="left" w:pos="974"/>
      </w:tabs>
      <w:spacing w:line="360" w:lineRule="auto"/>
      <w:outlineLvl w:val="3"/>
    </w:pPr>
    <w:rPr>
      <w:sz w:val="24"/>
      <w:szCs w:val="24"/>
    </w:rPr>
  </w:style>
  <w:style w:type="paragraph" w:customStyle="1" w:styleId="163">
    <w:name w:val="HR标题6"/>
    <w:basedOn w:val="1"/>
    <w:next w:val="142"/>
    <w:qFormat/>
    <w:uiPriority w:val="0"/>
    <w:pPr>
      <w:tabs>
        <w:tab w:val="left" w:pos="1134"/>
        <w:tab w:val="left" w:pos="2520"/>
      </w:tabs>
      <w:spacing w:line="360" w:lineRule="auto"/>
      <w:ind w:left="2520" w:hanging="420"/>
      <w:outlineLvl w:val="5"/>
    </w:pPr>
    <w:rPr>
      <w:sz w:val="24"/>
      <w:szCs w:val="24"/>
    </w:rPr>
  </w:style>
  <w:style w:type="paragraph" w:customStyle="1" w:styleId="164">
    <w:name w:val="xl37"/>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165">
    <w:name w:val="A Lieferumfang Aufzählung"/>
    <w:basedOn w:val="1"/>
    <w:qFormat/>
    <w:uiPriority w:val="99"/>
    <w:pPr>
      <w:keepNext/>
      <w:widowControl/>
      <w:numPr>
        <w:ilvl w:val="0"/>
        <w:numId w:val="4"/>
      </w:numPr>
      <w:tabs>
        <w:tab w:val="left" w:pos="1701"/>
      </w:tabs>
      <w:spacing w:line="360" w:lineRule="auto"/>
      <w:jc w:val="left"/>
    </w:pPr>
    <w:rPr>
      <w:rFonts w:ascii="Arial" w:hAnsi="Arial"/>
      <w:kern w:val="0"/>
      <w:sz w:val="20"/>
      <w:szCs w:val="20"/>
      <w:lang w:val="de-DE" w:eastAsia="de-DE"/>
    </w:rPr>
  </w:style>
  <w:style w:type="paragraph" w:customStyle="1" w:styleId="166">
    <w:name w:val="样式目录三"/>
    <w:basedOn w:val="3"/>
    <w:semiHidden/>
    <w:qFormat/>
    <w:uiPriority w:val="99"/>
    <w:pPr>
      <w:numPr>
        <w:ilvl w:val="5"/>
        <w:numId w:val="1"/>
      </w:numPr>
      <w:tabs>
        <w:tab w:val="left" w:pos="1320"/>
        <w:tab w:val="right" w:leader="dot" w:pos="8597"/>
      </w:tabs>
      <w:ind w:left="0" w:firstLine="0"/>
      <w:outlineLvl w:val="2"/>
    </w:pPr>
    <w:rPr>
      <w:iCs w:val="0"/>
      <w:szCs w:val="24"/>
    </w:rPr>
  </w:style>
  <w:style w:type="paragraph" w:customStyle="1" w:styleId="167">
    <w:name w:val="xl34"/>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168">
    <w:name w:val="xl30"/>
    <w:basedOn w:val="1"/>
    <w:qFormat/>
    <w:uiPriority w:val="99"/>
    <w:pPr>
      <w:widowControl/>
      <w:pBdr>
        <w:top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169">
    <w:name w:val="列出段落4"/>
    <w:basedOn w:val="1"/>
    <w:qFormat/>
    <w:uiPriority w:val="0"/>
    <w:pPr>
      <w:ind w:firstLine="420" w:firstLineChars="200"/>
    </w:pPr>
    <w:rPr>
      <w:rFonts w:ascii="Calibri" w:hAnsi="Calibri" w:eastAsia="Times New Roman"/>
      <w:sz w:val="22"/>
      <w:szCs w:val="22"/>
    </w:rPr>
  </w:style>
  <w:style w:type="paragraph" w:customStyle="1" w:styleId="170">
    <w:name w:val="scfErstekopfzeile"/>
    <w:basedOn w:val="1"/>
    <w:qFormat/>
    <w:uiPriority w:val="99"/>
    <w:pPr>
      <w:widowControl/>
      <w:tabs>
        <w:tab w:val="left" w:pos="1701"/>
      </w:tabs>
      <w:jc w:val="left"/>
    </w:pPr>
    <w:rPr>
      <w:rFonts w:ascii="Arial" w:hAnsi="Arial"/>
      <w:vanish/>
      <w:kern w:val="0"/>
      <w:sz w:val="16"/>
      <w:szCs w:val="20"/>
      <w:lang w:val="de-DE" w:eastAsia="en-US"/>
    </w:rPr>
  </w:style>
  <w:style w:type="paragraph" w:customStyle="1" w:styleId="171">
    <w:name w:val="xl47"/>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172">
    <w:name w:val="需求书2"/>
    <w:basedOn w:val="1"/>
    <w:qFormat/>
    <w:uiPriority w:val="0"/>
    <w:pPr>
      <w:spacing w:line="400" w:lineRule="exact"/>
    </w:pPr>
    <w:rPr>
      <w:rFonts w:ascii="黑体" w:hAnsi="Calibri" w:eastAsia="黑体"/>
      <w:b/>
      <w:bCs/>
      <w:sz w:val="32"/>
      <w:szCs w:val="20"/>
    </w:rPr>
  </w:style>
  <w:style w:type="paragraph" w:customStyle="1" w:styleId="173">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74">
    <w:name w:val="样式 段前: 0.5 行 段后: 0.5 行"/>
    <w:basedOn w:val="1"/>
    <w:qFormat/>
    <w:uiPriority w:val="0"/>
    <w:pPr>
      <w:spacing w:beforeLines="50" w:afterLines="50" w:line="360" w:lineRule="auto"/>
      <w:ind w:left="420" w:leftChars="200" w:firstLine="240" w:firstLineChars="100"/>
    </w:pPr>
    <w:rPr>
      <w:rFonts w:ascii="仿宋_GB2312" w:eastAsia="仿宋_GB2312" w:cs="宋体"/>
      <w:sz w:val="24"/>
      <w:szCs w:val="20"/>
    </w:rPr>
  </w:style>
  <w:style w:type="paragraph" w:customStyle="1" w:styleId="175">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176">
    <w:name w:val="xl7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77">
    <w:name w:val="xl33"/>
    <w:basedOn w:val="155"/>
    <w:qFormat/>
    <w:uiPriority w:val="99"/>
    <w:pPr>
      <w:pBdr>
        <w:bottom w:val="single" w:color="auto" w:sz="4" w:space="0"/>
        <w:right w:val="single" w:color="auto" w:sz="4" w:space="0"/>
      </w:pBdr>
      <w:jc w:val="center"/>
    </w:pPr>
    <w:rPr>
      <w:sz w:val="20"/>
      <w:szCs w:val="20"/>
    </w:rPr>
  </w:style>
  <w:style w:type="paragraph" w:customStyle="1" w:styleId="178">
    <w:name w:val="Char Char1 Char Char Char Char"/>
    <w:basedOn w:val="1"/>
    <w:qFormat/>
    <w:uiPriority w:val="99"/>
    <w:pPr>
      <w:keepNext/>
      <w:keepLines/>
      <w:adjustRightInd w:val="0"/>
      <w:spacing w:beforeLines="100" w:afterLines="100" w:line="300" w:lineRule="auto"/>
      <w:ind w:firstLine="200" w:firstLineChars="200"/>
      <w:textAlignment w:val="center"/>
    </w:pPr>
    <w:rPr>
      <w:rFonts w:ascii="仿宋_GB2312" w:hAnsi="宋体" w:eastAsia="仿宋_GB2312" w:cs="仿宋_GB2312"/>
      <w:kern w:val="0"/>
      <w:sz w:val="24"/>
      <w:szCs w:val="24"/>
    </w:rPr>
  </w:style>
  <w:style w:type="paragraph" w:customStyle="1" w:styleId="179">
    <w:name w:val="List Paragraph1"/>
    <w:basedOn w:val="1"/>
    <w:link w:val="268"/>
    <w:qFormat/>
    <w:uiPriority w:val="34"/>
    <w:pPr>
      <w:spacing w:line="360" w:lineRule="auto"/>
      <w:ind w:firstLine="480" w:firstLineChars="200"/>
    </w:pPr>
    <w:rPr>
      <w:color w:val="262626"/>
      <w:kern w:val="0"/>
      <w:sz w:val="20"/>
      <w:szCs w:val="20"/>
    </w:rPr>
  </w:style>
  <w:style w:type="paragraph" w:customStyle="1" w:styleId="180">
    <w:name w:val="样式5"/>
    <w:basedOn w:val="1"/>
    <w:next w:val="3"/>
    <w:qFormat/>
    <w:uiPriority w:val="99"/>
    <w:pPr>
      <w:tabs>
        <w:tab w:val="left" w:pos="980"/>
      </w:tabs>
      <w:spacing w:line="360" w:lineRule="auto"/>
      <w:ind w:left="140" w:right="-20"/>
      <w:outlineLvl w:val="0"/>
    </w:pPr>
    <w:rPr>
      <w:b/>
      <w:bCs/>
      <w:kern w:val="0"/>
      <w:sz w:val="28"/>
      <w:szCs w:val="28"/>
    </w:rPr>
  </w:style>
  <w:style w:type="paragraph" w:customStyle="1" w:styleId="181">
    <w:name w:val="xl36"/>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182">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83">
    <w:name w:val="标题 2（绿盟科技）"/>
    <w:basedOn w:val="4"/>
    <w:next w:val="1"/>
    <w:semiHidden/>
    <w:qFormat/>
    <w:uiPriority w:val="99"/>
    <w:pPr>
      <w:tabs>
        <w:tab w:val="left" w:pos="840"/>
        <w:tab w:val="left" w:pos="1440"/>
      </w:tabs>
      <w:spacing w:line="415" w:lineRule="auto"/>
      <w:ind w:left="840" w:hanging="420"/>
      <w:jc w:val="left"/>
    </w:pPr>
  </w:style>
  <w:style w:type="paragraph" w:customStyle="1" w:styleId="184">
    <w:name w:val="样式1"/>
    <w:basedOn w:val="6"/>
    <w:qFormat/>
    <w:uiPriority w:val="99"/>
    <w:pPr>
      <w:autoSpaceDE w:val="0"/>
      <w:autoSpaceDN w:val="0"/>
      <w:adjustRightInd w:val="0"/>
      <w:spacing w:line="500" w:lineRule="exact"/>
      <w:ind w:firstLine="490" w:firstLineChars="204"/>
      <w:jc w:val="left"/>
    </w:pPr>
    <w:rPr>
      <w:rFonts w:ascii="宋体" w:hAnsi="宋体" w:cs="宋体"/>
      <w:sz w:val="24"/>
      <w:szCs w:val="24"/>
    </w:rPr>
  </w:style>
  <w:style w:type="paragraph" w:customStyle="1" w:styleId="185">
    <w:name w:val="xl32"/>
    <w:basedOn w:val="1"/>
    <w:qFormat/>
    <w:uiPriority w:val="99"/>
    <w:pPr>
      <w:widowControl/>
      <w:pBdr>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186">
    <w:name w:val="正文1"/>
    <w:basedOn w:val="1"/>
    <w:qFormat/>
    <w:uiPriority w:val="0"/>
    <w:pPr>
      <w:adjustRightInd w:val="0"/>
      <w:spacing w:line="400" w:lineRule="atLeast"/>
      <w:ind w:firstLine="1134"/>
      <w:jc w:val="left"/>
      <w:textAlignment w:val="baseline"/>
    </w:pPr>
    <w:rPr>
      <w:rFonts w:ascii="宋体"/>
      <w:kern w:val="0"/>
      <w:sz w:val="24"/>
      <w:szCs w:val="20"/>
    </w:rPr>
  </w:style>
  <w:style w:type="paragraph" w:customStyle="1" w:styleId="187">
    <w:name w:val="xl38"/>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44"/>
      <w:szCs w:val="44"/>
    </w:rPr>
  </w:style>
  <w:style w:type="paragraph" w:customStyle="1" w:styleId="188">
    <w:name w:val="默认段落字体 Para Char Char Char Char Char Char Char Char Char Char Char Char Char Char Char1 Char Char Char Char"/>
    <w:basedOn w:val="24"/>
    <w:qFormat/>
    <w:uiPriority w:val="99"/>
    <w:pPr>
      <w:adjustRightInd w:val="0"/>
      <w:spacing w:line="436" w:lineRule="exact"/>
      <w:ind w:left="357"/>
      <w:jc w:val="left"/>
      <w:outlineLvl w:val="3"/>
    </w:pPr>
    <w:rPr>
      <w:rFonts w:ascii="仿宋_GB2312" w:eastAsia="仿宋_GB2312" w:cs="仿宋_GB2312"/>
      <w:sz w:val="24"/>
      <w:szCs w:val="24"/>
    </w:rPr>
  </w:style>
  <w:style w:type="paragraph" w:customStyle="1" w:styleId="189">
    <w:name w:val="Char Char1 Char Char Char Char1"/>
    <w:basedOn w:val="1"/>
    <w:qFormat/>
    <w:uiPriority w:val="99"/>
    <w:pPr>
      <w:keepNext/>
      <w:keepLines/>
      <w:adjustRightInd w:val="0"/>
      <w:spacing w:beforeLines="100" w:afterLines="100" w:line="300" w:lineRule="auto"/>
      <w:ind w:firstLine="200" w:firstLineChars="200"/>
    </w:pPr>
    <w:rPr>
      <w:rFonts w:ascii="仿宋_GB2312" w:hAnsi="宋体" w:eastAsia="仿宋_GB2312" w:cs="仿宋_GB2312"/>
      <w:kern w:val="0"/>
      <w:sz w:val="24"/>
      <w:szCs w:val="24"/>
    </w:rPr>
  </w:style>
  <w:style w:type="paragraph" w:customStyle="1" w:styleId="190">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1">
    <w:name w:val="a2"/>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92">
    <w:name w:val="HR标题3"/>
    <w:basedOn w:val="1"/>
    <w:next w:val="142"/>
    <w:link w:val="305"/>
    <w:qFormat/>
    <w:uiPriority w:val="0"/>
    <w:pPr>
      <w:tabs>
        <w:tab w:val="left" w:pos="624"/>
        <w:tab w:val="left" w:pos="1260"/>
      </w:tabs>
      <w:spacing w:line="360" w:lineRule="auto"/>
      <w:ind w:left="1260" w:hanging="420"/>
      <w:outlineLvl w:val="2"/>
    </w:pPr>
    <w:rPr>
      <w:rFonts w:ascii="Calibri" w:hAnsi="Calibri"/>
      <w:sz w:val="24"/>
      <w:szCs w:val="24"/>
    </w:rPr>
  </w:style>
  <w:style w:type="paragraph" w:customStyle="1" w:styleId="193">
    <w:name w:val="正文2"/>
    <w:basedOn w:val="1"/>
    <w:semiHidden/>
    <w:qFormat/>
    <w:uiPriority w:val="99"/>
    <w:pPr>
      <w:spacing w:before="156" w:line="360" w:lineRule="auto"/>
      <w:ind w:firstLine="510" w:firstLineChars="200"/>
    </w:pPr>
    <w:rPr>
      <w:sz w:val="24"/>
      <w:szCs w:val="24"/>
    </w:rPr>
  </w:style>
  <w:style w:type="paragraph" w:customStyle="1" w:styleId="194">
    <w:name w:val="xl45"/>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44"/>
      <w:szCs w:val="44"/>
    </w:rPr>
  </w:style>
  <w:style w:type="paragraph" w:customStyle="1" w:styleId="195">
    <w:name w:val="表题"/>
    <w:basedOn w:val="40"/>
    <w:qFormat/>
    <w:uiPriority w:val="99"/>
    <w:pPr>
      <w:adjustRightInd w:val="0"/>
      <w:spacing w:line="480" w:lineRule="auto"/>
      <w:jc w:val="center"/>
    </w:pPr>
    <w:rPr>
      <w:rFonts w:ascii="Times New Roman" w:hAnsi="Times New Roman" w:eastAsia="黑体"/>
      <w:sz w:val="18"/>
      <w:szCs w:val="18"/>
    </w:rPr>
  </w:style>
  <w:style w:type="paragraph" w:customStyle="1" w:styleId="196">
    <w:name w:val="xl46"/>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44"/>
      <w:szCs w:val="44"/>
    </w:rPr>
  </w:style>
  <w:style w:type="paragraph" w:customStyle="1" w:styleId="197">
    <w:name w:val="xl73"/>
    <w:basedOn w:val="1"/>
    <w:qFormat/>
    <w:uiPriority w:val="99"/>
    <w:pPr>
      <w:widowControl/>
      <w:spacing w:before="100" w:beforeAutospacing="1" w:after="100" w:afterAutospacing="1"/>
      <w:jc w:val="center"/>
      <w:textAlignment w:val="center"/>
    </w:pPr>
    <w:rPr>
      <w:rFonts w:ascii="宋体" w:hAnsi="宋体" w:cs="宋体"/>
      <w:kern w:val="0"/>
      <w:sz w:val="18"/>
      <w:szCs w:val="18"/>
    </w:rPr>
  </w:style>
  <w:style w:type="paragraph" w:customStyle="1" w:styleId="198">
    <w:name w:val="本文項目"/>
    <w:basedOn w:val="1"/>
    <w:semiHidden/>
    <w:qFormat/>
    <w:uiPriority w:val="99"/>
    <w:pPr>
      <w:tabs>
        <w:tab w:val="left" w:pos="360"/>
      </w:tabs>
      <w:autoSpaceDE w:val="0"/>
      <w:autoSpaceDN w:val="0"/>
      <w:adjustRightInd w:val="0"/>
      <w:spacing w:beforeLines="50" w:afterLines="50" w:line="360" w:lineRule="auto"/>
      <w:ind w:left="360" w:hanging="360"/>
      <w:textAlignment w:val="baseline"/>
    </w:pPr>
    <w:rPr>
      <w:b/>
      <w:bCs/>
      <w:kern w:val="0"/>
      <w:sz w:val="24"/>
      <w:szCs w:val="24"/>
    </w:rPr>
  </w:style>
  <w:style w:type="paragraph" w:customStyle="1" w:styleId="199">
    <w:name w:val="正文居中"/>
    <w:basedOn w:val="1"/>
    <w:next w:val="74"/>
    <w:qFormat/>
    <w:uiPriority w:val="99"/>
    <w:pPr>
      <w:jc w:val="center"/>
    </w:pPr>
    <w:rPr>
      <w:sz w:val="24"/>
      <w:szCs w:val="24"/>
    </w:rPr>
  </w:style>
  <w:style w:type="paragraph" w:customStyle="1" w:styleId="200">
    <w:name w:val="xl41"/>
    <w:basedOn w:val="1"/>
    <w:qFormat/>
    <w:uiPriority w:val="99"/>
    <w:pPr>
      <w:widowControl/>
      <w:pBdr>
        <w:left w:val="single" w:color="auto" w:sz="4" w:space="0"/>
        <w:bottom w:val="single" w:color="auto" w:sz="4" w:space="0"/>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201">
    <w:name w:val="xl28"/>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202">
    <w:name w:val="标题 1（绿盟科技）"/>
    <w:basedOn w:val="2"/>
    <w:next w:val="1"/>
    <w:semiHidden/>
    <w:qFormat/>
    <w:uiPriority w:val="99"/>
    <w:pPr>
      <w:pBdr>
        <w:bottom w:val="single" w:color="auto" w:sz="48" w:space="1"/>
      </w:pBdr>
      <w:tabs>
        <w:tab w:val="left" w:pos="360"/>
      </w:tabs>
      <w:spacing w:line="576" w:lineRule="auto"/>
      <w:ind w:left="360" w:hanging="360"/>
      <w:jc w:val="left"/>
    </w:pPr>
    <w:rPr>
      <w:rFonts w:ascii="Arial" w:hAnsi="Arial" w:eastAsia="黑体" w:cs="Arial"/>
    </w:rPr>
  </w:style>
  <w:style w:type="paragraph" w:customStyle="1" w:styleId="203">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4">
    <w:name w:val="font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05">
    <w:name w:val="xl50"/>
    <w:basedOn w:val="1"/>
    <w:qFormat/>
    <w:uiPriority w:val="99"/>
    <w:pPr>
      <w:widowControl/>
      <w:pBdr>
        <w:left w:val="single" w:color="auto" w:sz="4" w:space="0"/>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206">
    <w:name w:val="xl74"/>
    <w:basedOn w:val="1"/>
    <w:qFormat/>
    <w:uiPriority w:val="99"/>
    <w:pPr>
      <w:widowControl/>
      <w:spacing w:before="100" w:beforeAutospacing="1" w:after="100" w:afterAutospacing="1"/>
      <w:jc w:val="center"/>
      <w:textAlignment w:val="center"/>
    </w:pPr>
    <w:rPr>
      <w:rFonts w:ascii="宋体" w:hAnsi="宋体" w:cs="宋体"/>
      <w:kern w:val="0"/>
      <w:sz w:val="20"/>
      <w:szCs w:val="20"/>
    </w:rPr>
  </w:style>
  <w:style w:type="paragraph" w:customStyle="1" w:styleId="207">
    <w:name w:val="xl48"/>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44"/>
      <w:szCs w:val="44"/>
    </w:rPr>
  </w:style>
  <w:style w:type="paragraph" w:customStyle="1" w:styleId="208">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209">
    <w:name w:val="xl51"/>
    <w:basedOn w:val="1"/>
    <w:qFormat/>
    <w:uiPriority w:val="99"/>
    <w:pPr>
      <w:widowControl/>
      <w:pBdr>
        <w:left w:val="single" w:color="auto" w:sz="4" w:space="0"/>
        <w:bottom w:val="single" w:color="auto" w:sz="4" w:space="0"/>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210">
    <w:name w:val="xl49"/>
    <w:basedOn w:val="1"/>
    <w:qFormat/>
    <w:uiPriority w:val="99"/>
    <w:pPr>
      <w:widowControl/>
      <w:pBdr>
        <w:top w:val="single" w:color="auto" w:sz="4" w:space="0"/>
        <w:left w:val="single" w:color="auto" w:sz="4" w:space="0"/>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211">
    <w:name w:val="列出段落1"/>
    <w:basedOn w:val="1"/>
    <w:qFormat/>
    <w:uiPriority w:val="34"/>
    <w:pPr>
      <w:ind w:firstLine="420" w:firstLineChars="200"/>
    </w:pPr>
  </w:style>
  <w:style w:type="paragraph" w:customStyle="1" w:styleId="212">
    <w:name w:val="PP 行"/>
    <w:basedOn w:val="51"/>
    <w:qFormat/>
    <w:uiPriority w:val="99"/>
  </w:style>
  <w:style w:type="paragraph" w:customStyle="1" w:styleId="213">
    <w:name w:val="font6"/>
    <w:basedOn w:val="1"/>
    <w:qFormat/>
    <w:uiPriority w:val="99"/>
    <w:pPr>
      <w:widowControl/>
      <w:spacing w:before="100" w:beforeAutospacing="1" w:after="100" w:afterAutospacing="1"/>
      <w:jc w:val="left"/>
    </w:pPr>
    <w:rPr>
      <w:rFonts w:ascii="宋体" w:hAnsi="宋体" w:cs="宋体"/>
      <w:b/>
      <w:bCs/>
      <w:color w:val="000000"/>
      <w:kern w:val="0"/>
      <w:sz w:val="18"/>
      <w:szCs w:val="18"/>
    </w:rPr>
  </w:style>
  <w:style w:type="paragraph" w:customStyle="1" w:styleId="214">
    <w:name w:val="xl42"/>
    <w:basedOn w:val="1"/>
    <w:qFormat/>
    <w:uiPriority w:val="99"/>
    <w:pPr>
      <w:widowControl/>
      <w:pBdr>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215">
    <w:name w:val="xl4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44"/>
      <w:szCs w:val="44"/>
    </w:rPr>
  </w:style>
  <w:style w:type="paragraph" w:customStyle="1" w:styleId="216">
    <w:name w:val="xl31"/>
    <w:basedOn w:val="1"/>
    <w:qFormat/>
    <w:uiPriority w:val="99"/>
    <w:pPr>
      <w:widowControl/>
      <w:pBdr>
        <w:left w:val="single" w:color="auto" w:sz="4" w:space="0"/>
        <w:bottom w:val="single" w:color="auto" w:sz="4" w:space="0"/>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217">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18">
    <w:name w:val="xl44"/>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44"/>
      <w:szCs w:val="44"/>
    </w:rPr>
  </w:style>
  <w:style w:type="paragraph" w:customStyle="1" w:styleId="219">
    <w:name w:val="五级无标题条"/>
    <w:basedOn w:val="1"/>
    <w:qFormat/>
    <w:uiPriority w:val="99"/>
    <w:pPr>
      <w:tabs>
        <w:tab w:val="left" w:pos="840"/>
      </w:tabs>
      <w:ind w:left="840" w:hanging="630"/>
    </w:pPr>
  </w:style>
  <w:style w:type="paragraph" w:customStyle="1" w:styleId="220">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221">
    <w:name w:val="HR标题5"/>
    <w:basedOn w:val="1"/>
    <w:next w:val="142"/>
    <w:qFormat/>
    <w:uiPriority w:val="0"/>
    <w:pPr>
      <w:tabs>
        <w:tab w:val="left" w:pos="1504"/>
        <w:tab w:val="left" w:pos="2100"/>
      </w:tabs>
      <w:spacing w:line="360" w:lineRule="auto"/>
      <w:ind w:left="2100" w:hanging="420"/>
      <w:outlineLvl w:val="4"/>
    </w:pPr>
    <w:rPr>
      <w:sz w:val="24"/>
      <w:szCs w:val="24"/>
    </w:rPr>
  </w:style>
  <w:style w:type="paragraph" w:customStyle="1" w:styleId="222">
    <w:name w:val="正文文本 (2)1"/>
    <w:basedOn w:val="1"/>
    <w:qFormat/>
    <w:uiPriority w:val="0"/>
    <w:pPr>
      <w:shd w:val="clear" w:color="auto" w:fill="FFFFFF"/>
      <w:adjustRightInd w:val="0"/>
      <w:spacing w:before="300" w:line="466" w:lineRule="exact"/>
      <w:jc w:val="distribute"/>
      <w:textAlignment w:val="baseline"/>
    </w:pPr>
    <w:rPr>
      <w:rFonts w:ascii="宋体" w:hAnsi="宋体" w:cs="宋体"/>
      <w:kern w:val="0"/>
      <w:sz w:val="22"/>
      <w:szCs w:val="22"/>
    </w:rPr>
  </w:style>
  <w:style w:type="paragraph" w:customStyle="1" w:styleId="223">
    <w:name w:val="xl27"/>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224">
    <w:name w:val="正文（缩进）"/>
    <w:basedOn w:val="1"/>
    <w:link w:val="262"/>
    <w:semiHidden/>
    <w:qFormat/>
    <w:uiPriority w:val="99"/>
    <w:pPr>
      <w:spacing w:beforeLines="50" w:afterLines="50" w:line="360" w:lineRule="auto"/>
      <w:ind w:firstLine="480" w:firstLineChars="200"/>
    </w:pPr>
    <w:rPr>
      <w:kern w:val="0"/>
      <w:sz w:val="24"/>
      <w:szCs w:val="20"/>
    </w:rPr>
  </w:style>
  <w:style w:type="paragraph" w:customStyle="1" w:styleId="225">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226">
    <w:name w:val="Char Char Char Char"/>
    <w:basedOn w:val="1"/>
    <w:qFormat/>
    <w:uiPriority w:val="99"/>
    <w:rPr>
      <w:rFonts w:ascii="Tahoma" w:hAnsi="Tahoma" w:cs="Tahoma"/>
      <w:sz w:val="24"/>
      <w:szCs w:val="24"/>
    </w:rPr>
  </w:style>
  <w:style w:type="paragraph" w:customStyle="1" w:styleId="227">
    <w:name w:val="标题 3（绿盟科技）"/>
    <w:basedOn w:val="5"/>
    <w:next w:val="1"/>
    <w:semiHidden/>
    <w:qFormat/>
    <w:uiPriority w:val="99"/>
    <w:pPr>
      <w:tabs>
        <w:tab w:val="left" w:pos="960"/>
        <w:tab w:val="left" w:pos="1260"/>
      </w:tabs>
      <w:spacing w:line="415" w:lineRule="auto"/>
      <w:ind w:left="1260" w:firstLine="147" w:firstLineChars="147"/>
      <w:jc w:val="left"/>
    </w:pPr>
    <w:rPr>
      <w:rFonts w:ascii="Arial" w:hAnsi="Arial" w:eastAsia="黑体" w:cs="Arial"/>
      <w:sz w:val="30"/>
      <w:szCs w:val="30"/>
    </w:rPr>
  </w:style>
  <w:style w:type="paragraph" w:customStyle="1" w:styleId="228">
    <w:name w:val="样式 正文文本 2 + 段前: 0.5 行 段后: 0.5 行3"/>
    <w:basedOn w:val="64"/>
    <w:qFormat/>
    <w:uiPriority w:val="0"/>
    <w:pPr>
      <w:tabs>
        <w:tab w:val="left" w:pos="1260"/>
        <w:tab w:val="left" w:pos="1571"/>
      </w:tabs>
      <w:spacing w:line="360" w:lineRule="auto"/>
      <w:ind w:left="567" w:hanging="420"/>
    </w:pPr>
    <w:rPr>
      <w:rFonts w:cs="宋体"/>
      <w:kern w:val="2"/>
      <w:sz w:val="24"/>
      <w:szCs w:val="20"/>
      <w:lang w:val="zh-CN"/>
    </w:rPr>
  </w:style>
  <w:style w:type="paragraph" w:customStyle="1" w:styleId="229">
    <w:name w:val="表格"/>
    <w:basedOn w:val="1"/>
    <w:next w:val="1"/>
    <w:qFormat/>
    <w:uiPriority w:val="0"/>
    <w:pPr>
      <w:spacing w:beforeLines="50" w:afterLines="50"/>
      <w:jc w:val="left"/>
    </w:pPr>
    <w:rPr>
      <w:rFonts w:ascii="宋体" w:hAnsi="宋体"/>
    </w:rPr>
  </w:style>
  <w:style w:type="paragraph" w:customStyle="1" w:styleId="230">
    <w:name w:val="标题 4（绿盟科技）"/>
    <w:basedOn w:val="6"/>
    <w:next w:val="1"/>
    <w:semiHidden/>
    <w:qFormat/>
    <w:uiPriority w:val="99"/>
    <w:pPr>
      <w:widowControl/>
      <w:tabs>
        <w:tab w:val="left" w:pos="360"/>
      </w:tabs>
      <w:ind w:left="1447" w:hanging="1021"/>
      <w:jc w:val="left"/>
    </w:pPr>
  </w:style>
  <w:style w:type="paragraph" w:customStyle="1" w:styleId="231">
    <w:name w:val="t4_2"/>
    <w:basedOn w:val="1"/>
    <w:qFormat/>
    <w:uiPriority w:val="99"/>
    <w:pPr>
      <w:widowControl/>
      <w:tabs>
        <w:tab w:val="left" w:pos="360"/>
      </w:tabs>
      <w:spacing w:line="360" w:lineRule="auto"/>
      <w:ind w:left="420"/>
      <w:jc w:val="left"/>
    </w:pPr>
    <w:rPr>
      <w:b/>
      <w:bCs/>
    </w:rPr>
  </w:style>
  <w:style w:type="paragraph" w:customStyle="1" w:styleId="232">
    <w:name w:val="Table Paragraph"/>
    <w:basedOn w:val="1"/>
    <w:qFormat/>
    <w:uiPriority w:val="1"/>
    <w:pPr>
      <w:autoSpaceDE w:val="0"/>
      <w:autoSpaceDN w:val="0"/>
      <w:jc w:val="left"/>
    </w:pPr>
    <w:rPr>
      <w:rFonts w:ascii="宋体" w:hAnsi="宋体" w:cs="宋体"/>
      <w:kern w:val="0"/>
      <w:sz w:val="22"/>
      <w:szCs w:val="22"/>
      <w:lang w:val="zh-CN" w:bidi="zh-CN"/>
    </w:rPr>
  </w:style>
  <w:style w:type="paragraph" w:customStyle="1" w:styleId="233">
    <w:name w:val="xl39"/>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44"/>
      <w:szCs w:val="44"/>
    </w:rPr>
  </w:style>
  <w:style w:type="paragraph" w:customStyle="1" w:styleId="234">
    <w:name w:val="HR标题2"/>
    <w:basedOn w:val="1"/>
    <w:next w:val="142"/>
    <w:qFormat/>
    <w:uiPriority w:val="0"/>
    <w:pPr>
      <w:numPr>
        <w:ilvl w:val="1"/>
        <w:numId w:val="1"/>
      </w:numPr>
      <w:tabs>
        <w:tab w:val="left" w:pos="454"/>
      </w:tabs>
      <w:spacing w:line="360" w:lineRule="auto"/>
      <w:outlineLvl w:val="1"/>
    </w:pPr>
    <w:rPr>
      <w:rFonts w:eastAsia="黑体"/>
      <w:sz w:val="24"/>
      <w:szCs w:val="24"/>
    </w:rPr>
  </w:style>
  <w:style w:type="paragraph" w:customStyle="1" w:styleId="235">
    <w:name w:val="列出段落2"/>
    <w:basedOn w:val="1"/>
    <w:link w:val="287"/>
    <w:qFormat/>
    <w:uiPriority w:val="0"/>
    <w:pPr>
      <w:ind w:firstLine="420" w:firstLineChars="200"/>
    </w:pPr>
    <w:rPr>
      <w:color w:val="262626"/>
      <w:kern w:val="0"/>
      <w:sz w:val="20"/>
      <w:szCs w:val="20"/>
    </w:rPr>
  </w:style>
  <w:style w:type="paragraph" w:customStyle="1" w:styleId="236">
    <w:name w:val="Char Char Char"/>
    <w:basedOn w:val="1"/>
    <w:qFormat/>
    <w:uiPriority w:val="99"/>
    <w:rPr>
      <w:rFonts w:ascii="宋体" w:hAnsi="宋体" w:cs="宋体"/>
      <w:b/>
      <w:bCs/>
      <w:sz w:val="28"/>
      <w:szCs w:val="28"/>
    </w:rPr>
  </w:style>
  <w:style w:type="paragraph" w:customStyle="1" w:styleId="237">
    <w:name w:val="标题 6（有编号）（绿盟科技）"/>
    <w:basedOn w:val="1"/>
    <w:next w:val="1"/>
    <w:semiHidden/>
    <w:qFormat/>
    <w:uiPriority w:val="99"/>
    <w:pPr>
      <w:keepNext/>
      <w:keepLines/>
      <w:numPr>
        <w:ilvl w:val="2"/>
        <w:numId w:val="1"/>
      </w:numPr>
      <w:spacing w:line="319" w:lineRule="auto"/>
      <w:ind w:left="1673" w:hanging="1247"/>
      <w:jc w:val="left"/>
      <w:outlineLvl w:val="5"/>
    </w:pPr>
    <w:rPr>
      <w:rFonts w:ascii="Arial" w:hAnsi="Arial" w:eastAsia="黑体" w:cs="Arial"/>
      <w:b/>
      <w:bCs/>
      <w:kern w:val="0"/>
    </w:rPr>
  </w:style>
  <w:style w:type="paragraph" w:customStyle="1" w:styleId="238">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39">
    <w:name w:val="HR标题8"/>
    <w:basedOn w:val="1"/>
    <w:next w:val="142"/>
    <w:qFormat/>
    <w:uiPriority w:val="0"/>
    <w:pPr>
      <w:numPr>
        <w:ilvl w:val="7"/>
        <w:numId w:val="1"/>
      </w:numPr>
      <w:tabs>
        <w:tab w:val="left" w:pos="1531"/>
      </w:tabs>
      <w:spacing w:line="360" w:lineRule="auto"/>
      <w:outlineLvl w:val="7"/>
    </w:pPr>
    <w:rPr>
      <w:sz w:val="24"/>
      <w:szCs w:val="24"/>
    </w:rPr>
  </w:style>
  <w:style w:type="paragraph" w:customStyle="1" w:styleId="240">
    <w:name w:val="标题 5（有编号）（绿盟科技）"/>
    <w:basedOn w:val="1"/>
    <w:next w:val="1"/>
    <w:semiHidden/>
    <w:qFormat/>
    <w:uiPriority w:val="99"/>
    <w:pPr>
      <w:keepNext/>
      <w:keepLines/>
      <w:tabs>
        <w:tab w:val="left" w:pos="840"/>
      </w:tabs>
      <w:spacing w:line="377" w:lineRule="auto"/>
      <w:ind w:left="1560" w:hanging="1134"/>
      <w:jc w:val="left"/>
      <w:outlineLvl w:val="4"/>
    </w:pPr>
    <w:rPr>
      <w:rFonts w:ascii="Arial" w:hAnsi="Arial" w:eastAsia="黑体" w:cs="Arial"/>
      <w:b/>
      <w:bCs/>
      <w:kern w:val="0"/>
      <w:sz w:val="24"/>
      <w:szCs w:val="24"/>
    </w:rPr>
  </w:style>
  <w:style w:type="paragraph" w:customStyle="1" w:styleId="241">
    <w:name w:val="xl3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242">
    <w:name w:val="示例"/>
    <w:qFormat/>
    <w:uiPriority w:val="99"/>
    <w:pPr>
      <w:jc w:val="both"/>
    </w:pPr>
    <w:rPr>
      <w:rFonts w:ascii="宋体" w:hAnsi="Times New Roman" w:eastAsia="宋体" w:cs="宋体"/>
      <w:sz w:val="18"/>
      <w:szCs w:val="18"/>
      <w:lang w:val="en-US" w:eastAsia="zh-CN" w:bidi="ar-SA"/>
    </w:rPr>
  </w:style>
  <w:style w:type="paragraph" w:customStyle="1" w:styleId="243">
    <w:name w:val="段"/>
    <w:link w:val="279"/>
    <w:qFormat/>
    <w:uiPriority w:val="99"/>
    <w:pPr>
      <w:autoSpaceDE w:val="0"/>
      <w:autoSpaceDN w:val="0"/>
      <w:ind w:firstLine="200" w:firstLineChars="200"/>
      <w:jc w:val="both"/>
    </w:pPr>
    <w:rPr>
      <w:rFonts w:ascii="宋体" w:hAnsi="Times New Roman" w:eastAsia="宋体" w:cs="宋体"/>
      <w:sz w:val="21"/>
      <w:szCs w:val="21"/>
      <w:lang w:val="en-US" w:eastAsia="zh-CN" w:bidi="ar-SA"/>
    </w:rPr>
  </w:style>
  <w:style w:type="paragraph" w:customStyle="1" w:styleId="244">
    <w:name w:val="简单回函地址"/>
    <w:basedOn w:val="1"/>
    <w:qFormat/>
    <w:uiPriority w:val="99"/>
  </w:style>
  <w:style w:type="paragraph" w:customStyle="1" w:styleId="245">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6">
    <w:name w:val="_Style 3"/>
    <w:basedOn w:val="2"/>
    <w:next w:val="1"/>
    <w:qFormat/>
    <w:uiPriority w:val="39"/>
    <w:pPr>
      <w:keepNext/>
      <w:keepLines/>
      <w:tabs>
        <w:tab w:val="clear" w:pos="9061"/>
      </w:tabs>
      <w:spacing w:before="340" w:after="330" w:line="578" w:lineRule="auto"/>
      <w:jc w:val="both"/>
      <w:outlineLvl w:val="9"/>
    </w:pPr>
    <w:rPr>
      <w:bCs/>
      <w:kern w:val="44"/>
      <w:sz w:val="44"/>
      <w:szCs w:val="44"/>
    </w:rPr>
  </w:style>
  <w:style w:type="paragraph" w:customStyle="1" w:styleId="247">
    <w:name w:val="xl43"/>
    <w:basedOn w:val="155"/>
    <w:qFormat/>
    <w:uiPriority w:val="99"/>
    <w:pPr>
      <w:pBdr>
        <w:bottom w:val="single" w:color="auto" w:sz="4" w:space="0"/>
        <w:right w:val="single" w:color="auto" w:sz="4" w:space="0"/>
      </w:pBdr>
      <w:jc w:val="center"/>
    </w:pPr>
    <w:rPr>
      <w:sz w:val="21"/>
      <w:szCs w:val="21"/>
    </w:rPr>
  </w:style>
  <w:style w:type="paragraph" w:customStyle="1" w:styleId="248">
    <w:name w:val="Default"/>
    <w:link w:val="266"/>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49">
    <w:name w:val="样式 正文 + 小四 首行缩进:  2 字符"/>
    <w:basedOn w:val="1"/>
    <w:qFormat/>
    <w:uiPriority w:val="0"/>
    <w:pPr>
      <w:numPr>
        <w:ilvl w:val="1"/>
        <w:numId w:val="5"/>
      </w:numPr>
      <w:spacing w:line="440" w:lineRule="exact"/>
    </w:pPr>
    <w:rPr>
      <w:rFonts w:cs="宋体"/>
      <w:kern w:val="0"/>
      <w:sz w:val="24"/>
      <w:szCs w:val="20"/>
    </w:rPr>
  </w:style>
  <w:style w:type="paragraph" w:customStyle="1" w:styleId="250">
    <w:name w:val="表格标注（绿盟科技）"/>
    <w:basedOn w:val="147"/>
    <w:next w:val="1"/>
    <w:semiHidden/>
    <w:qFormat/>
    <w:uiPriority w:val="99"/>
    <w:pPr>
      <w:tabs>
        <w:tab w:val="left" w:pos="1620"/>
        <w:tab w:val="left" w:pos="2100"/>
        <w:tab w:val="clear" w:pos="1680"/>
      </w:tabs>
      <w:ind w:left="1620" w:hanging="360"/>
    </w:pPr>
  </w:style>
  <w:style w:type="paragraph" w:customStyle="1" w:styleId="251">
    <w:name w:val="Char"/>
    <w:basedOn w:val="1"/>
    <w:qFormat/>
    <w:uiPriority w:val="99"/>
    <w:pPr>
      <w:tabs>
        <w:tab w:val="left" w:pos="708"/>
      </w:tabs>
      <w:ind w:firstLine="420"/>
    </w:pPr>
    <w:rPr>
      <w:rFonts w:ascii="仿宋_GB2312" w:eastAsia="仿宋_GB2312" w:cs="仿宋_GB2312"/>
      <w:sz w:val="24"/>
      <w:szCs w:val="24"/>
    </w:rPr>
  </w:style>
  <w:style w:type="paragraph" w:customStyle="1" w:styleId="252">
    <w:name w:val="xl29"/>
    <w:basedOn w:val="1"/>
    <w:qFormat/>
    <w:uiPriority w:val="99"/>
    <w:pPr>
      <w:widowControl/>
      <w:pBdr>
        <w:top w:val="single" w:color="auto" w:sz="4" w:space="0"/>
        <w:left w:val="single" w:color="auto" w:sz="4" w:space="0"/>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253">
    <w:name w:val="HR标题1"/>
    <w:basedOn w:val="1"/>
    <w:next w:val="142"/>
    <w:qFormat/>
    <w:uiPriority w:val="0"/>
    <w:pPr>
      <w:tabs>
        <w:tab w:val="left" w:pos="284"/>
        <w:tab w:val="left" w:pos="360"/>
      </w:tabs>
      <w:spacing w:line="360" w:lineRule="auto"/>
      <w:ind w:left="360" w:hanging="360"/>
      <w:outlineLvl w:val="0"/>
    </w:pPr>
    <w:rPr>
      <w:rFonts w:eastAsia="黑体"/>
      <w:sz w:val="24"/>
      <w:szCs w:val="24"/>
    </w:rPr>
  </w:style>
  <w:style w:type="paragraph" w:customStyle="1" w:styleId="254">
    <w:name w:val="xl2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255">
    <w:name w:val="注×："/>
    <w:semiHidden/>
    <w:qFormat/>
    <w:uiPriority w:val="99"/>
    <w:pPr>
      <w:widowControl w:val="0"/>
      <w:tabs>
        <w:tab w:val="left" w:pos="360"/>
        <w:tab w:val="left" w:pos="630"/>
      </w:tabs>
      <w:autoSpaceDE w:val="0"/>
      <w:autoSpaceDN w:val="0"/>
      <w:ind w:left="360" w:hanging="360"/>
      <w:jc w:val="both"/>
    </w:pPr>
    <w:rPr>
      <w:rFonts w:ascii="宋体" w:hAnsi="Times New Roman" w:eastAsia="宋体" w:cs="宋体"/>
      <w:sz w:val="18"/>
      <w:szCs w:val="18"/>
      <w:lang w:val="en-US" w:eastAsia="zh-CN" w:bidi="ar-SA"/>
    </w:rPr>
  </w:style>
  <w:style w:type="character" w:customStyle="1" w:styleId="256">
    <w:name w:val="列出段落 字符"/>
    <w:qFormat/>
    <w:locked/>
    <w:uiPriority w:val="34"/>
    <w:rPr>
      <w:kern w:val="2"/>
      <w:sz w:val="21"/>
      <w:szCs w:val="24"/>
    </w:rPr>
  </w:style>
  <w:style w:type="character" w:customStyle="1" w:styleId="257">
    <w:name w:val="hover38"/>
    <w:qFormat/>
    <w:uiPriority w:val="99"/>
    <w:rPr>
      <w:rFonts w:cs="Times New Roman"/>
      <w:color w:val="auto"/>
      <w:u w:val="single"/>
    </w:rPr>
  </w:style>
  <w:style w:type="character" w:customStyle="1" w:styleId="258">
    <w:name w:val="称呼 Char"/>
    <w:link w:val="27"/>
    <w:semiHidden/>
    <w:qFormat/>
    <w:locked/>
    <w:uiPriority w:val="99"/>
    <w:rPr>
      <w:rFonts w:cs="Times New Roman"/>
      <w:sz w:val="21"/>
      <w:szCs w:val="21"/>
    </w:rPr>
  </w:style>
  <w:style w:type="character" w:customStyle="1" w:styleId="259">
    <w:name w:val="Footer Char"/>
    <w:semiHidden/>
    <w:qFormat/>
    <w:locked/>
    <w:uiPriority w:val="99"/>
    <w:rPr>
      <w:rFonts w:eastAsia="宋体"/>
      <w:sz w:val="18"/>
    </w:rPr>
  </w:style>
  <w:style w:type="character" w:customStyle="1" w:styleId="260">
    <w:name w:val="param-name1"/>
    <w:qFormat/>
    <w:uiPriority w:val="99"/>
    <w:rPr>
      <w:rFonts w:cs="Times New Roman"/>
      <w:b/>
      <w:bCs/>
    </w:rPr>
  </w:style>
  <w:style w:type="character" w:customStyle="1" w:styleId="261">
    <w:name w:val="bds_more"/>
    <w:qFormat/>
    <w:uiPriority w:val="99"/>
    <w:rPr>
      <w:rFonts w:ascii="Arial" w:hAnsi="Arial" w:cs="Arial"/>
    </w:rPr>
  </w:style>
  <w:style w:type="character" w:customStyle="1" w:styleId="262">
    <w:name w:val="正文（缩进） Char"/>
    <w:link w:val="224"/>
    <w:qFormat/>
    <w:locked/>
    <w:uiPriority w:val="99"/>
    <w:rPr>
      <w:rFonts w:eastAsia="宋体"/>
      <w:sz w:val="24"/>
    </w:rPr>
  </w:style>
  <w:style w:type="character" w:customStyle="1" w:styleId="263">
    <w:name w:val="正文文本缩进 3 Char"/>
    <w:link w:val="61"/>
    <w:qFormat/>
    <w:locked/>
    <w:uiPriority w:val="0"/>
    <w:rPr>
      <w:rFonts w:cs="Times New Roman"/>
      <w:sz w:val="16"/>
      <w:szCs w:val="16"/>
    </w:rPr>
  </w:style>
  <w:style w:type="character" w:customStyle="1" w:styleId="264">
    <w:name w:val="标题 1 Char"/>
    <w:qFormat/>
    <w:uiPriority w:val="9"/>
    <w:rPr>
      <w:rFonts w:eastAsia="宋体" w:cs="Times New Roman"/>
      <w:b/>
      <w:bCs/>
      <w:kern w:val="44"/>
      <w:sz w:val="44"/>
      <w:szCs w:val="44"/>
      <w:lang w:val="en-US" w:eastAsia="zh-CN"/>
    </w:rPr>
  </w:style>
  <w:style w:type="character" w:customStyle="1" w:styleId="265">
    <w:name w:val="正文首行缩进 2 Char"/>
    <w:link w:val="75"/>
    <w:semiHidden/>
    <w:qFormat/>
    <w:locked/>
    <w:uiPriority w:val="99"/>
    <w:rPr>
      <w:rFonts w:cs="Times New Roman"/>
      <w:sz w:val="21"/>
      <w:szCs w:val="21"/>
    </w:rPr>
  </w:style>
  <w:style w:type="character" w:customStyle="1" w:styleId="266">
    <w:name w:val="Default Char"/>
    <w:link w:val="248"/>
    <w:qFormat/>
    <w:uiPriority w:val="0"/>
    <w:rPr>
      <w:rFonts w:ascii="宋体"/>
      <w:color w:val="000000"/>
      <w:sz w:val="24"/>
      <w:szCs w:val="24"/>
      <w:lang w:val="en-US" w:eastAsia="zh-CN" w:bidi="ar-SA"/>
    </w:rPr>
  </w:style>
  <w:style w:type="character" w:customStyle="1" w:styleId="267">
    <w:name w:val="style61"/>
    <w:qFormat/>
    <w:uiPriority w:val="0"/>
    <w:rPr>
      <w:color w:val="CCCCCC"/>
    </w:rPr>
  </w:style>
  <w:style w:type="character" w:customStyle="1" w:styleId="268">
    <w:name w:val="列出段落 Char"/>
    <w:link w:val="179"/>
    <w:qFormat/>
    <w:locked/>
    <w:uiPriority w:val="34"/>
    <w:rPr>
      <w:rFonts w:eastAsia="宋体" w:cs="Times New Roman"/>
      <w:color w:val="262626"/>
    </w:rPr>
  </w:style>
  <w:style w:type="character" w:customStyle="1" w:styleId="269">
    <w:name w:val="批注主题 Char"/>
    <w:link w:val="73"/>
    <w:semiHidden/>
    <w:qFormat/>
    <w:locked/>
    <w:uiPriority w:val="99"/>
    <w:rPr>
      <w:rFonts w:ascii="Calibri" w:hAnsi="Calibri" w:eastAsia="宋体" w:cs="Calibri"/>
      <w:b/>
      <w:bCs/>
      <w:sz w:val="21"/>
      <w:szCs w:val="21"/>
      <w:lang w:val="en-US" w:eastAsia="en-US"/>
    </w:rPr>
  </w:style>
  <w:style w:type="character" w:customStyle="1" w:styleId="270">
    <w:name w:val="正文缩进 Char"/>
    <w:link w:val="20"/>
    <w:qFormat/>
    <w:locked/>
    <w:uiPriority w:val="99"/>
    <w:rPr>
      <w:rFonts w:eastAsia="宋体" w:cs="Times New Roman"/>
      <w:sz w:val="21"/>
      <w:szCs w:val="21"/>
    </w:rPr>
  </w:style>
  <w:style w:type="character" w:customStyle="1" w:styleId="271">
    <w:name w:val="纯文本 Char1"/>
    <w:semiHidden/>
    <w:qFormat/>
    <w:locked/>
    <w:uiPriority w:val="99"/>
    <w:rPr>
      <w:rFonts w:ascii="宋体" w:hAnsi="Courier New"/>
      <w:kern w:val="2"/>
      <w:sz w:val="21"/>
    </w:rPr>
  </w:style>
  <w:style w:type="character" w:customStyle="1" w:styleId="272">
    <w:name w:val="标题 3 Char"/>
    <w:link w:val="5"/>
    <w:qFormat/>
    <w:locked/>
    <w:uiPriority w:val="99"/>
    <w:rPr>
      <w:rFonts w:eastAsia="宋体" w:cs="Times New Roman"/>
      <w:b/>
      <w:bCs/>
      <w:sz w:val="32"/>
      <w:szCs w:val="32"/>
    </w:rPr>
  </w:style>
  <w:style w:type="character" w:customStyle="1" w:styleId="273">
    <w:name w:val="hei14"/>
    <w:semiHidden/>
    <w:qFormat/>
    <w:uiPriority w:val="99"/>
    <w:rPr>
      <w:rFonts w:cs="Times New Roman"/>
    </w:rPr>
  </w:style>
  <w:style w:type="character" w:customStyle="1" w:styleId="274">
    <w:name w:val="hover42"/>
    <w:qFormat/>
    <w:uiPriority w:val="99"/>
    <w:rPr>
      <w:rFonts w:cs="Times New Roman"/>
      <w:color w:val="FFFFFF"/>
      <w:shd w:val="clear" w:color="auto" w:fill="auto"/>
    </w:rPr>
  </w:style>
  <w:style w:type="character" w:customStyle="1" w:styleId="275">
    <w:name w:val="标题 5 Char"/>
    <w:link w:val="7"/>
    <w:qFormat/>
    <w:locked/>
    <w:uiPriority w:val="99"/>
    <w:rPr>
      <w:rFonts w:eastAsia="宋体" w:cs="Times New Roman"/>
      <w:b/>
      <w:bCs/>
      <w:sz w:val="28"/>
      <w:szCs w:val="28"/>
    </w:rPr>
  </w:style>
  <w:style w:type="character" w:customStyle="1" w:styleId="276">
    <w:name w:val="标题 7 Char"/>
    <w:link w:val="9"/>
    <w:semiHidden/>
    <w:qFormat/>
    <w:locked/>
    <w:uiPriority w:val="99"/>
    <w:rPr>
      <w:rFonts w:cs="Times New Roman"/>
      <w:b/>
      <w:bCs/>
      <w:sz w:val="24"/>
      <w:szCs w:val="24"/>
    </w:rPr>
  </w:style>
  <w:style w:type="character" w:customStyle="1" w:styleId="277">
    <w:name w:val="正文文本 Char"/>
    <w:link w:val="31"/>
    <w:semiHidden/>
    <w:qFormat/>
    <w:locked/>
    <w:uiPriority w:val="99"/>
    <w:rPr>
      <w:rFonts w:cs="Times New Roman"/>
      <w:sz w:val="21"/>
      <w:szCs w:val="21"/>
    </w:rPr>
  </w:style>
  <w:style w:type="character" w:customStyle="1" w:styleId="278">
    <w:name w:val="hover43"/>
    <w:qFormat/>
    <w:uiPriority w:val="99"/>
    <w:rPr>
      <w:rFonts w:cs="Times New Roman"/>
      <w:color w:val="auto"/>
      <w:u w:val="single"/>
    </w:rPr>
  </w:style>
  <w:style w:type="character" w:customStyle="1" w:styleId="279">
    <w:name w:val="段 Char"/>
    <w:link w:val="243"/>
    <w:qFormat/>
    <w:locked/>
    <w:uiPriority w:val="99"/>
    <w:rPr>
      <w:rFonts w:ascii="宋体" w:cs="宋体"/>
      <w:sz w:val="21"/>
      <w:szCs w:val="21"/>
      <w:lang w:val="en-US" w:eastAsia="zh-CN" w:bidi="ar-SA"/>
    </w:rPr>
  </w:style>
  <w:style w:type="character" w:customStyle="1" w:styleId="280">
    <w:name w:val="r-search1"/>
    <w:basedOn w:val="121"/>
    <w:qFormat/>
    <w:uiPriority w:val="0"/>
  </w:style>
  <w:style w:type="character" w:customStyle="1" w:styleId="281">
    <w:name w:val="ewm"/>
    <w:basedOn w:val="121"/>
    <w:qFormat/>
    <w:uiPriority w:val="0"/>
  </w:style>
  <w:style w:type="character" w:customStyle="1" w:styleId="282">
    <w:name w:val="HR正文 Char"/>
    <w:link w:val="142"/>
    <w:qFormat/>
    <w:uiPriority w:val="0"/>
    <w:rPr>
      <w:rFonts w:ascii="Calibri" w:hAnsi="Calibri"/>
      <w:kern w:val="2"/>
      <w:sz w:val="24"/>
      <w:szCs w:val="24"/>
    </w:rPr>
  </w:style>
  <w:style w:type="character" w:customStyle="1" w:styleId="283">
    <w:name w:val="正文首行缩进 Char"/>
    <w:link w:val="74"/>
    <w:semiHidden/>
    <w:qFormat/>
    <w:locked/>
    <w:uiPriority w:val="99"/>
    <w:rPr>
      <w:rFonts w:eastAsia="宋体" w:cs="Times New Roman"/>
      <w:sz w:val="21"/>
      <w:szCs w:val="21"/>
    </w:rPr>
  </w:style>
  <w:style w:type="character" w:customStyle="1" w:styleId="284">
    <w:name w:val="标题 2 Char"/>
    <w:link w:val="4"/>
    <w:qFormat/>
    <w:locked/>
    <w:uiPriority w:val="9"/>
    <w:rPr>
      <w:rFonts w:ascii="Arial" w:hAnsi="Arial" w:eastAsia="黑体" w:cs="Arial"/>
      <w:b/>
      <w:bCs/>
      <w:sz w:val="32"/>
      <w:szCs w:val="32"/>
    </w:rPr>
  </w:style>
  <w:style w:type="character" w:customStyle="1" w:styleId="285">
    <w:name w:val="HTML 预设格式 Char"/>
    <w:link w:val="68"/>
    <w:semiHidden/>
    <w:qFormat/>
    <w:locked/>
    <w:uiPriority w:val="99"/>
    <w:rPr>
      <w:rFonts w:ascii="Courier New" w:hAnsi="Courier New" w:cs="Courier New"/>
      <w:sz w:val="20"/>
      <w:szCs w:val="20"/>
    </w:rPr>
  </w:style>
  <w:style w:type="character" w:customStyle="1" w:styleId="286">
    <w:name w:val="Body Text Char"/>
    <w:qFormat/>
    <w:locked/>
    <w:uiPriority w:val="99"/>
    <w:rPr>
      <w:rFonts w:eastAsia="宋体"/>
      <w:sz w:val="21"/>
    </w:rPr>
  </w:style>
  <w:style w:type="character" w:customStyle="1" w:styleId="287">
    <w:name w:val="List Paragraph Char"/>
    <w:link w:val="235"/>
    <w:qFormat/>
    <w:locked/>
    <w:uiPriority w:val="0"/>
    <w:rPr>
      <w:color w:val="262626"/>
    </w:rPr>
  </w:style>
  <w:style w:type="character" w:customStyle="1" w:styleId="288">
    <w:name w:val="z-crt4"/>
    <w:qFormat/>
    <w:uiPriority w:val="0"/>
    <w:rPr>
      <w:color w:val="FFFFFF"/>
      <w:bdr w:val="single" w:color="5294E5" w:sz="4" w:space="0"/>
      <w:shd w:val="clear" w:color="auto" w:fill="5294E5"/>
    </w:rPr>
  </w:style>
  <w:style w:type="character" w:customStyle="1" w:styleId="289">
    <w:name w:val="Comment Text Char"/>
    <w:qFormat/>
    <w:locked/>
    <w:uiPriority w:val="99"/>
    <w:rPr>
      <w:rFonts w:ascii="Calibri" w:hAnsi="Calibri" w:eastAsia="宋体"/>
      <w:sz w:val="22"/>
      <w:lang w:val="en-US" w:eastAsia="en-US"/>
    </w:rPr>
  </w:style>
  <w:style w:type="character" w:customStyle="1" w:styleId="290">
    <w:name w:val="标题 6 Char"/>
    <w:link w:val="8"/>
    <w:qFormat/>
    <w:locked/>
    <w:uiPriority w:val="99"/>
    <w:rPr>
      <w:rFonts w:ascii="Arial" w:hAnsi="Arial" w:eastAsia="黑体" w:cs="Arial"/>
      <w:b/>
      <w:bCs/>
    </w:rPr>
  </w:style>
  <w:style w:type="character" w:customStyle="1" w:styleId="291">
    <w:name w:val="r-search"/>
    <w:basedOn w:val="121"/>
    <w:qFormat/>
    <w:uiPriority w:val="0"/>
  </w:style>
  <w:style w:type="character" w:customStyle="1" w:styleId="292">
    <w:name w:val="批注文字 Char"/>
    <w:link w:val="26"/>
    <w:qFormat/>
    <w:locked/>
    <w:uiPriority w:val="99"/>
    <w:rPr>
      <w:rFonts w:cs="Times New Roman"/>
      <w:sz w:val="21"/>
      <w:szCs w:val="21"/>
    </w:rPr>
  </w:style>
  <w:style w:type="character" w:customStyle="1" w:styleId="293">
    <w:name w:val="日期 Char"/>
    <w:link w:val="44"/>
    <w:qFormat/>
    <w:locked/>
    <w:uiPriority w:val="0"/>
    <w:rPr>
      <w:rFonts w:cs="Times New Roman"/>
      <w:sz w:val="21"/>
      <w:szCs w:val="21"/>
    </w:rPr>
  </w:style>
  <w:style w:type="character" w:customStyle="1" w:styleId="294">
    <w:name w:val="标题 4 Char"/>
    <w:link w:val="6"/>
    <w:qFormat/>
    <w:locked/>
    <w:uiPriority w:val="99"/>
    <w:rPr>
      <w:rFonts w:ascii="Arial" w:hAnsi="Arial" w:eastAsia="黑体" w:cs="Arial"/>
      <w:b/>
      <w:bCs/>
      <w:sz w:val="28"/>
      <w:szCs w:val="28"/>
    </w:rPr>
  </w:style>
  <w:style w:type="character" w:customStyle="1" w:styleId="295">
    <w:name w:val="批注框文本 Char"/>
    <w:link w:val="47"/>
    <w:qFormat/>
    <w:uiPriority w:val="99"/>
    <w:rPr>
      <w:kern w:val="2"/>
      <w:sz w:val="18"/>
      <w:szCs w:val="18"/>
    </w:rPr>
  </w:style>
  <w:style w:type="character" w:customStyle="1" w:styleId="296">
    <w:name w:val="Document Map Char"/>
    <w:semiHidden/>
    <w:qFormat/>
    <w:locked/>
    <w:uiPriority w:val="99"/>
    <w:rPr>
      <w:rFonts w:eastAsia="宋体"/>
      <w:sz w:val="21"/>
    </w:rPr>
  </w:style>
  <w:style w:type="character" w:customStyle="1" w:styleId="297">
    <w:name w:val="HR正文 Char1"/>
    <w:qFormat/>
    <w:uiPriority w:val="0"/>
    <w:rPr>
      <w:kern w:val="2"/>
      <w:sz w:val="24"/>
      <w:szCs w:val="24"/>
    </w:rPr>
  </w:style>
  <w:style w:type="character" w:customStyle="1" w:styleId="298">
    <w:name w:val="副标题 Char"/>
    <w:link w:val="55"/>
    <w:qFormat/>
    <w:locked/>
    <w:uiPriority w:val="99"/>
    <w:rPr>
      <w:rFonts w:ascii="Cambria" w:hAnsi="Cambria" w:cs="Cambria"/>
      <w:b/>
      <w:bCs/>
      <w:kern w:val="28"/>
      <w:sz w:val="32"/>
      <w:szCs w:val="32"/>
    </w:rPr>
  </w:style>
  <w:style w:type="character" w:customStyle="1" w:styleId="299">
    <w:name w:val="hover44"/>
    <w:qFormat/>
    <w:uiPriority w:val="99"/>
    <w:rPr>
      <w:rFonts w:ascii="微软雅黑" w:hAnsi="微软雅黑" w:eastAsia="微软雅黑" w:cs="微软雅黑"/>
      <w:b/>
      <w:bCs/>
      <w:color w:val="auto"/>
      <w:sz w:val="22"/>
      <w:szCs w:val="22"/>
      <w:u w:val="single"/>
    </w:rPr>
  </w:style>
  <w:style w:type="character" w:customStyle="1" w:styleId="300">
    <w:name w:val="正文文本缩进 2 Char"/>
    <w:link w:val="45"/>
    <w:qFormat/>
    <w:locked/>
    <w:uiPriority w:val="0"/>
    <w:rPr>
      <w:rFonts w:cs="Times New Roman"/>
      <w:sz w:val="21"/>
      <w:szCs w:val="21"/>
    </w:rPr>
  </w:style>
  <w:style w:type="character" w:customStyle="1" w:styleId="301">
    <w:name w:val="Header Char"/>
    <w:semiHidden/>
    <w:qFormat/>
    <w:locked/>
    <w:uiPriority w:val="99"/>
    <w:rPr>
      <w:rFonts w:eastAsia="宋体"/>
      <w:sz w:val="18"/>
    </w:rPr>
  </w:style>
  <w:style w:type="character" w:customStyle="1" w:styleId="302">
    <w:name w:val="正文文本 2 Char"/>
    <w:link w:val="64"/>
    <w:semiHidden/>
    <w:qFormat/>
    <w:locked/>
    <w:uiPriority w:val="99"/>
    <w:rPr>
      <w:rFonts w:cs="Times New Roman"/>
      <w:sz w:val="21"/>
      <w:szCs w:val="21"/>
    </w:rPr>
  </w:style>
  <w:style w:type="character" w:customStyle="1" w:styleId="303">
    <w:name w:val="电子邮件签名 Char"/>
    <w:link w:val="18"/>
    <w:semiHidden/>
    <w:qFormat/>
    <w:locked/>
    <w:uiPriority w:val="99"/>
    <w:rPr>
      <w:rFonts w:cs="Times New Roman"/>
      <w:sz w:val="21"/>
      <w:szCs w:val="21"/>
    </w:rPr>
  </w:style>
  <w:style w:type="character" w:customStyle="1" w:styleId="304">
    <w:name w:val="标题 Char"/>
    <w:link w:val="72"/>
    <w:qFormat/>
    <w:locked/>
    <w:uiPriority w:val="0"/>
    <w:rPr>
      <w:rFonts w:ascii="Cambria" w:hAnsi="Cambria" w:cs="Cambria"/>
      <w:b/>
      <w:bCs/>
      <w:sz w:val="32"/>
      <w:szCs w:val="32"/>
    </w:rPr>
  </w:style>
  <w:style w:type="character" w:customStyle="1" w:styleId="305">
    <w:name w:val="HR标题3 Char"/>
    <w:link w:val="192"/>
    <w:qFormat/>
    <w:uiPriority w:val="0"/>
    <w:rPr>
      <w:rFonts w:ascii="Calibri" w:hAnsi="Calibri"/>
      <w:kern w:val="2"/>
      <w:sz w:val="24"/>
      <w:szCs w:val="24"/>
    </w:rPr>
  </w:style>
  <w:style w:type="character" w:customStyle="1" w:styleId="306">
    <w:name w:val="纯文本 Char"/>
    <w:link w:val="40"/>
    <w:qFormat/>
    <w:locked/>
    <w:uiPriority w:val="0"/>
    <w:rPr>
      <w:rFonts w:ascii="宋体" w:hAnsi="Courier New" w:cs="宋体"/>
      <w:sz w:val="21"/>
      <w:szCs w:val="21"/>
    </w:rPr>
  </w:style>
  <w:style w:type="character" w:customStyle="1" w:styleId="307">
    <w:name w:val="hover39"/>
    <w:qFormat/>
    <w:uiPriority w:val="99"/>
    <w:rPr>
      <w:rFonts w:cs="Times New Roman"/>
      <w:color w:val="FFFFFF"/>
      <w:shd w:val="clear" w:color="auto" w:fill="auto"/>
    </w:rPr>
  </w:style>
  <w:style w:type="character" w:customStyle="1" w:styleId="308">
    <w:name w:val="hover40"/>
    <w:qFormat/>
    <w:uiPriority w:val="99"/>
    <w:rPr>
      <w:rFonts w:cs="Times New Roman"/>
      <w:color w:val="auto"/>
      <w:u w:val="single"/>
    </w:rPr>
  </w:style>
  <w:style w:type="character" w:customStyle="1" w:styleId="309">
    <w:name w:val="页眉 Char"/>
    <w:link w:val="50"/>
    <w:qFormat/>
    <w:locked/>
    <w:uiPriority w:val="0"/>
    <w:rPr>
      <w:rFonts w:cs="Times New Roman"/>
      <w:sz w:val="18"/>
      <w:szCs w:val="18"/>
    </w:rPr>
  </w:style>
  <w:style w:type="character" w:customStyle="1" w:styleId="310">
    <w:name w:val="正文文本 3 Char"/>
    <w:link w:val="28"/>
    <w:semiHidden/>
    <w:qFormat/>
    <w:locked/>
    <w:uiPriority w:val="99"/>
    <w:rPr>
      <w:rFonts w:cs="Times New Roman"/>
      <w:sz w:val="16"/>
      <w:szCs w:val="16"/>
    </w:rPr>
  </w:style>
  <w:style w:type="character" w:customStyle="1" w:styleId="311">
    <w:name w:val="z-crt3"/>
    <w:qFormat/>
    <w:uiPriority w:val="0"/>
    <w:rPr>
      <w:color w:val="FFFFFF"/>
      <w:bdr w:val="single" w:color="5295E6" w:sz="4" w:space="0"/>
      <w:shd w:val="clear" w:color="auto" w:fill="5295E6"/>
    </w:rPr>
  </w:style>
  <w:style w:type="character" w:customStyle="1" w:styleId="312">
    <w:name w:val="标题 9 Char"/>
    <w:link w:val="11"/>
    <w:semiHidden/>
    <w:qFormat/>
    <w:locked/>
    <w:uiPriority w:val="99"/>
    <w:rPr>
      <w:rFonts w:ascii="Cambria" w:hAnsi="Cambria" w:eastAsia="宋体" w:cs="Cambria"/>
      <w:sz w:val="21"/>
      <w:szCs w:val="21"/>
    </w:rPr>
  </w:style>
  <w:style w:type="character" w:customStyle="1" w:styleId="313">
    <w:name w:val="正文文本缩进 Char"/>
    <w:link w:val="32"/>
    <w:qFormat/>
    <w:locked/>
    <w:uiPriority w:val="0"/>
    <w:rPr>
      <w:rFonts w:cs="Times New Roman"/>
      <w:sz w:val="21"/>
      <w:szCs w:val="21"/>
    </w:rPr>
  </w:style>
  <w:style w:type="character" w:customStyle="1" w:styleId="314">
    <w:name w:val="HTML Markup"/>
    <w:qFormat/>
    <w:uiPriority w:val="0"/>
    <w:rPr>
      <w:vanish/>
      <w:color w:val="FF0000"/>
    </w:rPr>
  </w:style>
  <w:style w:type="character" w:customStyle="1" w:styleId="315">
    <w:name w:val="文档结构图 Char"/>
    <w:link w:val="24"/>
    <w:qFormat/>
    <w:locked/>
    <w:uiPriority w:val="0"/>
    <w:rPr>
      <w:rFonts w:cs="Times New Roman"/>
      <w:sz w:val="2"/>
      <w:szCs w:val="2"/>
    </w:rPr>
  </w:style>
  <w:style w:type="character" w:customStyle="1" w:styleId="316">
    <w:name w:val="纯文本 字符"/>
    <w:qFormat/>
    <w:uiPriority w:val="0"/>
    <w:rPr>
      <w:rFonts w:ascii="宋体" w:hAnsi="Courier New"/>
      <w:kern w:val="2"/>
      <w:sz w:val="21"/>
      <w:szCs w:val="21"/>
    </w:rPr>
  </w:style>
  <w:style w:type="character" w:customStyle="1" w:styleId="317">
    <w:name w:val="HTML 地址 Char"/>
    <w:link w:val="38"/>
    <w:semiHidden/>
    <w:qFormat/>
    <w:locked/>
    <w:uiPriority w:val="99"/>
    <w:rPr>
      <w:rFonts w:cs="Times New Roman"/>
      <w:i/>
      <w:iCs/>
      <w:sz w:val="21"/>
      <w:szCs w:val="21"/>
    </w:rPr>
  </w:style>
  <w:style w:type="character" w:customStyle="1" w:styleId="318">
    <w:name w:val="apple-converted-space"/>
    <w:qFormat/>
    <w:uiPriority w:val="99"/>
  </w:style>
  <w:style w:type="character" w:customStyle="1" w:styleId="319">
    <w:name w:val="Body Text First Indent Char"/>
    <w:qFormat/>
    <w:locked/>
    <w:uiPriority w:val="99"/>
    <w:rPr>
      <w:rFonts w:ascii="宋体" w:hAnsi="宋体" w:eastAsia="宋体"/>
      <w:spacing w:val="20"/>
      <w:sz w:val="24"/>
    </w:rPr>
  </w:style>
  <w:style w:type="character" w:customStyle="1" w:styleId="320">
    <w:name w:val="Char Char3"/>
    <w:qFormat/>
    <w:uiPriority w:val="99"/>
    <w:rPr>
      <w:rFonts w:ascii="Calibri" w:hAnsi="Calibri" w:eastAsia="宋体" w:cs="Calibri"/>
      <w:sz w:val="22"/>
      <w:szCs w:val="22"/>
      <w:lang w:eastAsia="en-US"/>
    </w:rPr>
  </w:style>
  <w:style w:type="character" w:customStyle="1" w:styleId="321">
    <w:name w:val="页眉 Char1"/>
    <w:semiHidden/>
    <w:qFormat/>
    <w:locked/>
    <w:uiPriority w:val="0"/>
    <w:rPr>
      <w:rFonts w:ascii="Calibri" w:hAnsi="Calibri"/>
      <w:sz w:val="18"/>
      <w:szCs w:val="18"/>
    </w:rPr>
  </w:style>
  <w:style w:type="character" w:customStyle="1" w:styleId="322">
    <w:name w:val="信息标题 Char"/>
    <w:link w:val="67"/>
    <w:semiHidden/>
    <w:qFormat/>
    <w:locked/>
    <w:uiPriority w:val="99"/>
    <w:rPr>
      <w:rFonts w:ascii="Cambria" w:hAnsi="Cambria" w:eastAsia="宋体" w:cs="Cambria"/>
      <w:sz w:val="24"/>
      <w:szCs w:val="24"/>
      <w:shd w:val="pct20" w:color="auto" w:fill="auto"/>
    </w:rPr>
  </w:style>
  <w:style w:type="character" w:customStyle="1" w:styleId="323">
    <w:name w:val="first-child"/>
    <w:basedOn w:val="121"/>
    <w:qFormat/>
    <w:uiPriority w:val="0"/>
  </w:style>
  <w:style w:type="character" w:customStyle="1" w:styleId="324">
    <w:name w:val="签名 Char"/>
    <w:link w:val="51"/>
    <w:semiHidden/>
    <w:qFormat/>
    <w:locked/>
    <w:uiPriority w:val="99"/>
    <w:rPr>
      <w:rFonts w:cs="Times New Roman"/>
      <w:sz w:val="21"/>
      <w:szCs w:val="21"/>
    </w:rPr>
  </w:style>
  <w:style w:type="character" w:customStyle="1" w:styleId="325">
    <w:name w:val="页脚 Char"/>
    <w:link w:val="48"/>
    <w:qFormat/>
    <w:locked/>
    <w:uiPriority w:val="99"/>
    <w:rPr>
      <w:rFonts w:cs="Times New Roman"/>
      <w:sz w:val="18"/>
      <w:szCs w:val="18"/>
    </w:rPr>
  </w:style>
  <w:style w:type="character" w:customStyle="1" w:styleId="326">
    <w:name w:val="标题 8 Char"/>
    <w:link w:val="10"/>
    <w:semiHidden/>
    <w:qFormat/>
    <w:locked/>
    <w:uiPriority w:val="99"/>
    <w:rPr>
      <w:rFonts w:ascii="Cambria" w:hAnsi="Cambria" w:eastAsia="宋体" w:cs="Cambria"/>
      <w:sz w:val="24"/>
      <w:szCs w:val="24"/>
    </w:rPr>
  </w:style>
  <w:style w:type="character" w:customStyle="1" w:styleId="327">
    <w:name w:val="正文文本缩进 2 Char1"/>
    <w:semiHidden/>
    <w:qFormat/>
    <w:locked/>
    <w:uiPriority w:val="99"/>
    <w:rPr>
      <w:sz w:val="21"/>
      <w:szCs w:val="21"/>
    </w:rPr>
  </w:style>
  <w:style w:type="character" w:customStyle="1" w:styleId="328">
    <w:name w:val="标题 1 Char1"/>
    <w:link w:val="2"/>
    <w:qFormat/>
    <w:locked/>
    <w:uiPriority w:val="99"/>
    <w:rPr>
      <w:b/>
      <w:iCs/>
      <w:kern w:val="2"/>
      <w:sz w:val="36"/>
    </w:rPr>
  </w:style>
  <w:style w:type="character" w:customStyle="1" w:styleId="329">
    <w:name w:val="结束语 Char"/>
    <w:link w:val="29"/>
    <w:semiHidden/>
    <w:qFormat/>
    <w:locked/>
    <w:uiPriority w:val="99"/>
    <w:rPr>
      <w:rFonts w:cs="Times New Roman"/>
      <w:sz w:val="21"/>
      <w:szCs w:val="21"/>
    </w:rPr>
  </w:style>
  <w:style w:type="character" w:customStyle="1" w:styleId="330">
    <w:name w:val="注释标题 Char"/>
    <w:link w:val="16"/>
    <w:semiHidden/>
    <w:qFormat/>
    <w:locked/>
    <w:uiPriority w:val="99"/>
    <w:rPr>
      <w:rFonts w:cs="Times New Roman"/>
      <w:sz w:val="21"/>
      <w:szCs w:val="21"/>
    </w:rPr>
  </w:style>
  <w:style w:type="character" w:customStyle="1" w:styleId="331">
    <w:name w:val="hover34"/>
    <w:qFormat/>
    <w:uiPriority w:val="0"/>
    <w:rPr>
      <w:color w:val="FFFFFF"/>
      <w:bdr w:val="single" w:color="5294E5" w:sz="4" w:space="0"/>
      <w:shd w:val="clear" w:color="auto" w:fill="5294E5"/>
    </w:rPr>
  </w:style>
  <w:style w:type="table" w:customStyle="1" w:styleId="332">
    <w:name w:val="Table Normal"/>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333">
    <w:name w:val="浅色网格1"/>
    <w:basedOn w:val="76"/>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eastAsia="Courier New" w:cs="Times New Roman"/>
        <w:b/>
        <w:bCs/>
      </w:rPr>
      <w:tcPr>
        <w:tcBorders>
          <w:top w:val="single" w:color="000000" w:sz="8" w:space="0"/>
          <w:left w:val="single" w:color="000000" w:sz="18" w:space="0"/>
          <w:bottom w:val="single" w:color="000000" w:sz="8" w:space="0"/>
          <w:right w:val="single" w:color="000000" w:sz="8" w:space="0"/>
          <w:insideH w:val="nil"/>
          <w:insideV w:val="single" w:sz="8" w:space="0"/>
          <w:tl2br w:val="nil"/>
          <w:tr2bl w:val="nil"/>
        </w:tcBorders>
      </w:tcPr>
    </w:tblStylePr>
    <w:tblStylePr w:type="lastRow">
      <w:pPr>
        <w:spacing w:before="0" w:after="0" w:line="240" w:lineRule="auto"/>
      </w:pPr>
      <w:rPr>
        <w:rFonts w:eastAsia="Courier New" w:cs="Times New Roman"/>
        <w:b/>
        <w:bCs/>
      </w:rPr>
      <w:tcPr>
        <w:tcBorders>
          <w:top w:val="double" w:color="000000" w:sz="6" w:space="0"/>
          <w:left w:val="single" w:color="000000" w:sz="8" w:space="0"/>
          <w:bottom w:val="single" w:color="000000" w:sz="8" w:space="0"/>
          <w:right w:val="single" w:color="000000" w:sz="8" w:space="0"/>
          <w:insideH w:val="nil"/>
          <w:insideV w:val="single" w:sz="8" w:space="0"/>
          <w:tl2br w:val="nil"/>
          <w:tr2bl w:val="nil"/>
        </w:tcBorders>
      </w:tcPr>
    </w:tblStylePr>
    <w:tblStylePr w:type="firstCol">
      <w:rPr>
        <w:rFonts w:eastAsia="Courier New" w:cs="Times New Roman"/>
        <w:b/>
        <w:bCs/>
      </w:rPr>
    </w:tblStylePr>
    <w:tblStylePr w:type="lastCol">
      <w:rPr>
        <w:rFonts w:eastAsia="Courier New" w:cs="Times New Roman"/>
        <w:b/>
        <w:bCs/>
      </w:rPr>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tblStylePr w:type="band1Vert">
      <w:tcPr>
        <w:tcBorders>
          <w:top w:val="single" w:color="000000" w:sz="8" w:space="0"/>
          <w:left w:val="single" w:color="000000" w:sz="8" w:space="0"/>
          <w:bottom w:val="single" w:color="000000" w:sz="8" w:space="0"/>
          <w:right w:val="single" w:color="000000" w:sz="8" w:space="0"/>
          <w:insideH w:val="nil"/>
          <w:insideV w:val="nil"/>
          <w:tl2br w:val="nil"/>
          <w:tr2bl w:val="nil"/>
        </w:tcBorders>
        <w:shd w:val="clear" w:color="auto" w:fill="C0C0C0"/>
      </w:tcPr>
    </w:tblStylePr>
    <w:tblStylePr w:type="band1Horz">
      <w:tcPr>
        <w:tcBorders>
          <w:top w:val="single" w:color="000000" w:sz="8" w:space="0"/>
          <w:left w:val="single" w:color="000000" w:sz="8" w:space="0"/>
          <w:bottom w:val="single" w:color="000000" w:sz="8" w:space="0"/>
          <w:right w:val="single" w:color="000000" w:sz="8" w:space="0"/>
          <w:insideH w:val="nil"/>
          <w:insideV w:val="single" w:sz="8" w:space="0"/>
          <w:tl2br w:val="nil"/>
          <w:tr2bl w:val="nil"/>
        </w:tcBorders>
        <w:shd w:val="clear" w:color="auto" w:fill="C0C0C0"/>
      </w:tcPr>
    </w:tblStylePr>
    <w:tblStylePr w:type="band2Horz">
      <w:tcPr>
        <w:tcBorders>
          <w:top w:val="single" w:color="000000" w:sz="8" w:space="0"/>
          <w:left w:val="single" w:color="000000" w:sz="8" w:space="0"/>
          <w:bottom w:val="single" w:color="000000" w:sz="8" w:space="0"/>
          <w:right w:val="single" w:color="000000" w:sz="8" w:space="0"/>
          <w:insideH w:val="nil"/>
          <w:insideV w:val="single" w:sz="8" w:space="0"/>
          <w:tl2br w:val="nil"/>
          <w:tr2bl w:val="nil"/>
        </w:tcBorders>
      </w:tcPr>
    </w:tblStylePr>
  </w:style>
  <w:style w:type="character" w:customStyle="1" w:styleId="334">
    <w:name w:val="font11"/>
    <w:basedOn w:val="121"/>
    <w:qFormat/>
    <w:uiPriority w:val="0"/>
    <w:rPr>
      <w:rFonts w:hint="default" w:ascii="Arial" w:hAnsi="Arial" w:cs="Arial"/>
      <w:color w:val="000000"/>
      <w:sz w:val="24"/>
      <w:szCs w:val="24"/>
      <w:u w:val="none"/>
    </w:rPr>
  </w:style>
  <w:style w:type="character" w:customStyle="1" w:styleId="335">
    <w:name w:val="font21"/>
    <w:basedOn w:val="121"/>
    <w:qFormat/>
    <w:uiPriority w:val="0"/>
    <w:rPr>
      <w:rFonts w:hint="eastAsia" w:ascii="仿宋" w:hAnsi="仿宋" w:eastAsia="仿宋" w:cs="仿宋"/>
      <w:color w:val="000000"/>
      <w:sz w:val="24"/>
      <w:szCs w:val="24"/>
      <w:u w:val="none"/>
    </w:rPr>
  </w:style>
  <w:style w:type="paragraph" w:customStyle="1" w:styleId="336">
    <w:name w:val="Text"/>
    <w:basedOn w:val="1"/>
    <w:qFormat/>
    <w:uiPriority w:val="0"/>
    <w:pPr>
      <w:widowControl/>
      <w:tabs>
        <w:tab w:val="left" w:pos="1134"/>
      </w:tabs>
      <w:ind w:left="1134"/>
    </w:pPr>
    <w:rPr>
      <w:rFonts w:ascii="Arial" w:hAnsi="Arial"/>
      <w:kern w:val="0"/>
      <w:sz w:val="22"/>
      <w:szCs w:val="20"/>
      <w:lang w:val="de-DE"/>
    </w:rPr>
  </w:style>
  <w:style w:type="paragraph" w:customStyle="1" w:styleId="337">
    <w:name w:val="1"/>
    <w:basedOn w:val="1"/>
    <w:qFormat/>
    <w:uiPriority w:val="0"/>
    <w:rPr>
      <w:b/>
      <w:szCs w:val="24"/>
    </w:rPr>
  </w:style>
  <w:style w:type="paragraph" w:customStyle="1" w:styleId="338">
    <w:name w:val="1.1"/>
    <w:basedOn w:val="1"/>
    <w:qFormat/>
    <w:uiPriority w:val="0"/>
    <w:pPr>
      <w:widowControl/>
      <w:tabs>
        <w:tab w:val="left" w:pos="425"/>
        <w:tab w:val="left" w:pos="851"/>
      </w:tabs>
    </w:pPr>
    <w:rPr>
      <w:kern w:val="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Info spid="_x0000_s1027"/>
    <customShpInfo spid="_x0000_s1028"/>
    <customShpInfo spid="_x0000_s102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BCDE34-A6DB-4588-90B3-51091C0D7734}">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69</Pages>
  <Words>38575</Words>
  <Characters>41144</Characters>
  <Lines>282</Lines>
  <Paragraphs>79</Paragraphs>
  <TotalTime>0</TotalTime>
  <ScaleCrop>false</ScaleCrop>
  <LinksUpToDate>false</LinksUpToDate>
  <CharactersWithSpaces>43355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2021-02-24T11:43:00Z</dcterms:created>
  <dc:creator>USER</dc:creator>
  <cp:lastModifiedBy>Yuxin</cp:lastModifiedBy>
  <cp:lastPrinted>2020-10-17T02:27:00Z</cp:lastPrinted>
  <dcterms:modified xsi:type="dcterms:W3CDTF">2022-11-14T06:09:05Z</dcterms:modified>
  <dc:title>招标文件目录</dc:title>
  <cp:revision>456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DFA7CCD4BB0144D89370D7DDD8F00F7E</vt:lpwstr>
  </property>
</Properties>
</file>