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694F3">
      <w:pPr>
        <w:jc w:val="center"/>
        <w:rPr>
          <w:rFonts w:ascii="宋体" w:hAnsi="宋体"/>
          <w:sz w:val="30"/>
          <w:szCs w:val="30"/>
        </w:rPr>
      </w:pPr>
    </w:p>
    <w:p w14:paraId="05E9285B">
      <w:pPr>
        <w:ind w:right="280"/>
        <w:jc w:val="center"/>
        <w:rPr>
          <w:rFonts w:hint="eastAsia" w:ascii="宋体" w:hAnsi="宋体"/>
          <w:sz w:val="44"/>
          <w:szCs w:val="48"/>
          <w:lang w:val="en-US" w:eastAsia="zh-CN"/>
        </w:rPr>
      </w:pPr>
      <w:r>
        <w:rPr>
          <w:rFonts w:hint="eastAsia" w:ascii="宋体" w:hAnsi="宋体"/>
          <w:sz w:val="44"/>
          <w:szCs w:val="48"/>
          <w:lang w:val="en-US" w:eastAsia="zh-CN"/>
        </w:rPr>
        <w:t>2026年中国重汽集团</w:t>
      </w:r>
    </w:p>
    <w:p w14:paraId="4D78581B">
      <w:pPr>
        <w:ind w:right="280"/>
        <w:jc w:val="center"/>
        <w:rPr>
          <w:sz w:val="28"/>
          <w:szCs w:val="28"/>
        </w:rPr>
      </w:pPr>
      <w:r>
        <w:rPr>
          <w:rFonts w:hint="eastAsia" w:ascii="宋体" w:hAnsi="宋体"/>
          <w:sz w:val="44"/>
          <w:szCs w:val="48"/>
          <w:lang w:val="en-US" w:eastAsia="zh-CN"/>
        </w:rPr>
        <w:t>能源管道设施年度维修项目</w:t>
      </w:r>
    </w:p>
    <w:p w14:paraId="0BEB844A">
      <w:pPr>
        <w:ind w:firstLine="2240" w:firstLineChars="800"/>
        <w:jc w:val="left"/>
        <w:rPr>
          <w:rFonts w:hint="default" w:eastAsia="宋体"/>
          <w:sz w:val="28"/>
          <w:szCs w:val="28"/>
          <w:lang w:val="en-US" w:eastAsia="zh-CN"/>
        </w:rPr>
      </w:pPr>
      <w:r>
        <w:rPr>
          <w:rFonts w:hint="eastAsia"/>
          <w:sz w:val="28"/>
          <w:szCs w:val="28"/>
          <w:lang w:val="en-US" w:eastAsia="zh-CN"/>
        </w:rPr>
        <w:t>采购形式编号：FSCZB2025120140</w:t>
      </w:r>
    </w:p>
    <w:p w14:paraId="1880E056">
      <w:pPr>
        <w:pStyle w:val="5"/>
      </w:pPr>
    </w:p>
    <w:p w14:paraId="25E81BEF">
      <w:pPr>
        <w:jc w:val="center"/>
        <w:rPr>
          <w:rFonts w:ascii="黑体" w:hAnsi="宋体" w:eastAsia="黑体"/>
          <w:sz w:val="56"/>
          <w:szCs w:val="84"/>
        </w:rPr>
      </w:pPr>
      <w:r>
        <w:rPr>
          <w:rFonts w:hint="eastAsia" w:ascii="黑体" w:hAnsi="宋体" w:eastAsia="黑体"/>
          <w:sz w:val="56"/>
          <w:szCs w:val="84"/>
        </w:rPr>
        <w:t>招</w:t>
      </w:r>
    </w:p>
    <w:p w14:paraId="6BCD23FE">
      <w:pPr>
        <w:jc w:val="center"/>
        <w:rPr>
          <w:rFonts w:ascii="黑体" w:hAnsi="宋体" w:eastAsia="黑体"/>
          <w:sz w:val="56"/>
          <w:szCs w:val="84"/>
        </w:rPr>
      </w:pPr>
    </w:p>
    <w:p w14:paraId="5C3B62C3">
      <w:pPr>
        <w:jc w:val="center"/>
        <w:rPr>
          <w:rFonts w:ascii="黑体" w:hAnsi="宋体" w:eastAsia="黑体"/>
          <w:sz w:val="56"/>
          <w:szCs w:val="84"/>
        </w:rPr>
      </w:pPr>
      <w:r>
        <w:rPr>
          <w:rFonts w:hint="eastAsia" w:ascii="黑体" w:hAnsi="宋体" w:eastAsia="黑体"/>
          <w:sz w:val="56"/>
          <w:szCs w:val="84"/>
        </w:rPr>
        <w:t>标</w:t>
      </w:r>
    </w:p>
    <w:p w14:paraId="16C60CC5">
      <w:pPr>
        <w:jc w:val="center"/>
        <w:rPr>
          <w:rFonts w:ascii="黑体" w:hAnsi="宋体" w:eastAsia="黑体"/>
          <w:sz w:val="56"/>
          <w:szCs w:val="84"/>
        </w:rPr>
      </w:pPr>
    </w:p>
    <w:p w14:paraId="1F588922">
      <w:pPr>
        <w:jc w:val="center"/>
        <w:rPr>
          <w:rFonts w:ascii="黑体" w:hAnsi="宋体" w:eastAsia="黑体"/>
          <w:sz w:val="56"/>
          <w:szCs w:val="84"/>
        </w:rPr>
      </w:pPr>
      <w:r>
        <w:rPr>
          <w:rFonts w:hint="eastAsia" w:ascii="黑体" w:hAnsi="宋体" w:eastAsia="黑体"/>
          <w:sz w:val="56"/>
          <w:szCs w:val="84"/>
        </w:rPr>
        <w:t>书</w:t>
      </w:r>
    </w:p>
    <w:p w14:paraId="2E95CCA1">
      <w:pPr>
        <w:rPr>
          <w:rFonts w:ascii="黑体" w:hAnsi="宋体" w:eastAsia="黑体"/>
          <w:sz w:val="56"/>
          <w:szCs w:val="84"/>
        </w:rPr>
      </w:pPr>
    </w:p>
    <w:p w14:paraId="6F3D8EC3">
      <w:pPr>
        <w:ind w:right="2240" w:firstLine="1280" w:firstLineChars="400"/>
        <w:jc w:val="left"/>
        <w:rPr>
          <w:rFonts w:ascii="华文仿宋" w:hAnsi="华文仿宋" w:eastAsia="华文仿宋"/>
          <w:sz w:val="32"/>
          <w:szCs w:val="28"/>
        </w:rPr>
      </w:pPr>
    </w:p>
    <w:p w14:paraId="709DC82B">
      <w:pPr>
        <w:ind w:right="2240" w:firstLine="1280" w:firstLineChars="400"/>
        <w:jc w:val="left"/>
        <w:rPr>
          <w:rFonts w:ascii="华文仿宋" w:hAnsi="华文仿宋" w:eastAsia="华文仿宋"/>
          <w:sz w:val="32"/>
          <w:szCs w:val="28"/>
        </w:rPr>
      </w:pPr>
    </w:p>
    <w:p w14:paraId="091316B8">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07D7DB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4B4BF26">
      <w:pPr>
        <w:jc w:val="left"/>
        <w:rPr>
          <w:rFonts w:ascii="华文仿宋" w:hAnsi="华文仿宋" w:eastAsia="华文仿宋"/>
          <w:sz w:val="32"/>
          <w:szCs w:val="28"/>
        </w:rPr>
      </w:pPr>
    </w:p>
    <w:p w14:paraId="7807CCEB">
      <w:pPr>
        <w:jc w:val="center"/>
        <w:rPr>
          <w:rFonts w:ascii="宋体" w:hAnsi="宋体"/>
          <w:sz w:val="28"/>
          <w:szCs w:val="28"/>
        </w:rPr>
      </w:pPr>
      <w:r>
        <w:rPr>
          <w:rFonts w:hint="eastAsia" w:ascii="宋体" w:hAnsi="宋体"/>
          <w:sz w:val="28"/>
          <w:szCs w:val="28"/>
        </w:rPr>
        <w:t>招 标 人：中国重型汽车集团有限公司</w:t>
      </w:r>
    </w:p>
    <w:p w14:paraId="705A81A4">
      <w:pPr>
        <w:jc w:val="center"/>
        <w:rPr>
          <w:rFonts w:ascii="宋体" w:hAnsi="宋体"/>
          <w:sz w:val="28"/>
          <w:szCs w:val="28"/>
          <w:u w:val="single"/>
        </w:rPr>
      </w:pPr>
      <w:r>
        <w:rPr>
          <w:rFonts w:hint="eastAsia"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r>
        <w:rPr>
          <w:rFonts w:hint="eastAsia" w:ascii="宋体" w:hAnsi="宋体"/>
          <w:sz w:val="28"/>
          <w:szCs w:val="28"/>
          <w:u w:val="single"/>
          <w:lang w:val="en-US" w:eastAsia="zh-CN"/>
        </w:rPr>
        <w:t>8</w:t>
      </w:r>
      <w:r>
        <w:rPr>
          <w:rFonts w:hint="eastAsia" w:ascii="宋体" w:hAnsi="宋体"/>
          <w:sz w:val="28"/>
          <w:szCs w:val="28"/>
          <w:u w:val="single"/>
        </w:rPr>
        <w:t>日</w:t>
      </w:r>
    </w:p>
    <w:p w14:paraId="75C470E4">
      <w:pPr>
        <w:spacing w:line="480" w:lineRule="auto"/>
        <w:jc w:val="center"/>
        <w:rPr>
          <w:rFonts w:ascii="宋体" w:hAnsi="宋体"/>
          <w:b/>
          <w:bCs/>
          <w:sz w:val="48"/>
          <w:szCs w:val="48"/>
        </w:rPr>
      </w:pPr>
    </w:p>
    <w:p w14:paraId="1182932D">
      <w:pPr>
        <w:spacing w:line="480" w:lineRule="auto"/>
        <w:jc w:val="center"/>
        <w:rPr>
          <w:rFonts w:ascii="宋体" w:hAnsi="宋体"/>
          <w:b/>
          <w:bCs/>
          <w:sz w:val="48"/>
          <w:szCs w:val="48"/>
        </w:rPr>
      </w:pPr>
    </w:p>
    <w:p w14:paraId="2C664C6F">
      <w:pPr>
        <w:spacing w:line="480" w:lineRule="auto"/>
        <w:jc w:val="center"/>
        <w:rPr>
          <w:rFonts w:ascii="宋体" w:hAnsi="宋体"/>
          <w:b/>
          <w:bCs/>
          <w:sz w:val="48"/>
          <w:szCs w:val="48"/>
        </w:rPr>
      </w:pPr>
      <w:r>
        <w:rPr>
          <w:rFonts w:ascii="宋体" w:hAnsi="宋体"/>
          <w:b/>
          <w:bCs/>
          <w:sz w:val="48"/>
          <w:szCs w:val="48"/>
        </w:rPr>
        <w:t>目   录</w:t>
      </w:r>
    </w:p>
    <w:p w14:paraId="3C89731C">
      <w:pPr>
        <w:tabs>
          <w:tab w:val="left" w:pos="3240"/>
        </w:tabs>
        <w:spacing w:line="480" w:lineRule="auto"/>
        <w:rPr>
          <w:rFonts w:ascii="宋体" w:hAnsi="宋体"/>
          <w:b/>
          <w:bCs/>
          <w:sz w:val="24"/>
        </w:rPr>
      </w:pPr>
      <w:r>
        <w:rPr>
          <w:rFonts w:ascii="宋体" w:hAnsi="宋体"/>
          <w:b/>
          <w:bCs/>
          <w:sz w:val="24"/>
        </w:rPr>
        <w:tab/>
      </w:r>
    </w:p>
    <w:p w14:paraId="559B9F12">
      <w:pPr>
        <w:tabs>
          <w:tab w:val="left" w:pos="3240"/>
        </w:tabs>
        <w:spacing w:line="480" w:lineRule="auto"/>
        <w:rPr>
          <w:rFonts w:ascii="宋体" w:hAnsi="宋体"/>
          <w:b/>
          <w:bCs/>
          <w:sz w:val="24"/>
        </w:rPr>
      </w:pPr>
    </w:p>
    <w:p w14:paraId="4102DB14">
      <w:pPr>
        <w:tabs>
          <w:tab w:val="left" w:pos="3240"/>
        </w:tabs>
        <w:spacing w:line="480" w:lineRule="auto"/>
        <w:rPr>
          <w:rFonts w:ascii="宋体" w:hAnsi="宋体"/>
          <w:b/>
          <w:bCs/>
          <w:sz w:val="24"/>
        </w:rPr>
      </w:pPr>
    </w:p>
    <w:p w14:paraId="091202D3">
      <w:pPr>
        <w:pStyle w:val="8"/>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3"/>
          <w:rFonts w:hint="eastAsia"/>
        </w:rPr>
        <w:t>第一章</w:t>
      </w:r>
      <w:r>
        <w:rPr>
          <w:rStyle w:val="13"/>
        </w:rPr>
        <w:t xml:space="preserve">  </w:t>
      </w:r>
      <w:r>
        <w:rPr>
          <w:rStyle w:val="13"/>
          <w:rFonts w:hint="eastAsia"/>
        </w:rPr>
        <w:t>招标公告</w:t>
      </w:r>
      <w:r>
        <w:tab/>
      </w:r>
      <w:r>
        <w:fldChar w:fldCharType="end"/>
      </w:r>
      <w:r>
        <w:rPr>
          <w:rFonts w:hint="eastAsia"/>
        </w:rPr>
        <w:t>2（页码）</w:t>
      </w:r>
    </w:p>
    <w:p w14:paraId="66E21A57">
      <w:pPr>
        <w:pStyle w:val="8"/>
      </w:pPr>
    </w:p>
    <w:p w14:paraId="3B991704">
      <w:pPr>
        <w:pStyle w:val="8"/>
      </w:pPr>
      <w:r>
        <w:fldChar w:fldCharType="begin"/>
      </w:r>
      <w:r>
        <w:instrText xml:space="preserve"> HYPERLINK \l "_Toc357155295" </w:instrText>
      </w:r>
      <w:r>
        <w:fldChar w:fldCharType="separate"/>
      </w:r>
      <w:r>
        <w:rPr>
          <w:rStyle w:val="13"/>
          <w:rFonts w:hint="eastAsia"/>
        </w:rPr>
        <w:t>第二章</w:t>
      </w:r>
      <w:r>
        <w:rPr>
          <w:rStyle w:val="13"/>
        </w:rPr>
        <w:t xml:space="preserve">  </w:t>
      </w:r>
      <w:r>
        <w:rPr>
          <w:rStyle w:val="13"/>
          <w:rFonts w:hint="eastAsia"/>
        </w:rPr>
        <w:t>投标文件编制</w:t>
      </w:r>
      <w:r>
        <w:tab/>
      </w:r>
      <w:r>
        <w:fldChar w:fldCharType="end"/>
      </w:r>
      <w:r>
        <w:rPr>
          <w:rFonts w:hint="eastAsia"/>
        </w:rPr>
        <w:t>10（页码）</w:t>
      </w:r>
    </w:p>
    <w:p w14:paraId="25AEBAAE">
      <w:pPr>
        <w:pStyle w:val="8"/>
      </w:pPr>
    </w:p>
    <w:p w14:paraId="14391EED">
      <w:pPr>
        <w:pStyle w:val="8"/>
      </w:pPr>
      <w:r>
        <w:fldChar w:fldCharType="begin"/>
      </w:r>
      <w:r>
        <w:instrText xml:space="preserve"> HYPERLINK \l "_Toc357155295" </w:instrText>
      </w:r>
      <w:r>
        <w:fldChar w:fldCharType="separate"/>
      </w:r>
      <w:r>
        <w:rPr>
          <w:rStyle w:val="13"/>
          <w:rFonts w:hint="eastAsia"/>
        </w:rPr>
        <w:t>第三章</w:t>
      </w:r>
      <w:r>
        <w:rPr>
          <w:rStyle w:val="13"/>
        </w:rPr>
        <w:t xml:space="preserve">  技术协议书</w:t>
      </w:r>
      <w:r>
        <w:tab/>
      </w:r>
      <w:r>
        <w:fldChar w:fldCharType="end"/>
      </w:r>
      <w:r>
        <w:rPr>
          <w:rFonts w:hint="eastAsia"/>
        </w:rPr>
        <w:t>19（页码）</w:t>
      </w:r>
    </w:p>
    <w:p w14:paraId="0B693243">
      <w:pPr>
        <w:pStyle w:val="8"/>
      </w:pPr>
    </w:p>
    <w:p w14:paraId="19058128">
      <w:pPr>
        <w:pStyle w:val="8"/>
      </w:pPr>
      <w:r>
        <w:fldChar w:fldCharType="begin"/>
      </w:r>
      <w:r>
        <w:instrText xml:space="preserve"> HYPERLINK \l "_Toc357155296" </w:instrText>
      </w:r>
      <w:r>
        <w:fldChar w:fldCharType="separate"/>
      </w:r>
      <w:r>
        <w:rPr>
          <w:rFonts w:hint="eastAsia"/>
        </w:rPr>
        <w:t>第四章</w:t>
      </w:r>
      <w:r>
        <w:t xml:space="preserve">  </w:t>
      </w:r>
      <w:r>
        <w:rPr>
          <w:rFonts w:hint="eastAsia"/>
          <w:lang w:val="en-US" w:eastAsia="zh-CN"/>
        </w:rPr>
        <w:t>E采通操作说明</w:t>
      </w:r>
      <w:r>
        <w:tab/>
      </w:r>
      <w:r>
        <w:fldChar w:fldCharType="end"/>
      </w:r>
      <w:r>
        <w:rPr>
          <w:rFonts w:hint="eastAsia"/>
        </w:rPr>
        <w:t>21（页码）</w:t>
      </w:r>
    </w:p>
    <w:p w14:paraId="50AF1E5C">
      <w:pPr>
        <w:pStyle w:val="5"/>
        <w:spacing w:line="360" w:lineRule="auto"/>
        <w:jc w:val="center"/>
      </w:pPr>
      <w:r>
        <w:fldChar w:fldCharType="end"/>
      </w:r>
    </w:p>
    <w:p w14:paraId="79E01FA7">
      <w:pPr>
        <w:pStyle w:val="5"/>
        <w:spacing w:line="360" w:lineRule="auto"/>
        <w:jc w:val="center"/>
      </w:pPr>
    </w:p>
    <w:p w14:paraId="7DD78214">
      <w:pPr>
        <w:pStyle w:val="5"/>
        <w:spacing w:line="360" w:lineRule="auto"/>
        <w:jc w:val="center"/>
      </w:pPr>
    </w:p>
    <w:p w14:paraId="5D5879DB">
      <w:pPr>
        <w:pStyle w:val="5"/>
        <w:spacing w:line="360" w:lineRule="auto"/>
        <w:jc w:val="center"/>
      </w:pPr>
    </w:p>
    <w:p w14:paraId="30BFA4AE">
      <w:pPr>
        <w:pStyle w:val="5"/>
        <w:spacing w:line="360" w:lineRule="auto"/>
        <w:jc w:val="center"/>
      </w:pPr>
    </w:p>
    <w:p w14:paraId="7438612F">
      <w:pPr>
        <w:pStyle w:val="5"/>
        <w:spacing w:line="360" w:lineRule="auto"/>
        <w:jc w:val="center"/>
      </w:pPr>
    </w:p>
    <w:p w14:paraId="4AEA90B8">
      <w:pPr>
        <w:pStyle w:val="5"/>
        <w:spacing w:line="360" w:lineRule="auto"/>
        <w:jc w:val="center"/>
      </w:pPr>
    </w:p>
    <w:p w14:paraId="6541E219">
      <w:pPr>
        <w:pStyle w:val="5"/>
        <w:spacing w:line="360" w:lineRule="auto"/>
        <w:jc w:val="center"/>
      </w:pPr>
    </w:p>
    <w:p w14:paraId="2B6939E7">
      <w:pPr>
        <w:pStyle w:val="5"/>
        <w:spacing w:line="360" w:lineRule="auto"/>
        <w:jc w:val="center"/>
      </w:pPr>
    </w:p>
    <w:p w14:paraId="3CA9E937">
      <w:pPr>
        <w:pStyle w:val="5"/>
        <w:spacing w:line="360" w:lineRule="auto"/>
        <w:jc w:val="center"/>
      </w:pPr>
    </w:p>
    <w:p w14:paraId="65CD8D70">
      <w:pPr>
        <w:pStyle w:val="5"/>
        <w:spacing w:line="360" w:lineRule="auto"/>
        <w:jc w:val="center"/>
      </w:pPr>
    </w:p>
    <w:p w14:paraId="7B98FAD7">
      <w:pPr>
        <w:pStyle w:val="5"/>
        <w:spacing w:line="360" w:lineRule="auto"/>
        <w:jc w:val="center"/>
      </w:pPr>
    </w:p>
    <w:p w14:paraId="7DF3D381">
      <w:pPr>
        <w:pStyle w:val="5"/>
        <w:spacing w:line="360" w:lineRule="auto"/>
        <w:jc w:val="center"/>
      </w:pPr>
    </w:p>
    <w:p w14:paraId="0726CFE0">
      <w:pPr>
        <w:pStyle w:val="5"/>
        <w:spacing w:line="360" w:lineRule="auto"/>
        <w:jc w:val="center"/>
      </w:pPr>
    </w:p>
    <w:p w14:paraId="454A9074">
      <w:pPr>
        <w:pStyle w:val="5"/>
        <w:spacing w:line="360" w:lineRule="auto"/>
        <w:jc w:val="center"/>
      </w:pPr>
    </w:p>
    <w:p w14:paraId="741F8CC2">
      <w:pPr>
        <w:pStyle w:val="5"/>
        <w:spacing w:line="360" w:lineRule="auto"/>
        <w:jc w:val="center"/>
        <w:rPr>
          <w:rFonts w:ascii="黑体" w:eastAsia="黑体"/>
          <w:b/>
          <w:bCs/>
          <w:sz w:val="36"/>
          <w:szCs w:val="36"/>
        </w:rPr>
      </w:pPr>
      <w:r>
        <w:rPr>
          <w:rFonts w:hint="eastAsia" w:ascii="黑体" w:eastAsia="黑体"/>
          <w:b/>
          <w:bCs/>
          <w:sz w:val="36"/>
          <w:szCs w:val="36"/>
        </w:rPr>
        <w:t>第一章  招标公告</w:t>
      </w:r>
    </w:p>
    <w:p w14:paraId="2D1FA310">
      <w:pPr>
        <w:pStyle w:val="5"/>
        <w:spacing w:line="360" w:lineRule="auto"/>
        <w:rPr>
          <w:rFonts w:ascii="黑体" w:eastAsia="黑体"/>
          <w:b/>
          <w:bCs/>
          <w:sz w:val="28"/>
        </w:rPr>
      </w:pPr>
      <w:r>
        <w:rPr>
          <w:rFonts w:hint="eastAsia" w:ascii="黑体" w:eastAsia="黑体"/>
          <w:b/>
          <w:bCs/>
          <w:sz w:val="28"/>
        </w:rPr>
        <w:t>一、项目名称</w:t>
      </w:r>
    </w:p>
    <w:p w14:paraId="0CE4568E">
      <w:pPr>
        <w:pStyle w:val="5"/>
        <w:spacing w:line="360" w:lineRule="auto"/>
        <w:ind w:left="420"/>
      </w:pPr>
      <w:r>
        <w:rPr>
          <w:rFonts w:hint="eastAsia"/>
        </w:rPr>
        <w:t>项目名称：</w:t>
      </w:r>
      <w:bookmarkStart w:id="0" w:name="OLE_LINK1"/>
      <w:r>
        <w:rPr>
          <w:rFonts w:hint="eastAsia"/>
          <w:lang w:val="en-US" w:eastAsia="zh-CN"/>
        </w:rPr>
        <w:t>2026年中国重汽集团能源管道设施年度维修项目</w:t>
      </w:r>
      <w:r>
        <w:rPr>
          <w:rFonts w:hint="eastAsia"/>
        </w:rPr>
        <w:t>。</w:t>
      </w:r>
    </w:p>
    <w:bookmarkEnd w:id="0"/>
    <w:p w14:paraId="7C4CEDC1">
      <w:pPr>
        <w:pStyle w:val="5"/>
        <w:spacing w:line="360" w:lineRule="auto"/>
        <w:rPr>
          <w:rFonts w:ascii="黑体" w:eastAsia="黑体"/>
          <w:b/>
          <w:bCs/>
          <w:sz w:val="28"/>
        </w:rPr>
      </w:pPr>
      <w:r>
        <w:rPr>
          <w:rFonts w:hint="eastAsia" w:ascii="黑体" w:eastAsia="黑体"/>
          <w:b/>
          <w:bCs/>
          <w:sz w:val="28"/>
        </w:rPr>
        <w:t>二、招标内容</w:t>
      </w:r>
    </w:p>
    <w:p w14:paraId="79727B7C">
      <w:pPr>
        <w:pStyle w:val="5"/>
        <w:spacing w:line="360" w:lineRule="auto"/>
        <w:ind w:firstLine="420" w:firstLineChars="200"/>
      </w:pPr>
      <w:r>
        <w:rPr>
          <w:rFonts w:hint="eastAsia"/>
        </w:rPr>
        <w:t>招标内容：</w:t>
      </w:r>
      <w:r>
        <w:rPr>
          <w:rFonts w:hint="eastAsia"/>
          <w:lang w:eastAsia="zh-CN"/>
        </w:rPr>
        <w:t>能源管道设施年度维修</w:t>
      </w:r>
      <w:r>
        <w:rPr>
          <w:rFonts w:hint="eastAsia"/>
        </w:rPr>
        <w:t xml:space="preserve">。                                                                                                                                                                                                                                                                                                                                                                                                                                                                                                                                                                                                                                        </w:t>
      </w:r>
    </w:p>
    <w:p w14:paraId="7DED98F1">
      <w:pPr>
        <w:pStyle w:val="5"/>
        <w:spacing w:line="360" w:lineRule="auto"/>
        <w:rPr>
          <w:rFonts w:ascii="黑体" w:eastAsia="黑体"/>
          <w:b/>
          <w:bCs/>
          <w:sz w:val="28"/>
        </w:rPr>
      </w:pPr>
      <w:r>
        <w:rPr>
          <w:rFonts w:hint="eastAsia" w:ascii="黑体" w:eastAsia="黑体"/>
          <w:b/>
          <w:bCs/>
          <w:sz w:val="28"/>
        </w:rPr>
        <w:t>三、招标形式</w:t>
      </w:r>
    </w:p>
    <w:p w14:paraId="148FFC1A">
      <w:pPr>
        <w:pStyle w:val="5"/>
        <w:spacing w:line="360" w:lineRule="auto"/>
        <w:ind w:firstLine="420" w:firstLineChars="200"/>
      </w:pPr>
      <w:r>
        <w:rPr>
          <w:rFonts w:hint="eastAsia"/>
        </w:rPr>
        <w:t>招标形式：公开招标。</w:t>
      </w:r>
    </w:p>
    <w:p w14:paraId="7BDB97B7">
      <w:pPr>
        <w:pStyle w:val="5"/>
        <w:spacing w:line="360" w:lineRule="auto"/>
        <w:rPr>
          <w:rFonts w:ascii="黑体" w:eastAsia="黑体"/>
          <w:b/>
          <w:bCs/>
          <w:sz w:val="28"/>
        </w:rPr>
      </w:pPr>
      <w:r>
        <w:rPr>
          <w:rFonts w:hint="eastAsia" w:ascii="黑体" w:eastAsia="黑体"/>
          <w:b/>
          <w:bCs/>
          <w:sz w:val="28"/>
        </w:rPr>
        <w:t>四、议程安排</w:t>
      </w:r>
    </w:p>
    <w:p w14:paraId="3FCF3E85">
      <w:pPr>
        <w:pStyle w:val="5"/>
        <w:spacing w:line="360" w:lineRule="auto"/>
        <w:ind w:left="840" w:leftChars="200" w:hanging="420" w:hangingChars="200"/>
      </w:pPr>
      <w:r>
        <w:rPr>
          <w:rFonts w:hint="eastAsia"/>
        </w:rPr>
        <w:t>1.公告时间：202</w:t>
      </w:r>
      <w:r>
        <w:rPr>
          <w:rFonts w:hint="eastAsia"/>
          <w:lang w:val="en-US" w:eastAsia="zh-CN"/>
        </w:rPr>
        <w:t>6</w:t>
      </w:r>
      <w:r>
        <w:rPr>
          <w:rFonts w:hint="eastAsia"/>
        </w:rPr>
        <w:t>年</w:t>
      </w:r>
      <w:r>
        <w:rPr>
          <w:rFonts w:hint="eastAsia"/>
          <w:lang w:val="en-US" w:eastAsia="zh-CN"/>
        </w:rPr>
        <w:t>12</w:t>
      </w:r>
      <w:r>
        <w:rPr>
          <w:rFonts w:hint="eastAsia"/>
        </w:rPr>
        <w:t>月</w:t>
      </w:r>
      <w:r>
        <w:rPr>
          <w:rFonts w:hint="eastAsia"/>
          <w:lang w:val="en-US" w:eastAsia="zh-CN"/>
        </w:rPr>
        <w:t>10</w:t>
      </w:r>
      <w:r>
        <w:rPr>
          <w:rFonts w:hint="eastAsia"/>
        </w:rPr>
        <w:t>日。</w:t>
      </w:r>
    </w:p>
    <w:p w14:paraId="6830E414">
      <w:pPr>
        <w:pStyle w:val="5"/>
        <w:spacing w:line="360" w:lineRule="auto"/>
        <w:ind w:left="840" w:leftChars="200" w:hanging="420" w:hangingChars="200"/>
        <w:rPr>
          <w:rFonts w:hint="eastAsia"/>
        </w:rPr>
      </w:pPr>
      <w:r>
        <w:rPr>
          <w:rFonts w:hint="eastAsia"/>
        </w:rPr>
        <w:t>2.报名及投标招标</w:t>
      </w:r>
      <w:r>
        <w:rPr>
          <w:rFonts w:hint="eastAsia"/>
          <w:lang w:val="en-US" w:eastAsia="zh-CN"/>
        </w:rPr>
        <w:t>商务</w:t>
      </w:r>
      <w:r>
        <w:rPr>
          <w:rFonts w:hint="eastAsia"/>
        </w:rPr>
        <w:t>事宜联系人：</w:t>
      </w:r>
      <w:r>
        <w:rPr>
          <w:rFonts w:hint="eastAsia"/>
          <w:lang w:val="en-US" w:eastAsia="zh-CN"/>
        </w:rPr>
        <w:t>李健</w:t>
      </w:r>
      <w:r>
        <w:rPr>
          <w:rFonts w:hint="eastAsia"/>
        </w:rPr>
        <w:t>；</w:t>
      </w:r>
    </w:p>
    <w:p w14:paraId="3A2DB101">
      <w:pPr>
        <w:pStyle w:val="5"/>
        <w:spacing w:line="360" w:lineRule="auto"/>
        <w:ind w:left="840" w:leftChars="200" w:hanging="420" w:hangingChars="200"/>
      </w:pPr>
      <w:r>
        <w:rPr>
          <w:rFonts w:hint="eastAsia"/>
        </w:rPr>
        <w:t>答疑方式：书面（或电话）答疑；联系电话：</w:t>
      </w:r>
      <w:r>
        <w:rPr>
          <w:rFonts w:hint="eastAsia"/>
          <w:lang w:val="en-US" w:eastAsia="zh-CN"/>
        </w:rPr>
        <w:t>18663777951</w:t>
      </w:r>
      <w:r>
        <w:t xml:space="preserve"> </w:t>
      </w:r>
      <w:r>
        <w:rPr>
          <w:rFonts w:hint="eastAsia"/>
        </w:rPr>
        <w:t>。</w:t>
      </w:r>
    </w:p>
    <w:p w14:paraId="63502099">
      <w:pPr>
        <w:pStyle w:val="5"/>
        <w:spacing w:line="360" w:lineRule="auto"/>
        <w:ind w:left="840" w:leftChars="200" w:hanging="420" w:hangingChars="200"/>
      </w:pPr>
      <w:r>
        <w:rPr>
          <w:rFonts w:hint="eastAsia"/>
        </w:rPr>
        <w:t>3.开标时间：202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22</w:t>
      </w:r>
      <w:r>
        <w:rPr>
          <w:rFonts w:hint="eastAsia"/>
        </w:rPr>
        <w:t>日上午9:</w:t>
      </w:r>
      <w:r>
        <w:rPr>
          <w:rFonts w:hint="eastAsia"/>
          <w:lang w:val="en-US" w:eastAsia="zh-CN"/>
        </w:rPr>
        <w:t>0</w:t>
      </w:r>
      <w:r>
        <w:rPr>
          <w:rFonts w:hint="eastAsia"/>
        </w:rPr>
        <w:t>0 时（若有变动另行通知）。</w:t>
      </w:r>
    </w:p>
    <w:p w14:paraId="4D61DE9F">
      <w:pPr>
        <w:pStyle w:val="5"/>
        <w:spacing w:line="360" w:lineRule="auto"/>
        <w:ind w:left="840" w:leftChars="200" w:hanging="420" w:hangingChars="200"/>
        <w:rPr>
          <w:rFonts w:hint="default" w:eastAsia="宋体"/>
          <w:lang w:val="en-US" w:eastAsia="zh-CN"/>
        </w:rPr>
      </w:pPr>
      <w:r>
        <w:rPr>
          <w:rFonts w:hint="eastAsia"/>
        </w:rPr>
        <w:t>4.开标地点</w:t>
      </w:r>
      <w:r>
        <w:rPr>
          <w:rFonts w:hint="eastAsia"/>
          <w:lang w:eastAsia="zh-CN"/>
        </w:rPr>
        <w:t>：</w:t>
      </w:r>
      <w:r>
        <w:rPr>
          <w:rFonts w:hint="eastAsia"/>
          <w:lang w:val="en-US" w:eastAsia="zh-CN"/>
        </w:rPr>
        <w:t>线上会议</w:t>
      </w:r>
    </w:p>
    <w:p w14:paraId="681D61EF">
      <w:pPr>
        <w:pStyle w:val="5"/>
        <w:spacing w:line="360" w:lineRule="auto"/>
        <w:rPr>
          <w:rFonts w:ascii="黑体" w:eastAsia="黑体"/>
          <w:b/>
          <w:bCs/>
          <w:sz w:val="28"/>
        </w:rPr>
      </w:pPr>
      <w:r>
        <w:rPr>
          <w:rFonts w:hint="eastAsia" w:ascii="黑体" w:eastAsia="黑体"/>
          <w:b/>
          <w:bCs/>
          <w:sz w:val="28"/>
        </w:rPr>
        <w:t>五、报名方式</w:t>
      </w:r>
    </w:p>
    <w:p w14:paraId="09A8135A">
      <w:pPr>
        <w:pStyle w:val="5"/>
        <w:spacing w:line="360" w:lineRule="auto"/>
        <w:ind w:firstLine="405"/>
      </w:pPr>
      <w:r>
        <w:rPr>
          <w:rFonts w:hint="eastAsia"/>
        </w:rPr>
        <w:t>1.时间：202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日1</w:t>
      </w:r>
      <w:r>
        <w:t>7</w:t>
      </w:r>
      <w:r>
        <w:rPr>
          <w:rFonts w:hint="eastAsia"/>
        </w:rPr>
        <w:t>点前。</w:t>
      </w:r>
    </w:p>
    <w:p w14:paraId="5E6C0B1E">
      <w:pPr>
        <w:pStyle w:val="5"/>
        <w:spacing w:line="360" w:lineRule="auto"/>
        <w:ind w:left="0" w:leftChars="0" w:firstLine="420" w:firstLineChars="200"/>
        <w:rPr>
          <w:rFonts w:hint="eastAsia"/>
        </w:rPr>
      </w:pPr>
      <w:r>
        <w:rPr>
          <w:rFonts w:hint="eastAsia"/>
        </w:rPr>
        <w:t>2.方式：投标人首先对投标报名单位进行资格审，对于资质审核通过的供方，获得该本项目招标书电子版，以电子邮件等形式发送至投标方邮箱，招标人不对投标人能否通过电子邮箱正确或及时接收相关邮件负责，招标人邮件发出即视为送达。对于应标的单位，需缴纳投标保证金证明，并在https://ecaitong.sinotruk.com:8012/#/login注册账户。</w:t>
      </w:r>
    </w:p>
    <w:p w14:paraId="3D55B252">
      <w:pPr>
        <w:pStyle w:val="5"/>
        <w:spacing w:line="360" w:lineRule="auto"/>
        <w:ind w:left="0" w:leftChars="0" w:firstLine="420" w:firstLineChars="200"/>
        <w:rPr>
          <w:rFonts w:hint="eastAsia"/>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14:paraId="19970CBC">
      <w:pPr>
        <w:pStyle w:val="5"/>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生产制造部”，类别选择“设备维保”。注册并审核通过后方能参与本项目投标，审核通过后请电话告知招标方联系人。</w:t>
      </w:r>
    </w:p>
    <w:p w14:paraId="07EF5911">
      <w:pPr>
        <w:pStyle w:val="5"/>
        <w:spacing w:line="360" w:lineRule="auto"/>
        <w:ind w:firstLine="405"/>
        <w:rPr>
          <w:rStyle w:val="13"/>
          <w:rFonts w:hint="eastAsia"/>
          <w:color w:val="auto"/>
          <w:lang w:val="en-US" w:eastAsia="zh-CN"/>
        </w:rPr>
      </w:pPr>
      <w:r>
        <w:rPr>
          <w:rStyle w:val="13"/>
          <w:rFonts w:hint="eastAsia"/>
          <w:color w:val="auto"/>
          <w:lang w:val="en-US" w:eastAsia="zh-CN"/>
        </w:rPr>
        <w:t>供应商需在阳光采购服务平台（http://www.ygcgfw.com/）进行注册，注册后搜索该项目并进行报名。</w:t>
      </w:r>
    </w:p>
    <w:p w14:paraId="02F64562">
      <w:pPr>
        <w:pStyle w:val="2"/>
        <w:ind w:firstLine="602" w:firstLineChars="300"/>
        <w:rPr>
          <w:rFonts w:hint="default"/>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r>
        <w:rPr>
          <w:rFonts w:hint="eastAsia"/>
          <w:b/>
          <w:bCs/>
          <w:lang w:val="en-US" w:eastAsia="zh-CN"/>
        </w:rPr>
        <w:t>”</w:t>
      </w:r>
    </w:p>
    <w:p w14:paraId="47A6BCBA">
      <w:pPr>
        <w:pStyle w:val="5"/>
        <w:spacing w:line="360" w:lineRule="auto"/>
        <w:ind w:firstLine="405"/>
        <w:rPr>
          <w:rStyle w:val="13"/>
          <w:rFonts w:hint="eastAsia"/>
          <w:color w:val="auto"/>
          <w:lang w:val="en-US" w:eastAsia="zh-CN"/>
        </w:rPr>
      </w:pPr>
    </w:p>
    <w:p w14:paraId="3019B132">
      <w:pPr>
        <w:pStyle w:val="5"/>
        <w:spacing w:line="360" w:lineRule="auto"/>
        <w:rPr>
          <w:rFonts w:ascii="黑体" w:eastAsia="黑体"/>
          <w:b/>
          <w:bCs/>
          <w:sz w:val="28"/>
        </w:rPr>
      </w:pPr>
      <w:r>
        <w:rPr>
          <w:rFonts w:hint="eastAsia" w:ascii="黑体" w:eastAsia="黑体"/>
          <w:b/>
          <w:bCs/>
          <w:sz w:val="28"/>
        </w:rPr>
        <w:t>六、投标须知</w:t>
      </w:r>
    </w:p>
    <w:p w14:paraId="6F91B8CC">
      <w:pPr>
        <w:pStyle w:val="5"/>
        <w:spacing w:line="360" w:lineRule="auto"/>
        <w:ind w:firstLine="422" w:firstLineChars="200"/>
        <w:rPr>
          <w:b/>
        </w:rPr>
      </w:pPr>
      <w:r>
        <w:rPr>
          <w:rFonts w:hint="eastAsia"/>
          <w:b/>
        </w:rPr>
        <w:t>1.合格投标人：</w:t>
      </w:r>
    </w:p>
    <w:p w14:paraId="66B02ACD">
      <w:pPr>
        <w:pStyle w:val="5"/>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5"/>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w:t>
      </w:r>
      <w:r>
        <w:rPr>
          <w:rFonts w:hint="eastAsia"/>
          <w:b/>
          <w:bCs/>
          <w:color w:val="000000" w:themeColor="text1"/>
          <w14:textFill>
            <w14:solidFill>
              <w14:schemeClr w14:val="tx1"/>
            </w14:solidFill>
          </w14:textFill>
        </w:rPr>
        <w:t>于</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00</w:t>
      </w:r>
      <w:r>
        <w:rPr>
          <w:rFonts w:hint="eastAsia"/>
          <w:b/>
          <w:bCs/>
          <w:color w:val="000000" w:themeColor="text1"/>
          <w14:textFill>
            <w14:solidFill>
              <w14:schemeClr w14:val="tx1"/>
            </w14:solidFill>
          </w14:textFill>
        </w:rPr>
        <w:t>万</w:t>
      </w:r>
      <w:r>
        <w:rPr>
          <w:rFonts w:hint="eastAsia"/>
          <w:b/>
          <w:bCs/>
        </w:rPr>
        <w:t>元</w:t>
      </w:r>
      <w:r>
        <w:rPr>
          <w:rFonts w:hint="eastAsia" w:hAnsi="宋体"/>
          <w:b/>
          <w:bCs/>
          <w:sz w:val="24"/>
        </w:rPr>
        <w:t>；</w:t>
      </w:r>
      <w:r>
        <w:rPr>
          <w:rFonts w:hint="eastAsia"/>
          <w:b/>
          <w:bCs/>
        </w:rPr>
        <w:t>经营范围满足招标项目需求；</w:t>
      </w:r>
    </w:p>
    <w:p w14:paraId="32AAF298">
      <w:pPr>
        <w:pStyle w:val="5"/>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⑶投标人须提供具有统一社会信用代码的新版营业执照副本原件及（或）复印件（加盖公章）；</w:t>
      </w:r>
    </w:p>
    <w:p w14:paraId="50059D01">
      <w:pPr>
        <w:pStyle w:val="5"/>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14:paraId="79D405ED">
      <w:pPr>
        <w:pStyle w:val="5"/>
        <w:spacing w:line="360" w:lineRule="auto"/>
        <w:ind w:firstLine="420" w:firstLineChars="200"/>
      </w:pPr>
      <w:r>
        <w:rPr>
          <w:rFonts w:hint="eastAsia" w:hAnsi="宋体"/>
        </w:rPr>
        <w:t>⑸</w:t>
      </w:r>
      <w:r>
        <w:rPr>
          <w:rFonts w:hint="eastAsia"/>
        </w:rPr>
        <w:t>投标人在近三年内在经营活动中无违法记录；</w:t>
      </w:r>
    </w:p>
    <w:p w14:paraId="0FDFE73E">
      <w:pPr>
        <w:pStyle w:val="5"/>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5"/>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spacing w:line="360" w:lineRule="auto"/>
        <w:ind w:firstLine="282" w:firstLineChars="134"/>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5"/>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419A4081">
      <w:pPr>
        <w:pStyle w:val="5"/>
        <w:spacing w:line="360" w:lineRule="auto"/>
        <w:ind w:firstLine="420" w:firstLineChars="200"/>
      </w:pPr>
      <w:r>
        <w:rPr>
          <w:rFonts w:hint="eastAsia" w:hAnsi="宋体"/>
        </w:rPr>
        <w:t>⑾</w:t>
      </w:r>
      <w:r>
        <w:rPr>
          <w:rFonts w:hint="eastAsia"/>
        </w:rPr>
        <w:t>投标人须具有完全履行招标文件的所有要求的能力；</w:t>
      </w:r>
    </w:p>
    <w:p w14:paraId="4A7EAD95">
      <w:pPr>
        <w:pStyle w:val="5"/>
        <w:spacing w:line="360" w:lineRule="auto"/>
        <w:ind w:firstLine="420" w:firstLineChars="200"/>
      </w:pPr>
      <w:r>
        <w:rPr>
          <w:rFonts w:hint="eastAsia" w:hAnsi="宋体"/>
        </w:rPr>
        <w:t>⑿</w:t>
      </w:r>
      <w:r>
        <w:rPr>
          <w:rFonts w:hint="eastAsia"/>
        </w:rPr>
        <w:t>投标人须负责提供合理的便于运输的包装物，并承担相关费用；</w:t>
      </w:r>
    </w:p>
    <w:p w14:paraId="3D466A79">
      <w:pPr>
        <w:pStyle w:val="5"/>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0B2D05D">
      <w:pPr>
        <w:pStyle w:val="5"/>
        <w:spacing w:line="360" w:lineRule="auto"/>
        <w:ind w:firstLine="420" w:firstLineChars="200"/>
      </w:pPr>
      <w:r>
        <w:rPr>
          <w:rFonts w:hint="eastAsia" w:hAnsi="宋体"/>
        </w:rPr>
        <w:t>⒁</w:t>
      </w:r>
      <w:r>
        <w:rPr>
          <w:rFonts w:hint="eastAsia"/>
        </w:rPr>
        <w:t>投标人须认可招标人终止合同后3个月退还履约保证金的招标要求；</w:t>
      </w:r>
    </w:p>
    <w:p w14:paraId="6430F9F0">
      <w:pPr>
        <w:pStyle w:val="5"/>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5"/>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spacing w:line="360" w:lineRule="auto"/>
        <w:ind w:firstLine="422" w:firstLineChars="200"/>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20C7DB51">
      <w:pPr>
        <w:spacing w:line="360" w:lineRule="auto"/>
        <w:ind w:firstLine="420" w:firstLineChars="200"/>
        <w:rPr>
          <w:rFonts w:hint="eastAsia" w:hAnsi="宋体"/>
          <w:b w:val="0"/>
          <w:bCs w:val="0"/>
          <w:highlight w:val="none"/>
        </w:rPr>
      </w:pPr>
      <w:r>
        <w:rPr>
          <w:rFonts w:hint="eastAsia" w:hAnsi="宋体"/>
          <w:b w:val="0"/>
          <w:bCs w:val="0"/>
          <w:lang w:eastAsia="zh-CN"/>
        </w:rPr>
        <w:t>⒅</w:t>
      </w:r>
      <w:r>
        <w:rPr>
          <w:rFonts w:hint="eastAsia" w:hAnsi="宋体"/>
          <w:b w:val="0"/>
          <w:bCs w:val="0"/>
          <w:highlight w:val="none"/>
        </w:rPr>
        <w:t>如为代理商投标，需获得生产厂家正式授权原件并具备售后服务承诺原件。</w:t>
      </w:r>
    </w:p>
    <w:p w14:paraId="41122561">
      <w:pPr>
        <w:pStyle w:val="5"/>
        <w:spacing w:line="360" w:lineRule="auto"/>
        <w:ind w:firstLine="420" w:firstLineChars="200"/>
        <w:rPr>
          <w:rFonts w:hint="eastAsia" w:hAnsi="宋体"/>
        </w:rPr>
      </w:pPr>
      <w:r>
        <w:rPr>
          <w:rFonts w:hint="eastAsia" w:ascii="Times New Roman" w:hAnsi="宋体" w:eastAsia="宋体" w:cs="Times New Roman"/>
          <w:b w:val="0"/>
          <w:bCs w:val="0"/>
          <w:kern w:val="2"/>
          <w:sz w:val="21"/>
          <w:szCs w:val="20"/>
          <w:lang w:val="en-US" w:eastAsia="zh-CN" w:bidi="ar-SA"/>
        </w:rPr>
        <w:t>⒆</w:t>
      </w:r>
      <w:r>
        <w:rPr>
          <w:rFonts w:hint="eastAsia" w:hAnsi="宋体"/>
        </w:rPr>
        <w:t>供方的直接或间接股东、法定代表人、董事、监事、高管非重汽员工及其亲属。</w:t>
      </w:r>
    </w:p>
    <w:p w14:paraId="0B541695">
      <w:pPr>
        <w:pStyle w:val="5"/>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5075C636">
      <w:pPr>
        <w:pStyle w:val="5"/>
        <w:spacing w:line="360" w:lineRule="auto"/>
        <w:ind w:firstLine="422" w:firstLineChars="200"/>
        <w:rPr>
          <w:b/>
        </w:rPr>
      </w:pPr>
      <w:r>
        <w:rPr>
          <w:rFonts w:hint="eastAsia"/>
          <w:b/>
        </w:rPr>
        <w:t>2.投标文件格式组成</w:t>
      </w:r>
    </w:p>
    <w:p w14:paraId="5B35B682">
      <w:pPr>
        <w:pStyle w:val="5"/>
        <w:spacing w:line="360" w:lineRule="auto"/>
        <w:ind w:firstLine="422" w:firstLineChars="200"/>
        <w:rPr>
          <w:b/>
        </w:rPr>
      </w:pPr>
      <w:r>
        <w:rPr>
          <w:rFonts w:hint="eastAsia"/>
          <w:b/>
        </w:rPr>
        <w:t>2.1资质文件（独立封装在一个档案袋，一式两份，一正一副）：</w:t>
      </w:r>
    </w:p>
    <w:p w14:paraId="6F6400DE">
      <w:pPr>
        <w:pStyle w:val="5"/>
        <w:spacing w:line="360" w:lineRule="auto"/>
        <w:ind w:firstLine="422" w:firstLineChars="200"/>
        <w:rPr>
          <w:b/>
        </w:rPr>
      </w:pPr>
      <w:r>
        <w:rPr>
          <w:rFonts w:hint="eastAsia"/>
          <w:b/>
        </w:rPr>
        <w:t>2.1.1</w:t>
      </w:r>
      <w:r>
        <w:rPr>
          <w:rFonts w:hint="eastAsia"/>
          <w:b/>
        </w:rPr>
        <w:tab/>
      </w:r>
      <w:r>
        <w:rPr>
          <w:rFonts w:hint="eastAsia"/>
          <w:b/>
        </w:rPr>
        <w:t>法定代表人身份证明；</w:t>
      </w:r>
    </w:p>
    <w:p w14:paraId="66AE882A">
      <w:pPr>
        <w:pStyle w:val="5"/>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544010A">
      <w:pPr>
        <w:pStyle w:val="5"/>
        <w:spacing w:line="360" w:lineRule="auto"/>
        <w:ind w:firstLine="422" w:firstLineChars="200"/>
        <w:rPr>
          <w:b/>
        </w:rPr>
      </w:pPr>
      <w:r>
        <w:rPr>
          <w:rFonts w:hint="eastAsia"/>
          <w:b/>
        </w:rPr>
        <w:t>2.1.3</w:t>
      </w:r>
      <w:r>
        <w:rPr>
          <w:rFonts w:hint="eastAsia"/>
          <w:b/>
        </w:rPr>
        <w:tab/>
      </w:r>
      <w:r>
        <w:rPr>
          <w:rFonts w:hint="eastAsia"/>
          <w:b/>
        </w:rPr>
        <w:t>营业执照副本复印件；</w:t>
      </w:r>
    </w:p>
    <w:p w14:paraId="1F92A118">
      <w:pPr>
        <w:pStyle w:val="5"/>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62378549">
      <w:pPr>
        <w:pStyle w:val="5"/>
        <w:spacing w:line="360" w:lineRule="auto"/>
        <w:ind w:firstLine="422" w:firstLineChars="200"/>
        <w:rPr>
          <w:rFonts w:hint="eastAsia"/>
          <w:b/>
        </w:rPr>
      </w:pPr>
      <w:r>
        <w:rPr>
          <w:rFonts w:hint="eastAsia"/>
          <w:b/>
        </w:rPr>
        <w:t>2.1.</w:t>
      </w:r>
      <w:r>
        <w:rPr>
          <w:b/>
        </w:rPr>
        <w:t>5</w:t>
      </w:r>
      <w:r>
        <w:rPr>
          <w:rFonts w:hint="eastAsia"/>
          <w:b/>
        </w:rPr>
        <w:tab/>
      </w:r>
      <w:r>
        <w:rPr>
          <w:rFonts w:hint="eastAsia"/>
          <w:b/>
        </w:rPr>
        <w:t>近三年的公司财务报表；</w:t>
      </w:r>
    </w:p>
    <w:p w14:paraId="48A732E1">
      <w:pPr>
        <w:pStyle w:val="5"/>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5"/>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14:paraId="6C58EA94">
      <w:pPr>
        <w:pStyle w:val="5"/>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14:paraId="445F5B21">
      <w:pPr>
        <w:pStyle w:val="5"/>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14:paraId="0E8D9748">
      <w:pPr>
        <w:pStyle w:val="5"/>
        <w:spacing w:line="360" w:lineRule="auto"/>
        <w:ind w:firstLine="422" w:firstLineChars="200"/>
        <w:rPr>
          <w:b/>
        </w:rPr>
      </w:pPr>
      <w:r>
        <w:rPr>
          <w:rFonts w:hint="eastAsia"/>
          <w:b/>
        </w:rPr>
        <w:t>2.2 技术标（独立封装在一个档案袋，一式五份，其中正本一份，副本四份）：</w:t>
      </w:r>
    </w:p>
    <w:p w14:paraId="65A0782D">
      <w:pPr>
        <w:pStyle w:val="5"/>
        <w:spacing w:line="360" w:lineRule="auto"/>
        <w:ind w:firstLine="422" w:firstLineChars="200"/>
        <w:rPr>
          <w:b/>
        </w:rPr>
      </w:pPr>
      <w:r>
        <w:rPr>
          <w:rFonts w:hint="eastAsia"/>
          <w:b/>
        </w:rPr>
        <w:t>2.2.1</w:t>
      </w:r>
      <w:r>
        <w:rPr>
          <w:rFonts w:hint="eastAsia"/>
          <w:b/>
        </w:rPr>
        <w:tab/>
      </w:r>
      <w:r>
        <w:rPr>
          <w:rFonts w:hint="eastAsia"/>
          <w:b/>
        </w:rPr>
        <w:t>技术规格偏离表；</w:t>
      </w:r>
    </w:p>
    <w:p w14:paraId="16AE7B13">
      <w:pPr>
        <w:pStyle w:val="5"/>
        <w:spacing w:line="360" w:lineRule="auto"/>
        <w:ind w:firstLine="422" w:firstLineChars="200"/>
        <w:rPr>
          <w:b/>
        </w:rPr>
      </w:pPr>
      <w:r>
        <w:rPr>
          <w:rFonts w:hint="eastAsia"/>
          <w:b/>
        </w:rPr>
        <w:t>2.2.2</w:t>
      </w:r>
      <w:r>
        <w:rPr>
          <w:rFonts w:hint="eastAsia"/>
          <w:b/>
        </w:rPr>
        <w:tab/>
      </w:r>
      <w:r>
        <w:rPr>
          <w:rFonts w:hint="eastAsia"/>
          <w:b/>
        </w:rPr>
        <w:t>维修方案；</w:t>
      </w:r>
    </w:p>
    <w:p w14:paraId="306FAF6D">
      <w:pPr>
        <w:pStyle w:val="5"/>
        <w:spacing w:line="360" w:lineRule="auto"/>
        <w:ind w:firstLine="422" w:firstLineChars="200"/>
        <w:rPr>
          <w:b/>
        </w:rPr>
      </w:pPr>
      <w:r>
        <w:rPr>
          <w:rFonts w:hint="eastAsia"/>
          <w:b/>
        </w:rPr>
        <w:t>2.2.3</w:t>
      </w:r>
      <w:r>
        <w:rPr>
          <w:rFonts w:hint="eastAsia"/>
          <w:b/>
        </w:rPr>
        <w:tab/>
      </w:r>
      <w:r>
        <w:rPr>
          <w:rFonts w:hint="eastAsia"/>
          <w:b/>
        </w:rPr>
        <w:t>维修用的货物清单及组成说明、设备型号（规格）、品牌、产地、数量；</w:t>
      </w:r>
    </w:p>
    <w:p w14:paraId="62A97FB1">
      <w:pPr>
        <w:pStyle w:val="5"/>
        <w:spacing w:line="360" w:lineRule="auto"/>
        <w:ind w:firstLine="422" w:firstLineChars="200"/>
        <w:rPr>
          <w:b/>
        </w:rPr>
      </w:pPr>
      <w:r>
        <w:rPr>
          <w:rFonts w:hint="eastAsia"/>
          <w:b/>
        </w:rPr>
        <w:t>2.2.4   详细的交货能力；</w:t>
      </w:r>
    </w:p>
    <w:p w14:paraId="5C76315D">
      <w:pPr>
        <w:pStyle w:val="5"/>
        <w:spacing w:line="360" w:lineRule="auto"/>
        <w:ind w:firstLine="422" w:firstLineChars="200"/>
        <w:rPr>
          <w:b/>
        </w:rPr>
      </w:pPr>
      <w:r>
        <w:rPr>
          <w:rFonts w:hint="eastAsia"/>
          <w:b/>
        </w:rPr>
        <w:t>2.2.5  专用工具及备件清单（如果有）；</w:t>
      </w:r>
    </w:p>
    <w:p w14:paraId="6FE68ED7">
      <w:pPr>
        <w:pStyle w:val="5"/>
        <w:spacing w:line="360" w:lineRule="auto"/>
        <w:ind w:firstLine="422" w:firstLineChars="200"/>
        <w:rPr>
          <w:b/>
        </w:rPr>
      </w:pPr>
      <w:r>
        <w:rPr>
          <w:rFonts w:hint="eastAsia"/>
          <w:b/>
        </w:rPr>
        <w:t>2.2.6  设备安装、验收计划、现场服务（如果有）；</w:t>
      </w:r>
    </w:p>
    <w:p w14:paraId="341D5D4E">
      <w:pPr>
        <w:pStyle w:val="5"/>
        <w:spacing w:line="360" w:lineRule="auto"/>
        <w:ind w:firstLine="422" w:firstLineChars="200"/>
        <w:rPr>
          <w:b/>
        </w:rPr>
      </w:pPr>
      <w:r>
        <w:rPr>
          <w:rFonts w:hint="eastAsia"/>
          <w:b/>
        </w:rPr>
        <w:t>2.2.7  产品质量保修和售后服务内容及措施；</w:t>
      </w:r>
    </w:p>
    <w:p w14:paraId="5538FD95">
      <w:pPr>
        <w:pStyle w:val="5"/>
        <w:spacing w:line="360" w:lineRule="auto"/>
        <w:ind w:firstLine="422" w:firstLineChars="200"/>
        <w:rPr>
          <w:b/>
        </w:rPr>
      </w:pPr>
      <w:r>
        <w:rPr>
          <w:rFonts w:hint="eastAsia"/>
          <w:b/>
        </w:rPr>
        <w:t>2.2.8  技术服务支持内容及保证措施；</w:t>
      </w:r>
    </w:p>
    <w:p w14:paraId="7222F62F">
      <w:pPr>
        <w:pStyle w:val="5"/>
        <w:spacing w:line="360" w:lineRule="auto"/>
        <w:ind w:firstLine="422" w:firstLineChars="200"/>
        <w:rPr>
          <w:rFonts w:hint="eastAsia"/>
          <w:b/>
        </w:rPr>
      </w:pPr>
      <w:r>
        <w:rPr>
          <w:rFonts w:hint="eastAsia"/>
          <w:b/>
        </w:rPr>
        <w:t>2.2.9  维修案例。</w:t>
      </w:r>
    </w:p>
    <w:p w14:paraId="11CB0276">
      <w:pPr>
        <w:pStyle w:val="5"/>
        <w:spacing w:line="360" w:lineRule="auto"/>
        <w:ind w:firstLine="422" w:firstLineChars="200"/>
        <w:rPr>
          <w:rFonts w:hint="default" w:eastAsia="宋体"/>
          <w:b/>
          <w:lang w:val="en-US" w:eastAsia="zh-CN"/>
        </w:rPr>
      </w:pPr>
      <w:r>
        <w:rPr>
          <w:rFonts w:hint="eastAsia"/>
          <w:b/>
          <w:lang w:val="en-US" w:eastAsia="zh-CN"/>
        </w:rPr>
        <w:t>2.2.10 技术评标过程中需实际展示本单位维修所用的各类设备、人员及工具情况（可展示维修现场视频）</w:t>
      </w:r>
    </w:p>
    <w:p w14:paraId="747AB837">
      <w:pPr>
        <w:pStyle w:val="5"/>
        <w:spacing w:line="360" w:lineRule="auto"/>
        <w:ind w:firstLine="422" w:firstLineChars="200"/>
        <w:rPr>
          <w:b/>
        </w:rPr>
      </w:pPr>
      <w:r>
        <w:rPr>
          <w:rFonts w:hint="eastAsia"/>
          <w:b/>
        </w:rPr>
        <w:t>2.3 商务标（独立封装在一个档案袋，一式两份，一正一副）：</w:t>
      </w:r>
    </w:p>
    <w:p w14:paraId="0A07BCAF">
      <w:pPr>
        <w:pStyle w:val="5"/>
        <w:spacing w:line="360" w:lineRule="auto"/>
        <w:ind w:firstLine="422" w:firstLineChars="200"/>
        <w:rPr>
          <w:b/>
        </w:rPr>
      </w:pPr>
      <w:r>
        <w:rPr>
          <w:rFonts w:hint="eastAsia"/>
          <w:b/>
        </w:rPr>
        <w:t>2.3.1</w:t>
      </w:r>
      <w:r>
        <w:rPr>
          <w:rFonts w:hint="eastAsia"/>
          <w:b/>
        </w:rPr>
        <w:tab/>
      </w:r>
      <w:r>
        <w:rPr>
          <w:rFonts w:hint="eastAsia"/>
          <w:b/>
        </w:rPr>
        <w:t>投标函；</w:t>
      </w:r>
    </w:p>
    <w:p w14:paraId="44CA172A">
      <w:pPr>
        <w:pStyle w:val="5"/>
        <w:spacing w:line="360" w:lineRule="auto"/>
        <w:ind w:firstLine="422" w:firstLineChars="200"/>
        <w:rPr>
          <w:b/>
        </w:rPr>
      </w:pPr>
      <w:r>
        <w:rPr>
          <w:rFonts w:hint="eastAsia"/>
          <w:b/>
        </w:rPr>
        <w:t>2.3.2</w:t>
      </w:r>
      <w:r>
        <w:rPr>
          <w:rFonts w:hint="eastAsia"/>
          <w:b/>
        </w:rPr>
        <w:tab/>
      </w:r>
      <w:r>
        <w:rPr>
          <w:rFonts w:hint="eastAsia"/>
          <w:b/>
        </w:rPr>
        <w:t>开标一览表；</w:t>
      </w:r>
    </w:p>
    <w:p w14:paraId="646B6C25">
      <w:pPr>
        <w:pStyle w:val="5"/>
        <w:spacing w:line="360" w:lineRule="auto"/>
        <w:ind w:firstLine="422" w:firstLineChars="200"/>
        <w:rPr>
          <w:b/>
        </w:rPr>
      </w:pPr>
      <w:r>
        <w:rPr>
          <w:rFonts w:hint="eastAsia"/>
          <w:b/>
        </w:rPr>
        <w:t>2.3.3</w:t>
      </w:r>
      <w:r>
        <w:rPr>
          <w:rFonts w:hint="eastAsia"/>
          <w:b/>
        </w:rPr>
        <w:tab/>
      </w:r>
      <w:r>
        <w:rPr>
          <w:rFonts w:hint="eastAsia"/>
          <w:b/>
        </w:rPr>
        <w:t>投标货物分项报价表；</w:t>
      </w:r>
    </w:p>
    <w:p w14:paraId="2238B5B4">
      <w:pPr>
        <w:pStyle w:val="5"/>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62331964">
      <w:pPr>
        <w:pStyle w:val="5"/>
        <w:spacing w:line="360" w:lineRule="auto"/>
        <w:ind w:firstLine="422" w:firstLineChars="200"/>
        <w:rPr>
          <w:rFonts w:hint="eastAsia"/>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14:paraId="5396CAA3">
      <w:pPr>
        <w:pStyle w:val="5"/>
        <w:numPr>
          <w:ilvl w:val="255"/>
          <w:numId w:val="0"/>
        </w:numPr>
        <w:spacing w:line="360" w:lineRule="auto"/>
        <w:ind w:left="420"/>
        <w:rPr>
          <w:rFonts w:hint="eastAsia"/>
          <w:b/>
        </w:rPr>
      </w:pPr>
      <w:r>
        <w:rPr>
          <w:rFonts w:hint="eastAsia"/>
          <w:b/>
        </w:rPr>
        <w:t>2.</w:t>
      </w:r>
      <w:r>
        <w:rPr>
          <w:rFonts w:hint="eastAsia"/>
          <w:b/>
          <w:lang w:val="en-US" w:eastAsia="zh-CN"/>
        </w:rPr>
        <w:t>5</w:t>
      </w:r>
      <w:r>
        <w:rPr>
          <w:rFonts w:hint="eastAsia"/>
          <w:b/>
        </w:rPr>
        <w:t>电子版投标文件格式</w:t>
      </w:r>
    </w:p>
    <w:p w14:paraId="01587D96">
      <w:pPr>
        <w:pStyle w:val="5"/>
        <w:spacing w:line="360" w:lineRule="auto"/>
        <w:ind w:firstLine="422" w:firstLineChars="200"/>
        <w:rPr>
          <w:b/>
        </w:rPr>
      </w:pPr>
      <w:r>
        <w:rPr>
          <w:rFonts w:hint="eastAsia"/>
          <w:b/>
        </w:rPr>
        <w:t>2.5.1请在U盘中建立文件夹放入以下投标相关资料，文件夹名称为投标单位全称，U盘上交存档，不返还；</w:t>
      </w:r>
    </w:p>
    <w:p w14:paraId="72ED20F9">
      <w:pPr>
        <w:pStyle w:val="5"/>
        <w:numPr>
          <w:ilvl w:val="255"/>
          <w:numId w:val="0"/>
        </w:numPr>
        <w:spacing w:line="360" w:lineRule="auto"/>
        <w:ind w:firstLine="422" w:firstLineChars="200"/>
        <w:rPr>
          <w:b/>
        </w:rPr>
      </w:pPr>
      <w:r>
        <w:rPr>
          <w:rFonts w:hint="eastAsia"/>
          <w:b/>
        </w:rPr>
        <w:t>2.5.2开标一览表，附件《</w:t>
      </w:r>
      <w:r>
        <w:rPr>
          <w:rFonts w:hint="eastAsia"/>
          <w:b/>
          <w:lang w:val="en-US" w:eastAsia="zh-CN"/>
        </w:rPr>
        <w:t>2026年</w:t>
      </w:r>
      <w:r>
        <w:rPr>
          <w:rFonts w:hint="eastAsia"/>
          <w:b/>
        </w:rPr>
        <w:t>中国重汽集团</w:t>
      </w:r>
      <w:r>
        <w:rPr>
          <w:rFonts w:hint="eastAsia"/>
          <w:b/>
          <w:lang w:eastAsia="zh-CN"/>
        </w:rPr>
        <w:t>能源管道设施年度维修</w:t>
      </w:r>
      <w:r>
        <w:rPr>
          <w:rFonts w:hint="eastAsia"/>
          <w:b/>
        </w:rPr>
        <w:t>项目</w:t>
      </w:r>
      <w:r>
        <w:rPr>
          <w:rFonts w:hint="eastAsia"/>
          <w:b/>
          <w:lang w:eastAsia="zh-CN"/>
        </w:rPr>
        <w:t>分项报价</w:t>
      </w:r>
      <w:r>
        <w:rPr>
          <w:rFonts w:hint="eastAsia"/>
          <w:b/>
          <w:lang w:val="en-US" w:eastAsia="zh-CN"/>
        </w:rPr>
        <w:t>表</w:t>
      </w:r>
      <w:r>
        <w:rPr>
          <w:rFonts w:hint="eastAsia"/>
          <w:b/>
        </w:rPr>
        <w:t>》（以下简称“《分项报价表》”；</w:t>
      </w:r>
    </w:p>
    <w:p w14:paraId="2AB77C77">
      <w:pPr>
        <w:pStyle w:val="5"/>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r>
        <w:rPr>
          <w:rFonts w:hint="eastAsia"/>
          <w:b/>
          <w:lang w:eastAsia="zh-CN"/>
        </w:rPr>
        <w:t>，</w:t>
      </w:r>
      <w:r>
        <w:rPr>
          <w:rFonts w:hint="eastAsia"/>
          <w:b/>
          <w:highlight w:val="yellow"/>
          <w:lang w:val="en-US" w:eastAsia="zh-CN"/>
        </w:rPr>
        <w:t>原则上每次报价须在基价基础上同比例调整</w:t>
      </w:r>
      <w:r>
        <w:rPr>
          <w:rFonts w:hint="eastAsia"/>
          <w:b/>
        </w:rPr>
        <w:t>；</w:t>
      </w:r>
    </w:p>
    <w:p w14:paraId="6ACF4F88">
      <w:pPr>
        <w:pStyle w:val="5"/>
        <w:numPr>
          <w:ilvl w:val="255"/>
          <w:numId w:val="0"/>
        </w:numPr>
        <w:spacing w:line="360" w:lineRule="auto"/>
        <w:ind w:left="420"/>
        <w:rPr>
          <w:rFonts w:hint="eastAsia"/>
          <w:b/>
        </w:rPr>
      </w:pPr>
      <w:r>
        <w:rPr>
          <w:rFonts w:hint="eastAsia"/>
          <w:b/>
        </w:rPr>
        <w:t>2.5.4电子版投标文件格式</w:t>
      </w:r>
    </w:p>
    <w:p w14:paraId="7CB40C0F">
      <w:pPr>
        <w:pStyle w:val="5"/>
        <w:numPr>
          <w:ilvl w:val="0"/>
          <w:numId w:val="2"/>
        </w:numPr>
        <w:spacing w:line="360" w:lineRule="auto"/>
      </w:pPr>
      <w:r>
        <w:rPr>
          <w:rFonts w:hint="eastAsia"/>
          <w:b/>
        </w:rPr>
        <w:t>《</w:t>
      </w:r>
      <w:r>
        <w:rPr>
          <w:rFonts w:hint="eastAsia"/>
          <w:b/>
          <w:lang w:val="en-US" w:eastAsia="zh-CN"/>
        </w:rPr>
        <w:t>2026年</w:t>
      </w:r>
      <w:r>
        <w:rPr>
          <w:rFonts w:hint="eastAsia"/>
          <w:b/>
        </w:rPr>
        <w:t>中国</w:t>
      </w:r>
      <w:r>
        <w:rPr>
          <w:rFonts w:hint="eastAsia"/>
          <w:b/>
          <w:lang w:val="en-US" w:eastAsia="zh-CN"/>
        </w:rPr>
        <w:t>重汽</w:t>
      </w:r>
      <w:r>
        <w:rPr>
          <w:rFonts w:hint="eastAsia"/>
          <w:b/>
        </w:rPr>
        <w:t>集团</w:t>
      </w:r>
      <w:r>
        <w:rPr>
          <w:rFonts w:hint="eastAsia"/>
          <w:b/>
          <w:lang w:eastAsia="zh-CN"/>
        </w:rPr>
        <w:t>能源管道设施年度维修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文件格式均为Excel表格，且不允许修改格式，若不按此格式进行报价，则视为无效报价。</w:t>
      </w:r>
    </w:p>
    <w:p w14:paraId="01BA50BA">
      <w:pPr>
        <w:pStyle w:val="5"/>
        <w:numPr>
          <w:ilvl w:val="0"/>
          <w:numId w:val="2"/>
        </w:numPr>
        <w:spacing w:line="360" w:lineRule="auto"/>
      </w:pPr>
      <w:r>
        <w:rPr>
          <w:rFonts w:hint="eastAsia"/>
          <w:b/>
        </w:rPr>
        <w:t>《</w:t>
      </w:r>
      <w:r>
        <w:rPr>
          <w:rFonts w:hint="eastAsia"/>
          <w:b/>
          <w:lang w:val="en-US" w:eastAsia="zh-CN"/>
        </w:rPr>
        <w:t>2026年</w:t>
      </w:r>
      <w:r>
        <w:rPr>
          <w:rFonts w:hint="eastAsia"/>
          <w:b/>
        </w:rPr>
        <w:t>中国重汽集团</w:t>
      </w:r>
      <w:r>
        <w:rPr>
          <w:rFonts w:hint="eastAsia"/>
          <w:b/>
          <w:lang w:eastAsia="zh-CN"/>
        </w:rPr>
        <w:t>能源管道设施年度维修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中条目不允许增删、改动、筛选、隐藏，尤其是“序号”列，若有则视为无效报价。</w:t>
      </w:r>
    </w:p>
    <w:p w14:paraId="532AA030">
      <w:pPr>
        <w:pStyle w:val="5"/>
        <w:numPr>
          <w:ilvl w:val="0"/>
          <w:numId w:val="2"/>
        </w:numPr>
        <w:spacing w:line="360" w:lineRule="auto"/>
        <w:rPr>
          <w:rFonts w:hint="eastAsia"/>
          <w:b/>
        </w:rPr>
      </w:pPr>
      <w:r>
        <w:rPr>
          <w:rFonts w:hint="eastAsia"/>
          <w:b/>
        </w:rPr>
        <w:t>《</w:t>
      </w:r>
      <w:r>
        <w:rPr>
          <w:rFonts w:hint="eastAsia"/>
          <w:b/>
          <w:lang w:val="en-US" w:eastAsia="zh-CN"/>
        </w:rPr>
        <w:t>2026年</w:t>
      </w:r>
      <w:r>
        <w:rPr>
          <w:rFonts w:hint="eastAsia"/>
          <w:b/>
        </w:rPr>
        <w:t>中国重汽集团</w:t>
      </w:r>
      <w:r>
        <w:rPr>
          <w:rFonts w:hint="eastAsia"/>
          <w:b/>
          <w:lang w:eastAsia="zh-CN"/>
        </w:rPr>
        <w:t>能源管道设施年度维修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Excel表格不要存在数据引用、链接、运算、样式、合并单元格等相关内容。</w:t>
      </w:r>
    </w:p>
    <w:p w14:paraId="16425379">
      <w:pPr>
        <w:pStyle w:val="5"/>
        <w:spacing w:line="360" w:lineRule="auto"/>
        <w:ind w:firstLine="422" w:firstLineChars="200"/>
        <w:rPr>
          <w:b/>
        </w:rPr>
      </w:pPr>
      <w:r>
        <w:rPr>
          <w:rFonts w:hint="eastAsia"/>
          <w:b/>
        </w:rPr>
        <w:t>3.报价：</w:t>
      </w:r>
    </w:p>
    <w:p w14:paraId="19168713">
      <w:pPr>
        <w:pStyle w:val="5"/>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658DFD4E">
      <w:pPr>
        <w:pStyle w:val="5"/>
        <w:spacing w:line="360" w:lineRule="auto"/>
        <w:ind w:firstLine="420" w:firstLineChars="200"/>
      </w:pPr>
      <w:r>
        <w:rPr>
          <w:rFonts w:hint="eastAsia"/>
        </w:rPr>
        <w:t>详见本招标书之“第二章 投标文件编制”之“三、投标文件格式要求”之“格式3”。</w:t>
      </w:r>
    </w:p>
    <w:p w14:paraId="612A3628">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w:t>
      </w:r>
      <w:r>
        <w:rPr>
          <w:rFonts w:hint="eastAsia" w:ascii="宋体" w:hAnsi="Courier New"/>
          <w:lang w:val="en-US" w:eastAsia="zh-CN"/>
        </w:rPr>
        <w:t>万</w:t>
      </w:r>
      <w:r>
        <w:rPr>
          <w:rFonts w:hint="eastAsia" w:ascii="宋体" w:hAnsi="Courier New"/>
        </w:rPr>
        <w:t>元（人民币），</w:t>
      </w:r>
      <w:r>
        <w:rPr>
          <w:rFonts w:hint="eastAsia" w:ascii="宋体" w:hAnsi="Courier New"/>
          <w:highlight w:val="yellow"/>
        </w:rPr>
        <w:t>税率</w:t>
      </w:r>
      <w:r>
        <w:rPr>
          <w:rFonts w:hint="eastAsia" w:ascii="宋体" w:hAnsi="Courier New"/>
          <w:highlight w:val="yellow"/>
          <w:lang w:val="en-US" w:eastAsia="zh-CN"/>
        </w:rPr>
        <w:t>9%</w:t>
      </w:r>
      <w:r>
        <w:rPr>
          <w:rFonts w:hint="eastAsia" w:ascii="宋体" w:hAnsi="Courier New"/>
          <w:highlight w:val="none"/>
          <w:lang w:val="en-US" w:eastAsia="zh-CN"/>
        </w:rPr>
        <w:t>，</w:t>
      </w:r>
      <w:r>
        <w:rPr>
          <w:rFonts w:hint="eastAsia" w:ascii="宋体" w:hAnsi="Courier New"/>
          <w:lang w:val="en-US" w:eastAsia="zh-CN"/>
        </w:rPr>
        <w:t>报价应包含不含税金额、税率及价税合计金额。</w:t>
      </w:r>
    </w:p>
    <w:p w14:paraId="52C96240">
      <w:pPr>
        <w:pStyle w:val="5"/>
        <w:spacing w:line="360" w:lineRule="auto"/>
        <w:ind w:left="420" w:leftChars="200" w:firstLine="0" w:firstLineChars="0"/>
        <w:rPr>
          <w:rFonts w:hint="eastAsia" w:ascii="宋体" w:hAnsi="Courier New" w:eastAsia="宋体" w:cstheme="minorBidi"/>
          <w:b/>
          <w:bCs w:val="0"/>
          <w:kern w:val="2"/>
          <w:sz w:val="21"/>
          <w:szCs w:val="22"/>
          <w:lang w:val="en-US" w:eastAsia="zh-CN" w:bidi="ar-SA"/>
        </w:rPr>
      </w:pPr>
      <w:r>
        <w:rPr>
          <w:rFonts w:hint="eastAsia" w:ascii="Calibri" w:hAnsi="宋体"/>
        </w:rPr>
        <w:t>⑶</w:t>
      </w:r>
      <w:r>
        <w:rPr>
          <w:rFonts w:hint="eastAsia" w:ascii="Calibri" w:hAnsi="宋体"/>
          <w:highlight w:val="yellow"/>
          <w:lang w:val="en-US" w:eastAsia="zh-CN"/>
        </w:rPr>
        <w:t>投标最高限价：含税117.3167万元。</w:t>
      </w:r>
    </w:p>
    <w:p w14:paraId="517A66BC">
      <w:pPr>
        <w:pStyle w:val="17"/>
        <w:numPr>
          <w:ilvl w:val="0"/>
          <w:numId w:val="0"/>
        </w:numPr>
        <w:ind w:leftChars="0" w:firstLine="422" w:firstLineChars="200"/>
        <w:rPr>
          <w:rFonts w:hint="eastAsia" w:ascii="宋体" w:hAnsi="宋体" w:eastAsia="宋体" w:cs="宋体"/>
          <w:b w:val="0"/>
          <w:bCs w:val="0"/>
          <w:sz w:val="21"/>
          <w:szCs w:val="21"/>
          <w:highlight w:val="none"/>
          <w:lang w:val="en-US" w:eastAsia="zh-CN"/>
        </w:rPr>
      </w:pPr>
      <w:r>
        <w:rPr>
          <w:rFonts w:hint="eastAsia" w:ascii="宋体" w:hAnsi="Courier New" w:eastAsia="宋体" w:cstheme="minorBidi"/>
          <w:b/>
          <w:bCs w:val="0"/>
          <w:kern w:val="2"/>
          <w:sz w:val="21"/>
          <w:szCs w:val="22"/>
          <w:lang w:val="en-US" w:eastAsia="zh-CN" w:bidi="ar-SA"/>
        </w:rPr>
        <w:t>4</w:t>
      </w:r>
      <w:r>
        <w:rPr>
          <w:rFonts w:hint="eastAsia" w:ascii="宋体" w:eastAsia="宋体" w:cstheme="minorBidi"/>
          <w:b/>
          <w:bCs w:val="0"/>
          <w:kern w:val="2"/>
          <w:sz w:val="21"/>
          <w:szCs w:val="22"/>
          <w:lang w:val="en-US" w:eastAsia="zh-CN" w:bidi="ar-SA"/>
        </w:rPr>
        <w:t>.1</w:t>
      </w:r>
      <w:r>
        <w:rPr>
          <w:rFonts w:hint="eastAsia" w:ascii="宋体" w:hAnsi="宋体" w:eastAsia="宋体" w:cs="宋体"/>
          <w:b w:val="0"/>
          <w:bCs w:val="0"/>
          <w:sz w:val="21"/>
          <w:szCs w:val="21"/>
          <w:highlight w:val="none"/>
          <w:lang w:eastAsia="zh-CN"/>
        </w:rPr>
        <w:t>付款方式：半年期商业汇票（包括银行承兑汇票和商业承兑汇票）</w:t>
      </w:r>
    </w:p>
    <w:p w14:paraId="3494B7F9">
      <w:pPr>
        <w:pStyle w:val="17"/>
        <w:keepNext w:val="0"/>
        <w:keepLines w:val="0"/>
        <w:pageBreakBefore w:val="0"/>
        <w:widowControl w:val="0"/>
        <w:numPr>
          <w:ilvl w:val="0"/>
          <w:numId w:val="0"/>
        </w:numPr>
        <w:kinsoku/>
        <w:wordWrap/>
        <w:overflowPunct/>
        <w:topLinePunct w:val="0"/>
        <w:autoSpaceDE/>
        <w:autoSpaceDN/>
        <w:bidi w:val="0"/>
        <w:adjustRightInd/>
        <w:spacing w:line="360" w:lineRule="auto"/>
        <w:ind w:left="422" w:leftChars="200" w:hanging="2" w:hangingChars="1"/>
        <w:textAlignment w:val="auto"/>
        <w:rPr>
          <w:rFonts w:hint="eastAsia" w:ascii="宋体" w:hAnsi="宋体" w:eastAsia="宋体" w:cs="宋体"/>
          <w:b w:val="0"/>
          <w:bCs w:val="0"/>
          <w:sz w:val="21"/>
          <w:szCs w:val="21"/>
          <w:highlight w:val="none"/>
          <w:lang w:val="en-US" w:eastAsia="zh-CN"/>
        </w:rPr>
      </w:pPr>
      <w:r>
        <w:rPr>
          <w:rFonts w:hint="eastAsia" w:ascii="宋体" w:hAnsi="Courier New" w:eastAsia="宋体" w:cstheme="minorBidi"/>
          <w:b/>
          <w:bCs w:val="0"/>
          <w:kern w:val="2"/>
          <w:sz w:val="21"/>
          <w:szCs w:val="22"/>
          <w:lang w:val="en-US" w:eastAsia="zh-CN" w:bidi="ar-SA"/>
        </w:rPr>
        <w:t>4</w:t>
      </w:r>
      <w:r>
        <w:rPr>
          <w:rFonts w:hint="eastAsia" w:ascii="宋体" w:eastAsia="宋体" w:cstheme="minorBidi"/>
          <w:b/>
          <w:bCs w:val="0"/>
          <w:kern w:val="2"/>
          <w:sz w:val="21"/>
          <w:szCs w:val="22"/>
          <w:lang w:val="en-US" w:eastAsia="zh-CN" w:bidi="ar-SA"/>
        </w:rPr>
        <w:t>.2</w:t>
      </w:r>
      <w:r>
        <w:rPr>
          <w:rFonts w:hint="eastAsia" w:ascii="宋体" w:hAnsi="宋体" w:eastAsia="宋体" w:cs="宋体"/>
          <w:b w:val="0"/>
          <w:bCs w:val="0"/>
          <w:sz w:val="21"/>
          <w:szCs w:val="21"/>
          <w:highlight w:val="none"/>
          <w:lang w:val="en-US" w:eastAsia="zh-CN"/>
        </w:rPr>
        <w:t>付款节点：</w:t>
      </w:r>
    </w:p>
    <w:p w14:paraId="133849FE">
      <w:pPr>
        <w:pStyle w:val="18"/>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9：1：乙方完成甲方的需求，乙方开具合同价款90%的收据并100%的增值税专用发票，经甲方核对无误后支付90%。质保金10%在质保期届满后开具合同价款10%的收据后支付。</w:t>
      </w:r>
    </w:p>
    <w:p w14:paraId="5EC87B3B">
      <w:pPr>
        <w:pStyle w:val="3"/>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a)在合同约定维保期内全部实施完毕无质量问题，经最终验收合格后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按照规定挂账后30天账期，账期满后提交资金计划后付给承揽方合同价格约</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9</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的价款。</w:t>
      </w:r>
    </w:p>
    <w:p w14:paraId="2DBD29B1">
      <w:pPr>
        <w:pStyle w:val="18"/>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b)剩余合同总金额的约</w:t>
      </w:r>
      <w:r>
        <w:rPr>
          <w:rFonts w:hint="eastAsia" w:ascii="宋体" w:hAnsi="宋体" w:eastAsia="宋体" w:cs="宋体"/>
          <w:color w:val="auto"/>
          <w:sz w:val="21"/>
          <w:szCs w:val="21"/>
          <w:u w:val="single"/>
        </w:rPr>
        <w:t>10%</w:t>
      </w:r>
      <w:r>
        <w:rPr>
          <w:rFonts w:hint="eastAsia" w:ascii="宋体" w:hAnsi="宋体" w:eastAsia="宋体" w:cs="宋体"/>
          <w:color w:val="auto"/>
          <w:sz w:val="21"/>
          <w:szCs w:val="21"/>
        </w:rPr>
        <w:t>作为质量保证金，待该合同标的质量保证期满，委托方在按照规定账期内支付给承揽方该合同价格的约10%尾款（如有问题，应扣除相应部分款项）。</w:t>
      </w:r>
    </w:p>
    <w:p w14:paraId="57D75FC6">
      <w:pPr>
        <w:pStyle w:val="17"/>
        <w:numPr>
          <w:ilvl w:val="0"/>
          <w:numId w:val="0"/>
        </w:numPr>
        <w:ind w:leftChars="0" w:firstLine="420" w:firstLineChars="200"/>
        <w:rPr>
          <w:rFonts w:hint="eastAsia" w:ascii="宋体" w:hAnsi="宋体" w:eastAsia="宋体" w:cs="宋体"/>
          <w:color w:val="auto"/>
          <w:sz w:val="21"/>
          <w:szCs w:val="21"/>
        </w:rPr>
      </w:pPr>
      <w:r>
        <w:rPr>
          <w:rFonts w:hint="eastAsia" w:ascii="宋体" w:hAnsi="宋体" w:eastAsia="宋体" w:cs="宋体"/>
          <w:b w:val="0"/>
          <w:bCs w:val="0"/>
          <w:sz w:val="21"/>
          <w:szCs w:val="21"/>
          <w:highlight w:val="yellow"/>
          <w:lang w:val="en-US" w:eastAsia="zh-CN"/>
        </w:rPr>
        <w:t>以上付款方式和节点</w:t>
      </w:r>
      <w:r>
        <w:rPr>
          <w:rFonts w:hint="eastAsia" w:ascii="宋体" w:hAnsi="宋体" w:eastAsia="宋体" w:cs="宋体"/>
          <w:b w:val="0"/>
          <w:bCs w:val="0"/>
          <w:sz w:val="21"/>
          <w:szCs w:val="21"/>
          <w:highlight w:val="yellow"/>
          <w:lang w:eastAsia="zh-CN"/>
        </w:rPr>
        <w:t>具体以双方最终签署的合同为准。</w:t>
      </w:r>
    </w:p>
    <w:p w14:paraId="520EDD9F">
      <w:pPr>
        <w:pStyle w:val="5"/>
        <w:spacing w:line="360" w:lineRule="auto"/>
        <w:ind w:firstLine="422" w:firstLineChars="200"/>
        <w:rPr>
          <w:b/>
        </w:rPr>
      </w:pPr>
      <w:r>
        <w:rPr>
          <w:rFonts w:hint="eastAsia"/>
          <w:b/>
        </w:rPr>
        <w:t>5.技术规范及服务</w:t>
      </w:r>
    </w:p>
    <w:p w14:paraId="20806C6B">
      <w:pPr>
        <w:pStyle w:val="5"/>
        <w:spacing w:line="360" w:lineRule="auto"/>
        <w:ind w:firstLine="420" w:firstLineChars="200"/>
      </w:pPr>
      <w:r>
        <w:rPr>
          <w:rFonts w:hint="eastAsia"/>
        </w:rPr>
        <w:t>⑴投标人应与招标人指派的答疑人员充分沟通，理解认可并接受相关技术规范及服务要求；</w:t>
      </w:r>
    </w:p>
    <w:p w14:paraId="75F49A60">
      <w:pPr>
        <w:pStyle w:val="5"/>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3C9D3388">
      <w:pPr>
        <w:pStyle w:val="5"/>
        <w:spacing w:line="360" w:lineRule="auto"/>
        <w:ind w:firstLine="422" w:firstLineChars="200"/>
        <w:rPr>
          <w:b/>
        </w:rPr>
      </w:pPr>
      <w:r>
        <w:rPr>
          <w:rFonts w:hint="eastAsia"/>
          <w:b/>
        </w:rPr>
        <w:t>6.其他</w:t>
      </w:r>
    </w:p>
    <w:p w14:paraId="74FD2218">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4E065EE7">
      <w:pPr>
        <w:pStyle w:val="5"/>
        <w:spacing w:line="360" w:lineRule="auto"/>
        <w:ind w:firstLine="420" w:firstLineChars="200"/>
      </w:pPr>
      <w:r>
        <w:rPr>
          <w:rFonts w:hint="eastAsia"/>
        </w:rPr>
        <w:t>其余未尽事宜，均按合同约定。</w:t>
      </w:r>
    </w:p>
    <w:p w14:paraId="5CDD6DF0">
      <w:pPr>
        <w:pStyle w:val="5"/>
        <w:spacing w:line="360" w:lineRule="auto"/>
        <w:ind w:firstLine="422" w:firstLineChars="200"/>
        <w:rPr>
          <w:b/>
        </w:rPr>
      </w:pPr>
      <w:r>
        <w:rPr>
          <w:rFonts w:hint="eastAsia"/>
          <w:b/>
        </w:rPr>
        <w:t>7.要求招标人或相关合同签订单位提供的配合，在标书文件中说明。</w:t>
      </w:r>
    </w:p>
    <w:p w14:paraId="3E42CF43">
      <w:pPr>
        <w:pStyle w:val="5"/>
        <w:spacing w:line="360" w:lineRule="auto"/>
        <w:rPr>
          <w:rFonts w:ascii="黑体" w:eastAsia="黑体"/>
          <w:b/>
          <w:bCs/>
          <w:sz w:val="28"/>
        </w:rPr>
      </w:pPr>
      <w:r>
        <w:rPr>
          <w:rFonts w:hint="eastAsia" w:ascii="黑体" w:eastAsia="黑体"/>
          <w:b/>
          <w:bCs/>
          <w:sz w:val="28"/>
        </w:rPr>
        <w:t>七、投标、开标、评标</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ascii="宋体" w:hAnsi="Courier New"/>
          <w:u w:val="single"/>
        </w:rPr>
        <w:t>20000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2026年中国重汽集团能源管道设施年度维修项目</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8287" w:type="dxa"/>
            <w:vAlign w:val="center"/>
          </w:tcPr>
          <w:p w14:paraId="53AFBA50">
            <w:pPr>
              <w:pStyle w:val="5"/>
              <w:ind w:firstLine="420" w:firstLineChars="200"/>
              <w:rPr>
                <w:rFonts w:ascii="宋体" w:hAnsi="Courier New"/>
              </w:rPr>
            </w:pPr>
            <w:r>
              <w:rPr>
                <w:rFonts w:hint="eastAsia"/>
              </w:rPr>
              <w:t>开户银行：中国建设银行股份有限公司济南天桥支行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287" w:type="dxa"/>
            <w:vAlign w:val="center"/>
          </w:tcPr>
          <w:p w14:paraId="305B9CF3">
            <w:pPr>
              <w:pStyle w:val="5"/>
              <w:ind w:firstLine="420" w:firstLineChars="200"/>
              <w:rPr>
                <w:rFonts w:ascii="宋体" w:hAnsi="Courier New"/>
              </w:rPr>
            </w:pPr>
            <w:r>
              <w:rPr>
                <w:rFonts w:hint="eastAsia"/>
              </w:rPr>
              <w:t>户名：中国重汽集团济南动力有限公司</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5"/>
              <w:ind w:firstLine="420" w:firstLineChars="200"/>
              <w:rPr>
                <w:rFonts w:ascii="宋体" w:hAnsi="Courier New"/>
              </w:rPr>
            </w:pPr>
            <w:r>
              <w:rPr>
                <w:rFonts w:hint="eastAsia"/>
              </w:rPr>
              <w:t>账号：</w:t>
            </w:r>
            <w:r>
              <w:rPr>
                <w:rFonts w:hint="eastAsia"/>
                <w:lang w:val="en-US" w:eastAsia="zh-CN"/>
              </w:rPr>
              <w:t>37001616508050150300</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5"/>
              <w:ind w:firstLine="420" w:firstLineChars="200"/>
              <w:rPr>
                <w:rFonts w:ascii="宋体" w:hAnsi="Courier New"/>
              </w:rPr>
            </w:pPr>
            <w:r>
              <w:rPr>
                <w:rFonts w:hint="eastAsia"/>
              </w:rPr>
              <w:t>纳税人识别号：91370100787411873C</w:t>
            </w:r>
          </w:p>
        </w:tc>
      </w:tr>
    </w:tbl>
    <w:p w14:paraId="03C0BD58">
      <w:pPr>
        <w:spacing w:line="360" w:lineRule="auto"/>
        <w:ind w:firstLine="420" w:firstLineChars="200"/>
        <w:rPr>
          <w:rFonts w:ascii="宋体" w:hAnsi="Courier New"/>
        </w:rPr>
      </w:pPr>
      <w:r>
        <w:rPr>
          <w:rFonts w:hint="eastAsia" w:ascii="宋体" w:hAnsi="Courier New"/>
        </w:rPr>
        <w:t>⑸保证金截止时间：</w:t>
      </w:r>
      <w:r>
        <w:rPr>
          <w:rFonts w:ascii="宋体" w:hAnsi="Courier New"/>
        </w:rPr>
        <w:t>20</w:t>
      </w:r>
      <w:r>
        <w:rPr>
          <w:rFonts w:hint="eastAsia" w:ascii="宋体" w:hAnsi="Courier New"/>
          <w:lang w:val="en-US" w:eastAsia="zh-CN"/>
        </w:rPr>
        <w:t>25</w:t>
      </w:r>
      <w:r>
        <w:rPr>
          <w:rFonts w:hint="eastAsia" w:ascii="宋体" w:hAnsi="Courier New"/>
        </w:rPr>
        <w:t>年</w:t>
      </w:r>
      <w:r>
        <w:rPr>
          <w:rFonts w:hint="eastAsia" w:ascii="宋体" w:hAnsi="Courier New"/>
          <w:lang w:val="en-US" w:eastAsia="zh-CN"/>
        </w:rPr>
        <w:t>12</w:t>
      </w:r>
      <w:r>
        <w:rPr>
          <w:rFonts w:hint="eastAsia" w:ascii="宋体" w:hAnsi="Courier New"/>
        </w:rPr>
        <w:t xml:space="preserve">月 </w:t>
      </w:r>
      <w:r>
        <w:rPr>
          <w:rFonts w:hint="eastAsia" w:ascii="宋体" w:hAnsi="Courier New"/>
          <w:lang w:val="en-US" w:eastAsia="zh-CN"/>
        </w:rPr>
        <w:t>20</w:t>
      </w:r>
      <w:r>
        <w:rPr>
          <w:rFonts w:hint="eastAsia" w:ascii="宋体" w:hAnsi="Courier New"/>
        </w:rPr>
        <w:t>日</w:t>
      </w:r>
      <w:r>
        <w:rPr>
          <w:rFonts w:ascii="宋体" w:hAnsi="Courier New"/>
        </w:rPr>
        <w:t>17</w:t>
      </w:r>
      <w:r>
        <w:rPr>
          <w:rFonts w:hint="eastAsia" w:ascii="宋体" w:hAnsi="Courier New"/>
        </w:rPr>
        <w:t>时</w:t>
      </w:r>
      <w:r>
        <w:rPr>
          <w:rFonts w:ascii="宋体" w:hAnsi="Courier New"/>
        </w:rPr>
        <w:t>00</w:t>
      </w:r>
      <w:r>
        <w:rPr>
          <w:rFonts w:hint="eastAsia" w:ascii="宋体" w:hAnsi="Courier Ne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(c)发生以下情况时，项目实施单位有权没收保证金：</w:t>
      </w:r>
    </w:p>
    <w:p w14:paraId="67155F76">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14:paraId="28EE3786">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14:paraId="1613787D">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14:paraId="513CE53B">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14:paraId="7B886FBB">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14:paraId="3CF43B1F">
      <w:pPr>
        <w:spacing w:line="360" w:lineRule="auto"/>
        <w:ind w:firstLine="420" w:firstLineChars="200"/>
        <w:rPr>
          <w:rFonts w:ascii="宋体" w:hAnsi="Courier New"/>
        </w:rPr>
      </w:pPr>
      <w:r>
        <w:rPr>
          <w:rFonts w:hint="eastAsia" w:ascii="宋体" w:hAnsi="Courier New"/>
        </w:rPr>
        <w:t>2.开标</w:t>
      </w:r>
    </w:p>
    <w:p w14:paraId="36D7A9A2">
      <w:pPr>
        <w:pStyle w:val="5"/>
        <w:spacing w:line="360" w:lineRule="auto"/>
        <w:ind w:firstLine="420" w:firstLineChars="200"/>
      </w:pPr>
      <w:r>
        <w:rPr>
          <w:rFonts w:hint="eastAsia"/>
        </w:rPr>
        <w:t>（1）本次招标的开标、评标由招标人依法组织实施，本次招标采用技术标和商务标分级开标的模式。</w:t>
      </w:r>
    </w:p>
    <w:p w14:paraId="15E3BC2B">
      <w:pPr>
        <w:pStyle w:val="5"/>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5483762F">
      <w:pPr>
        <w:pStyle w:val="5"/>
        <w:spacing w:line="360" w:lineRule="auto"/>
        <w:ind w:firstLine="420" w:firstLineChars="200"/>
      </w:pPr>
      <w:r>
        <w:rPr>
          <w:rFonts w:hint="eastAsia"/>
        </w:rPr>
        <w:t>（3）开标程序</w:t>
      </w:r>
    </w:p>
    <w:p w14:paraId="01FCEB13">
      <w:pPr>
        <w:pStyle w:val="5"/>
        <w:spacing w:line="360" w:lineRule="auto"/>
        <w:ind w:firstLine="420" w:firstLineChars="200"/>
      </w:pPr>
      <w:r>
        <w:rPr>
          <w:rFonts w:hint="eastAsia"/>
        </w:rPr>
        <w:t>（a）宣布开标会议开始。</w:t>
      </w:r>
    </w:p>
    <w:p w14:paraId="4B17688D">
      <w:pPr>
        <w:pStyle w:val="5"/>
        <w:spacing w:line="360" w:lineRule="auto"/>
        <w:ind w:firstLine="420" w:firstLineChars="200"/>
      </w:pPr>
      <w:r>
        <w:rPr>
          <w:rFonts w:hint="eastAsia"/>
        </w:rPr>
        <w:t>（b）介绍与会人员。</w:t>
      </w:r>
    </w:p>
    <w:p w14:paraId="155CB46A">
      <w:pPr>
        <w:pStyle w:val="5"/>
        <w:spacing w:line="360" w:lineRule="auto"/>
        <w:ind w:firstLine="420" w:firstLineChars="200"/>
      </w:pPr>
      <w:r>
        <w:rPr>
          <w:rFonts w:hint="eastAsia"/>
        </w:rPr>
        <w:t>（c）核验投标人资格证件。</w:t>
      </w:r>
    </w:p>
    <w:p w14:paraId="34DC2ED6">
      <w:pPr>
        <w:pStyle w:val="5"/>
        <w:spacing w:line="360" w:lineRule="auto"/>
        <w:ind w:firstLine="420" w:firstLineChars="200"/>
      </w:pPr>
      <w:r>
        <w:rPr>
          <w:rFonts w:hint="eastAsia"/>
        </w:rPr>
        <w:t>（d）投标人或投标人推选的代表对投标文件密封情况进行检查（投标人未参加开标会议的，视同认可投标文件密封完好）。</w:t>
      </w:r>
    </w:p>
    <w:p w14:paraId="17B9C456">
      <w:pPr>
        <w:pStyle w:val="5"/>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7B7D0E47">
      <w:pPr>
        <w:pStyle w:val="5"/>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1F6EE113">
      <w:pPr>
        <w:spacing w:line="360" w:lineRule="auto"/>
        <w:ind w:firstLine="420" w:firstLineChars="200"/>
        <w:rPr>
          <w:rFonts w:hint="eastAsia"/>
        </w:rPr>
      </w:pPr>
      <w:r>
        <w:rPr>
          <w:rFonts w:hint="eastAsia"/>
        </w:rPr>
        <w:t>（g）技术标评分不带入商务标，按照评标合理最低价选择中标厂家。</w:t>
      </w:r>
    </w:p>
    <w:p w14:paraId="795D53B2">
      <w:pPr>
        <w:spacing w:line="360" w:lineRule="auto"/>
        <w:ind w:firstLine="420" w:firstLineChars="200"/>
        <w:rPr>
          <w:rFonts w:hint="eastAsia"/>
        </w:rPr>
      </w:pPr>
      <w:r>
        <w:rPr>
          <w:rFonts w:hint="eastAsia"/>
        </w:rPr>
        <w:t>（h）招标人有权根据项目情况，采取多级评标模式，最终确定投标人排序。</w:t>
      </w:r>
    </w:p>
    <w:p w14:paraId="455278D2">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14:paraId="6A8A10E0">
      <w:pPr>
        <w:spacing w:line="360" w:lineRule="auto"/>
        <w:ind w:firstLine="420" w:firstLineChars="200"/>
        <w:rPr>
          <w:rFonts w:hint="eastAsia" w:eastAsia="宋体"/>
          <w:lang w:eastAsia="zh-CN"/>
        </w:rPr>
      </w:pPr>
      <w:r>
        <w:rPr>
          <w:rFonts w:hint="eastAsia"/>
        </w:rPr>
        <w:t>(4)</w:t>
      </w:r>
      <w:r>
        <w:rPr>
          <w:rFonts w:hint="eastAsia"/>
          <w:highlight w:val="none"/>
        </w:rPr>
        <w:t>所有报价货币单位均为：元（人民币，</w:t>
      </w:r>
      <w:r>
        <w:rPr>
          <w:rFonts w:hint="eastAsia"/>
          <w:highlight w:val="none"/>
          <w:lang w:val="en-US" w:eastAsia="zh-CN"/>
        </w:rPr>
        <w:t>不</w:t>
      </w:r>
      <w:r>
        <w:rPr>
          <w:rFonts w:hint="eastAsia"/>
          <w:highlight w:val="none"/>
        </w:rPr>
        <w:t>含税）</w:t>
      </w:r>
      <w:r>
        <w:rPr>
          <w:rFonts w:hint="eastAsia"/>
          <w:highlight w:val="none"/>
          <w:lang w:eastAsia="zh-CN"/>
        </w:rPr>
        <w:t>，</w:t>
      </w:r>
      <w:r>
        <w:rPr>
          <w:rFonts w:hint="eastAsia"/>
          <w:highlight w:val="none"/>
          <w:lang w:val="en-US" w:eastAsia="zh-CN"/>
        </w:rPr>
        <w:t>税率9%，元（</w:t>
      </w:r>
      <w:r>
        <w:rPr>
          <w:rFonts w:hint="eastAsia"/>
        </w:rPr>
        <w:t>人民币，含税）</w:t>
      </w:r>
      <w:r>
        <w:rPr>
          <w:rFonts w:hint="eastAsia"/>
          <w:highlight w:val="none"/>
          <w:lang w:val="en-US" w:eastAsia="zh-CN"/>
        </w:rPr>
        <w:t>，</w:t>
      </w:r>
      <w:r>
        <w:rPr>
          <w:rFonts w:hint="eastAsia"/>
          <w:highlight w:val="yellow"/>
        </w:rPr>
        <w:t>所有项目单价</w:t>
      </w:r>
      <w:r>
        <w:rPr>
          <w:rFonts w:hint="eastAsia"/>
          <w:highlight w:val="yellow"/>
          <w:lang w:val="en-US" w:eastAsia="zh-CN"/>
        </w:rPr>
        <w:t>报价不得高于项目基价</w:t>
      </w:r>
      <w:r>
        <w:rPr>
          <w:rFonts w:hint="eastAsia"/>
        </w:rPr>
        <w:t>。</w:t>
      </w:r>
      <w:r>
        <w:rPr>
          <w:rFonts w:hint="eastAsia"/>
          <w:lang w:val="en-US" w:eastAsia="zh-CN"/>
        </w:rPr>
        <w:t>项目</w:t>
      </w:r>
      <w:r>
        <w:rPr>
          <w:rFonts w:hint="eastAsia"/>
        </w:rPr>
        <w:t>基价见附件《</w:t>
      </w:r>
      <w:r>
        <w:rPr>
          <w:rFonts w:hint="eastAsia"/>
          <w:lang w:eastAsia="zh-CN"/>
        </w:rPr>
        <w:t>2026年中国重汽集团能源管道设施年度维修项目分项报价表</w:t>
      </w:r>
      <w:r>
        <w:rPr>
          <w:rFonts w:hint="eastAsia"/>
        </w:rPr>
        <w:t>》</w:t>
      </w:r>
      <w:r>
        <w:rPr>
          <w:rFonts w:hint="eastAsia"/>
          <w:lang w:eastAsia="zh-CN"/>
        </w:rPr>
        <w:t>。</w:t>
      </w:r>
    </w:p>
    <w:p w14:paraId="28007D7D">
      <w:pPr>
        <w:spacing w:line="360" w:lineRule="auto"/>
        <w:ind w:firstLine="420" w:firstLineChars="200"/>
        <w:rPr>
          <w:rFonts w:ascii="宋体" w:hAnsi="Courier New"/>
        </w:rPr>
      </w:pPr>
      <w:r>
        <w:rPr>
          <w:rFonts w:hint="eastAsia" w:ascii="宋体" w:hAnsi="Courier New"/>
        </w:rPr>
        <w:t>3.评标</w:t>
      </w:r>
    </w:p>
    <w:p w14:paraId="62299AF5">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4417F186">
      <w:pPr>
        <w:spacing w:line="360" w:lineRule="auto"/>
        <w:ind w:firstLine="422" w:firstLineChars="200"/>
      </w:pPr>
      <w:r>
        <w:rPr>
          <w:rFonts w:hint="eastAsia" w:ascii="宋体" w:hAnsi="Courier New" w:eastAsia="宋体" w:cs="Times New Roman"/>
          <w:b/>
          <w:szCs w:val="20"/>
        </w:rPr>
        <w:t>本次评标</w:t>
      </w:r>
      <w:r>
        <w:rPr>
          <w:rFonts w:hint="eastAsia" w:ascii="宋体" w:hAnsi="Courier New" w:eastAsia="宋体" w:cs="Times New Roman"/>
          <w:b/>
          <w:szCs w:val="20"/>
          <w:lang w:val="en-US" w:eastAsia="zh-CN"/>
        </w:rPr>
        <w:t>按照合理最低价的原则选择中标厂家，本次招标中标</w:t>
      </w:r>
      <w:r>
        <w:rPr>
          <w:rFonts w:hint="eastAsia" w:ascii="宋体" w:hAnsi="Courier New" w:cs="Times New Roman"/>
          <w:b/>
          <w:szCs w:val="20"/>
          <w:lang w:val="en-US" w:eastAsia="zh-CN"/>
        </w:rPr>
        <w:t>仅1</w:t>
      </w:r>
      <w:r>
        <w:rPr>
          <w:rFonts w:hint="eastAsia" w:ascii="宋体" w:hAnsi="Courier New" w:eastAsia="宋体" w:cs="Times New Roman"/>
          <w:b/>
          <w:szCs w:val="20"/>
          <w:lang w:val="en-US" w:eastAsia="zh-CN"/>
        </w:rPr>
        <w:t>中标人</w:t>
      </w:r>
      <w:r>
        <w:rPr>
          <w:rFonts w:hint="eastAsia" w:ascii="宋体" w:hAnsi="Courier New" w:eastAsia="宋体" w:cs="Times New Roman"/>
          <w:b/>
          <w:szCs w:val="20"/>
        </w:rPr>
        <w:t>。</w:t>
      </w:r>
      <w:r>
        <w:rPr>
          <w:rFonts w:hint="eastAsia" w:ascii="宋体" w:hAnsi="Courier New"/>
          <w:b/>
        </w:rPr>
        <w:br w:type="page"/>
      </w:r>
    </w:p>
    <w:p w14:paraId="7515EBD6">
      <w:pPr>
        <w:pStyle w:val="5"/>
        <w:numPr>
          <w:ilvl w:val="0"/>
          <w:numId w:val="3"/>
        </w:numPr>
        <w:spacing w:line="360" w:lineRule="auto"/>
        <w:ind w:firstLine="420" w:firstLineChars="200"/>
        <w:rPr>
          <w:rFonts w:hAnsi="宋体"/>
          <w:szCs w:val="21"/>
        </w:rPr>
      </w:pPr>
      <w:r>
        <w:rPr>
          <w:rFonts w:hint="eastAsia" w:hAnsi="宋体"/>
          <w:szCs w:val="21"/>
        </w:rPr>
        <w:t>评分标准</w:t>
      </w:r>
      <w:r>
        <w:rPr>
          <w:rFonts w:hint="eastAsia" w:hAnsi="宋体"/>
          <w:szCs w:val="21"/>
          <w:lang w:eastAsia="zh-CN"/>
        </w:rPr>
        <w:t>、</w:t>
      </w:r>
    </w:p>
    <w:tbl>
      <w:tblPr>
        <w:tblStyle w:val="10"/>
        <w:tblW w:w="5010" w:type="pct"/>
        <w:jc w:val="center"/>
        <w:tblLayout w:type="fixed"/>
        <w:tblCellMar>
          <w:top w:w="0" w:type="dxa"/>
          <w:left w:w="0" w:type="dxa"/>
          <w:bottom w:w="0" w:type="dxa"/>
          <w:right w:w="0" w:type="dxa"/>
        </w:tblCellMar>
      </w:tblPr>
      <w:tblGrid>
        <w:gridCol w:w="610"/>
        <w:gridCol w:w="494"/>
        <w:gridCol w:w="808"/>
        <w:gridCol w:w="565"/>
        <w:gridCol w:w="6635"/>
      </w:tblGrid>
      <w:tr w14:paraId="1658E97B">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9B9ECC5">
            <w:pPr>
              <w:widowControl/>
              <w:jc w:val="center"/>
              <w:textAlignment w:val="center"/>
              <w:rPr>
                <w:rFonts w:ascii="宋体" w:cs="宋体"/>
                <w:kern w:val="0"/>
                <w:szCs w:val="21"/>
              </w:rPr>
            </w:pPr>
            <w:r>
              <w:rPr>
                <w:rFonts w:hint="eastAsia" w:ascii="宋体" w:cs="宋体"/>
                <w:kern w:val="0"/>
                <w:szCs w:val="21"/>
              </w:rPr>
              <w:t>评标</w:t>
            </w:r>
          </w:p>
          <w:p w14:paraId="4AB35D02">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C341B04">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D4DAF">
            <w:pPr>
              <w:widowControl/>
              <w:jc w:val="center"/>
              <w:textAlignment w:val="center"/>
              <w:rPr>
                <w:rFonts w:ascii="宋体" w:cs="宋体"/>
                <w:szCs w:val="21"/>
              </w:rPr>
            </w:pPr>
            <w:r>
              <w:rPr>
                <w:rFonts w:hint="eastAsia" w:ascii="宋体" w:cs="宋体"/>
                <w:kern w:val="0"/>
                <w:szCs w:val="21"/>
              </w:rPr>
              <w:t>评价内容</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82FE1C">
            <w:pPr>
              <w:widowControl/>
              <w:jc w:val="center"/>
              <w:textAlignment w:val="center"/>
              <w:rPr>
                <w:rFonts w:ascii="宋体" w:cs="宋体"/>
                <w:kern w:val="0"/>
                <w:szCs w:val="21"/>
              </w:rPr>
            </w:pPr>
            <w:r>
              <w:rPr>
                <w:rFonts w:hint="eastAsia" w:ascii="宋体" w:cs="宋体"/>
                <w:kern w:val="0"/>
                <w:szCs w:val="21"/>
              </w:rPr>
              <w:t>最高</w:t>
            </w:r>
          </w:p>
          <w:p w14:paraId="718B979F">
            <w:pPr>
              <w:widowControl/>
              <w:jc w:val="center"/>
              <w:textAlignment w:val="center"/>
              <w:rPr>
                <w:rFonts w:ascii="宋体" w:cs="宋体"/>
                <w:szCs w:val="21"/>
              </w:rPr>
            </w:pPr>
            <w:r>
              <w:rPr>
                <w:rFonts w:hint="eastAsia" w:ascii="宋体" w:cs="宋体"/>
                <w:kern w:val="0"/>
                <w:szCs w:val="21"/>
              </w:rPr>
              <w:t>得分</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F680C07">
            <w:pPr>
              <w:widowControl/>
              <w:jc w:val="center"/>
              <w:textAlignment w:val="center"/>
              <w:rPr>
                <w:rFonts w:ascii="宋体" w:cs="宋体"/>
                <w:szCs w:val="21"/>
              </w:rPr>
            </w:pPr>
            <w:r>
              <w:rPr>
                <w:rFonts w:hint="eastAsia" w:ascii="宋体" w:cs="宋体"/>
                <w:kern w:val="0"/>
                <w:szCs w:val="21"/>
              </w:rPr>
              <w:t>评分标准</w:t>
            </w:r>
          </w:p>
        </w:tc>
      </w:tr>
      <w:tr w14:paraId="51081B2F">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36143651">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3C27D7EF">
            <w:pPr>
              <w:jc w:val="center"/>
              <w:rPr>
                <w:rFonts w:hint="default" w:ascii="宋体" w:eastAsia="宋体" w:cs="宋体"/>
                <w:szCs w:val="21"/>
                <w:lang w:val="en-US" w:eastAsia="zh-CN"/>
              </w:rPr>
            </w:pPr>
            <w:r>
              <w:rPr>
                <w:rFonts w:hint="eastAsia" w:ascii="宋体" w:cs="宋体"/>
                <w:szCs w:val="21"/>
                <w:lang w:val="en-US" w:eastAsia="zh-CN"/>
              </w:rPr>
              <w:t>100</w:t>
            </w:r>
          </w:p>
        </w:tc>
        <w:tc>
          <w:tcPr>
            <w:tcW w:w="443" w:type="pct"/>
            <w:tcBorders>
              <w:top w:val="single" w:color="000000" w:sz="4" w:space="0"/>
              <w:left w:val="single" w:color="auto" w:sz="4" w:space="0"/>
              <w:right w:val="single" w:color="000000" w:sz="4" w:space="0"/>
            </w:tcBorders>
            <w:noWrap/>
            <w:tcMar>
              <w:top w:w="12" w:type="dxa"/>
              <w:left w:w="12" w:type="dxa"/>
              <w:right w:w="12" w:type="dxa"/>
            </w:tcMar>
            <w:vAlign w:val="center"/>
          </w:tcPr>
          <w:p w14:paraId="41A824E6">
            <w:pPr>
              <w:widowControl/>
              <w:jc w:val="center"/>
              <w:textAlignment w:val="center"/>
              <w:rPr>
                <w:rFonts w:ascii="宋体" w:cs="宋体"/>
                <w:szCs w:val="21"/>
              </w:rPr>
            </w:pPr>
            <w:r>
              <w:rPr>
                <w:rFonts w:hint="eastAsia" w:ascii="宋体" w:cs="宋体"/>
                <w:kern w:val="0"/>
                <w:szCs w:val="21"/>
              </w:rPr>
              <w:t>技术方案及组织措施</w:t>
            </w:r>
          </w:p>
        </w:tc>
        <w:tc>
          <w:tcPr>
            <w:tcW w:w="309"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71A124FF">
            <w:pPr>
              <w:jc w:val="center"/>
              <w:rPr>
                <w:rFonts w:hint="default" w:ascii="宋体" w:eastAsia="宋体" w:cs="宋体"/>
                <w:szCs w:val="21"/>
                <w:lang w:val="en-US" w:eastAsia="zh-CN"/>
              </w:rPr>
            </w:pPr>
            <w:r>
              <w:rPr>
                <w:rFonts w:hint="eastAsia" w:ascii="宋体" w:cs="宋体"/>
                <w:szCs w:val="21"/>
                <w:lang w:val="en-US" w:eastAsia="zh-CN"/>
              </w:rPr>
              <w:t>60</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0637ADA">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投标人对项目中</w:t>
            </w:r>
            <w:r>
              <w:rPr>
                <w:rFonts w:hint="eastAsia" w:ascii="宋体" w:hAnsi="宋体" w:cs="宋体"/>
                <w:lang w:val="en-US" w:eastAsia="zh-CN"/>
              </w:rPr>
              <w:t>管道类设施维修</w:t>
            </w:r>
            <w:r>
              <w:rPr>
                <w:rFonts w:hint="eastAsia" w:ascii="宋体" w:hAnsi="宋体" w:cs="宋体"/>
              </w:rPr>
              <w:t>方案及组织措施具体，技术先进，并列出较多具备相关资质与经验的施工人员及维修设备，酌情得</w:t>
            </w:r>
            <w:r>
              <w:rPr>
                <w:rFonts w:hint="eastAsia" w:ascii="宋体" w:hAnsi="宋体" w:cs="宋体"/>
                <w:lang w:val="en-US" w:eastAsia="zh-CN"/>
              </w:rPr>
              <w:t>36-60</w:t>
            </w:r>
            <w:r>
              <w:rPr>
                <w:rFonts w:hint="eastAsia" w:ascii="宋体" w:hAnsi="宋体" w:cs="宋体"/>
              </w:rPr>
              <w:t>分；</w:t>
            </w:r>
          </w:p>
          <w:p w14:paraId="3CAE2C5F">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w:t>
            </w:r>
            <w:r>
              <w:rPr>
                <w:rFonts w:hint="eastAsia" w:ascii="宋体" w:hAnsi="宋体" w:cs="宋体"/>
                <w:lang w:val="en-US" w:eastAsia="zh-CN"/>
              </w:rPr>
              <w:t>18-36</w:t>
            </w:r>
            <w:r>
              <w:rPr>
                <w:rFonts w:hint="eastAsia" w:ascii="宋体" w:hAnsi="宋体" w:cs="宋体"/>
              </w:rPr>
              <w:t>分；</w:t>
            </w:r>
          </w:p>
          <w:p w14:paraId="7BAEC890">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41147529">
            <w:pPr>
              <w:widowControl/>
              <w:jc w:val="left"/>
              <w:textAlignment w:val="center"/>
              <w:rPr>
                <w:rFonts w:ascii="宋体" w:cs="宋体"/>
                <w:szCs w:val="21"/>
              </w:rPr>
            </w:pPr>
            <w:r>
              <w:rPr>
                <w:rFonts w:hint="eastAsia" w:ascii="宋体" w:hAnsi="宋体" w:cs="宋体"/>
              </w:rPr>
              <w:t>注：资质文件需有相关资质证明，原件或复印件</w:t>
            </w:r>
          </w:p>
        </w:tc>
      </w:tr>
      <w:tr w14:paraId="72EA2D9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5C3994B"/>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3A0FADCD"/>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4CCF9F08">
            <w:pPr>
              <w:jc w:val="center"/>
              <w:rPr>
                <w:rFonts w:ascii="宋体" w:cs="宋体"/>
                <w:szCs w:val="21"/>
              </w:rPr>
            </w:pPr>
            <w:r>
              <w:rPr>
                <w:rFonts w:hint="eastAsia" w:ascii="宋体" w:hAnsi="宋体" w:cs="宋体"/>
                <w:szCs w:val="21"/>
              </w:rPr>
              <w:t>现场答疑</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3B542D">
            <w:pPr>
              <w:jc w:val="center"/>
              <w:rPr>
                <w:rFonts w:hint="default" w:ascii="宋体" w:eastAsia="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5237D9">
            <w:pPr>
              <w:widowControl/>
              <w:jc w:val="left"/>
              <w:textAlignment w:val="center"/>
              <w:rPr>
                <w:rFonts w:ascii="宋体" w:cs="宋体"/>
                <w:szCs w:val="21"/>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10</w:t>
            </w:r>
            <w:r>
              <w:rPr>
                <w:rFonts w:hint="eastAsia" w:ascii="宋体" w:hAnsi="宋体" w:cs="宋体"/>
                <w:kern w:val="0"/>
                <w:szCs w:val="21"/>
                <w:lang w:bidi="ar"/>
              </w:rPr>
              <w:t xml:space="preserve">分； </w:t>
            </w:r>
          </w:p>
        </w:tc>
      </w:tr>
      <w:tr w14:paraId="2C5F36E2">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D46BC8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EAA6BF7"/>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18FB26AC">
            <w:pPr>
              <w:jc w:val="center"/>
              <w:rPr>
                <w:rFonts w:hint="eastAsia" w:ascii="宋体" w:cs="宋体"/>
                <w:szCs w:val="21"/>
                <w:lang w:val="en-US" w:eastAsia="zh-CN"/>
              </w:rPr>
            </w:pPr>
            <w:r>
              <w:rPr>
                <w:rFonts w:hint="eastAsia" w:ascii="宋体" w:cs="宋体"/>
                <w:szCs w:val="21"/>
                <w:lang w:val="en-US" w:eastAsia="zh-CN"/>
              </w:rPr>
              <w:t>条款响应</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6F04AE">
            <w:pPr>
              <w:jc w:val="center"/>
              <w:rPr>
                <w:rFonts w:hint="default" w:ascii="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F89885">
            <w:pPr>
              <w:widowControl/>
              <w:jc w:val="left"/>
              <w:textAlignment w:val="center"/>
              <w:rPr>
                <w:rFonts w:hint="eastAsia" w:ascii="宋体" w:hAnsi="宋体" w:cs="宋体"/>
                <w:kern w:val="0"/>
                <w:szCs w:val="21"/>
                <w:lang w:val="en-US" w:eastAsia="zh-CN" w:bidi="ar"/>
              </w:rPr>
            </w:pPr>
            <w:r>
              <w:rPr>
                <w:rFonts w:hint="eastAsia" w:ascii="宋体" w:hAnsi="宋体" w:cs="宋体"/>
                <w:kern w:val="0"/>
                <w:szCs w:val="21"/>
                <w:lang w:val="en-US" w:eastAsia="zh-CN" w:bidi="ar"/>
              </w:rPr>
              <w:t>经过有效性和符合性审核合格的投标人，投标文件中对技术要求、付款、供货期等无偏离得6分，每一条正偏离得2分，上限10分。每一条负偏离扣2分，最低0分</w:t>
            </w:r>
          </w:p>
        </w:tc>
      </w:tr>
      <w:tr w14:paraId="60D92881">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9838FB6"/>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CA5D44D"/>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6DADD08">
            <w:pPr>
              <w:jc w:val="center"/>
              <w:rPr>
                <w:rFonts w:ascii="宋体" w:hAnsi="宋体" w:cs="宋体"/>
                <w:color w:val="000000"/>
                <w:szCs w:val="21"/>
                <w:shd w:val="clear" w:color="auto" w:fill="FFFFFF"/>
              </w:rPr>
            </w:pPr>
            <w:r>
              <w:rPr>
                <w:rFonts w:hint="eastAsia" w:ascii="Calibri" w:hAnsi="Calibri"/>
              </w:rPr>
              <w:t>售后服务</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8AD4C6">
            <w:pPr>
              <w:widowControl/>
              <w:ind w:firstLine="210" w:firstLineChars="100"/>
              <w:jc w:val="left"/>
              <w:textAlignment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63837B">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w:t>
            </w:r>
            <w:r>
              <w:rPr>
                <w:rFonts w:hint="eastAsia" w:ascii="宋体" w:hAnsi="宋体" w:cs="宋体"/>
                <w:kern w:val="0"/>
                <w:szCs w:val="21"/>
                <w:lang w:val="en-US" w:eastAsia="zh-CN" w:bidi="ar"/>
              </w:rPr>
              <w:t>情得1-10分</w:t>
            </w:r>
          </w:p>
        </w:tc>
      </w:tr>
      <w:tr w14:paraId="15B3BF89">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F09FED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00174A9"/>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2F99313">
            <w:pPr>
              <w:jc w:val="center"/>
              <w:rPr>
                <w:rFonts w:ascii="宋体" w:cs="宋体"/>
                <w:szCs w:val="21"/>
              </w:rPr>
            </w:pPr>
            <w:r>
              <w:rPr>
                <w:rFonts w:hint="eastAsia" w:ascii="宋体" w:hAnsi="宋体" w:cs="宋体"/>
                <w:color w:val="000000"/>
                <w:szCs w:val="21"/>
                <w:shd w:val="clear" w:color="auto" w:fill="FFFFFF"/>
              </w:rPr>
              <w:t>业绩</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AE6208">
            <w:pPr>
              <w:jc w:val="center"/>
              <w:rPr>
                <w:rFonts w:hint="default" w:ascii="宋体" w:eastAsia="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52E746">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w:t>
            </w:r>
            <w:r>
              <w:rPr>
                <w:rFonts w:hint="eastAsia" w:ascii="宋体" w:hAnsi="宋体" w:cs="Calibri"/>
                <w:bCs/>
                <w:szCs w:val="21"/>
                <w:lang w:val="en-US" w:eastAsia="zh-CN"/>
              </w:rPr>
              <w:t>20</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2</w:t>
            </w:r>
            <w:r>
              <w:rPr>
                <w:rFonts w:hint="eastAsia" w:ascii="宋体" w:hAnsi="宋体" w:cs="宋体"/>
              </w:rPr>
              <w:t>分，最多得</w:t>
            </w:r>
            <w:r>
              <w:rPr>
                <w:rFonts w:hint="eastAsia" w:ascii="宋体" w:hAnsi="宋体" w:cs="宋体"/>
                <w:lang w:val="en-US" w:eastAsia="zh-CN"/>
              </w:rPr>
              <w:t>10</w:t>
            </w:r>
            <w:r>
              <w:rPr>
                <w:rFonts w:hint="eastAsia" w:ascii="宋体" w:hAnsi="宋体" w:cs="宋体"/>
              </w:rPr>
              <w:t>分</w:t>
            </w:r>
          </w:p>
        </w:tc>
      </w:tr>
      <w:tr w14:paraId="431A9C1E">
        <w:tblPrEx>
          <w:tblCellMar>
            <w:top w:w="0" w:type="dxa"/>
            <w:left w:w="0" w:type="dxa"/>
            <w:bottom w:w="0" w:type="dxa"/>
            <w:right w:w="0" w:type="dxa"/>
          </w:tblCellMar>
        </w:tblPrEx>
        <w:trPr>
          <w:cantSplit/>
          <w:trHeight w:val="2199" w:hRule="atLeast"/>
          <w:jc w:val="center"/>
        </w:trPr>
        <w:tc>
          <w:tcPr>
            <w:tcW w:w="334"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9AA42A2">
            <w:pPr>
              <w:widowControl/>
              <w:jc w:val="center"/>
              <w:textAlignment w:val="center"/>
              <w:rPr>
                <w:rFonts w:ascii="宋体" w:cs="宋体"/>
                <w:szCs w:val="21"/>
              </w:rPr>
            </w:pPr>
            <w:r>
              <w:rPr>
                <w:rFonts w:hint="eastAsia" w:ascii="宋体" w:cs="宋体"/>
                <w:kern w:val="0"/>
                <w:szCs w:val="21"/>
              </w:rPr>
              <w:t>商务标</w:t>
            </w:r>
          </w:p>
        </w:tc>
        <w:tc>
          <w:tcPr>
            <w:tcW w:w="1024" w:type="pct"/>
            <w:gridSpan w:val="3"/>
            <w:tcBorders>
              <w:top w:val="single" w:color="auto" w:sz="4" w:space="0"/>
              <w:left w:val="single" w:color="000000" w:sz="4" w:space="0"/>
              <w:right w:val="single" w:color="000000" w:sz="4" w:space="0"/>
            </w:tcBorders>
            <w:noWrap/>
            <w:tcMar>
              <w:top w:w="12" w:type="dxa"/>
              <w:left w:w="12" w:type="dxa"/>
              <w:right w:w="12" w:type="dxa"/>
            </w:tcMar>
            <w:vAlign w:val="center"/>
          </w:tcPr>
          <w:p w14:paraId="3A133730">
            <w:pPr>
              <w:jc w:val="center"/>
              <w:rPr>
                <w:rFonts w:hint="default" w:ascii="宋体" w:eastAsia="宋体" w:cs="宋体"/>
                <w:szCs w:val="21"/>
                <w:lang w:val="en-US" w:eastAsia="zh-CN"/>
              </w:rPr>
            </w:pPr>
            <w:r>
              <w:rPr>
                <w:rFonts w:hint="eastAsia" w:ascii="宋体" w:cs="宋体"/>
                <w:szCs w:val="21"/>
                <w:lang w:val="en-US" w:eastAsia="zh-CN"/>
              </w:rPr>
              <w:t>投标报价</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574CC0C">
            <w:pPr>
              <w:jc w:val="left"/>
              <w:textAlignment w:val="center"/>
              <w:rPr>
                <w:rFonts w:ascii="宋体" w:cs="宋体"/>
                <w:szCs w:val="21"/>
              </w:rPr>
            </w:pPr>
            <w:r>
              <w:rPr>
                <w:rFonts w:hint="eastAsia" w:ascii="宋体" w:hAnsi="宋体" w:eastAsia="宋体" w:cs="宋体"/>
                <w:i w:val="0"/>
                <w:color w:val="000000"/>
                <w:kern w:val="0"/>
                <w:sz w:val="21"/>
                <w:szCs w:val="21"/>
                <w:highlight w:val="none"/>
                <w:u w:val="none"/>
                <w:lang w:val="en-US" w:eastAsia="zh-CN" w:bidi="ar"/>
              </w:rPr>
              <w:t>1.经初审合格的投标文件其投标报价为有效报价。</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2.</w:t>
            </w:r>
            <w:r>
              <w:rPr>
                <w:rFonts w:hint="eastAsia" w:ascii="宋体" w:hAnsi="宋体" w:cs="宋体"/>
                <w:color w:val="000000"/>
                <w:kern w:val="0"/>
                <w:szCs w:val="21"/>
                <w:lang w:bidi="ar"/>
              </w:rPr>
              <w:t>按照投标价格高低排名；</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.评标价格均以元（RMB）为单位计算，百分率、得分值小数点后保留两位，第三位四舍五入。</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4</w:t>
            </w:r>
            <w:r>
              <w:rPr>
                <w:rFonts w:hint="eastAsia" w:ascii="宋体" w:hAnsi="宋体" w:eastAsia="宋体" w:cs="宋体"/>
                <w:i w:val="0"/>
                <w:color w:val="000000"/>
                <w:kern w:val="0"/>
                <w:sz w:val="21"/>
                <w:szCs w:val="21"/>
                <w:highlight w:val="none"/>
                <w:u w:val="none"/>
                <w:lang w:val="en-US" w:eastAsia="zh-CN" w:bidi="ar"/>
              </w:rPr>
              <w:t>.评标委员会二分之一以上人员认为某投标总报价有低于成本价嫌疑的，视为无效报价，不进入下一步评审。</w:t>
            </w:r>
          </w:p>
        </w:tc>
      </w:tr>
      <w:tr w14:paraId="401E1B8E">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B385EB">
            <w:pPr>
              <w:widowControl/>
              <w:jc w:val="left"/>
            </w:pPr>
            <w:r>
              <w:rPr>
                <w:rFonts w:hint="eastAsia"/>
              </w:rPr>
              <w:t>备注：</w:t>
            </w:r>
          </w:p>
          <w:p w14:paraId="2E81DA74">
            <w:pPr>
              <w:widowControl/>
              <w:numPr>
                <w:ilvl w:val="0"/>
                <w:numId w:val="5"/>
              </w:numPr>
              <w:jc w:val="left"/>
              <w:rPr>
                <w:highlight w:val="none"/>
              </w:rPr>
            </w:pPr>
            <w:r>
              <w:rPr>
                <w:rFonts w:hint="eastAsia"/>
              </w:rPr>
              <w:t>通过</w:t>
            </w:r>
            <w:r>
              <w:rPr>
                <w:rFonts w:hint="eastAsia"/>
                <w:highlight w:val="none"/>
              </w:rPr>
              <w:t>初审者为有效投标</w:t>
            </w:r>
            <w:r>
              <w:rPr>
                <w:rFonts w:hint="eastAsia"/>
                <w:highlight w:val="none"/>
                <w:lang w:eastAsia="zh-CN"/>
              </w:rPr>
              <w:t>，</w:t>
            </w:r>
            <w:r>
              <w:rPr>
                <w:rFonts w:hint="eastAsia"/>
                <w:highlight w:val="none"/>
                <w:lang w:val="en-US" w:eastAsia="zh-CN"/>
              </w:rPr>
              <w:t>技术标得分超过80分进入商务标；。</w:t>
            </w:r>
          </w:p>
          <w:p w14:paraId="7E86DFE4">
            <w:pPr>
              <w:widowControl/>
              <w:jc w:val="left"/>
              <w:rPr>
                <w:rFonts w:hint="eastAsia"/>
                <w:highlight w:val="none"/>
              </w:rPr>
            </w:pPr>
            <w:r>
              <w:rPr>
                <w:rFonts w:hint="eastAsia"/>
                <w:highlight w:val="none"/>
                <w:lang w:val="en-US" w:eastAsia="zh-CN"/>
              </w:rPr>
              <w:t>2、</w:t>
            </w:r>
            <w:r>
              <w:rPr>
                <w:rFonts w:hint="eastAsia"/>
                <w:highlight w:val="none"/>
              </w:rPr>
              <w:t>商务分相同的，依照技术优先次序进行排名。若上述排名皆相同的，则由全体评委成员无记名投票，得票高者排序在前。</w:t>
            </w:r>
          </w:p>
          <w:p w14:paraId="3F53D74F">
            <w:pPr>
              <w:widowControl/>
              <w:jc w:val="left"/>
              <w:rPr>
                <w:highlight w:val="none"/>
              </w:rPr>
            </w:pPr>
            <w:r>
              <w:rPr>
                <w:rFonts w:hint="eastAsia"/>
                <w:highlight w:val="none"/>
              </w:rPr>
              <w:t>3、评委打分不得超过得分界限。</w:t>
            </w:r>
          </w:p>
          <w:p w14:paraId="14DCCA94">
            <w:pPr>
              <w:widowControl/>
              <w:jc w:val="left"/>
              <w:rPr>
                <w:highlight w:val="none"/>
              </w:rPr>
            </w:pPr>
            <w:r>
              <w:rPr>
                <w:rFonts w:hint="eastAsia"/>
                <w:highlight w:val="none"/>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715CEB1E">
            <w:pPr>
              <w:widowControl/>
              <w:spacing w:line="240" w:lineRule="auto"/>
              <w:jc w:val="left"/>
              <w:rPr>
                <w:rFonts w:hint="eastAsia"/>
                <w:highlight w:val="none"/>
              </w:rPr>
            </w:pPr>
            <w:r>
              <w:rPr>
                <w:rFonts w:hint="eastAsia"/>
                <w:highlight w:val="none"/>
                <w:lang w:val="en-US" w:eastAsia="zh-CN"/>
              </w:rPr>
              <w:t>5</w:t>
            </w:r>
            <w:r>
              <w:rPr>
                <w:rFonts w:hint="eastAsia"/>
                <w:highlight w:val="none"/>
              </w:rPr>
              <w:t>、交货期为一票否决项，无法满足交货期所有项得0分。</w:t>
            </w:r>
          </w:p>
          <w:p w14:paraId="25E23613">
            <w:pPr>
              <w:pStyle w:val="3"/>
              <w:rPr>
                <w:rFonts w:hint="default"/>
                <w:lang w:val="en-US" w:eastAsia="zh-CN"/>
              </w:rPr>
            </w:pPr>
            <w:r>
              <w:rPr>
                <w:rFonts w:hint="eastAsia" w:ascii="Times New Roman" w:hAnsi="Times New Roman" w:eastAsia="宋体" w:cs="Times New Roman"/>
                <w:color w:val="auto"/>
                <w:kern w:val="2"/>
                <w:sz w:val="21"/>
                <w:szCs w:val="20"/>
                <w:highlight w:val="none"/>
                <w:lang w:val="en-US" w:eastAsia="zh-CN" w:bidi="ar-SA"/>
              </w:rPr>
              <w:t>6、</w:t>
            </w:r>
            <w:r>
              <w:rPr>
                <w:rFonts w:hint="eastAsia" w:ascii="Times New Roman" w:hAnsi="Times New Roman" w:eastAsia="宋体" w:cs="Times New Roman"/>
                <w:color w:val="FF0000"/>
                <w:kern w:val="2"/>
                <w:sz w:val="21"/>
                <w:szCs w:val="20"/>
                <w:highlight w:val="none"/>
                <w:lang w:val="en-US" w:eastAsia="zh-CN" w:bidi="ar-SA"/>
              </w:rPr>
              <w:t>本次招标仅1个投标人中标。</w:t>
            </w:r>
          </w:p>
        </w:tc>
      </w:tr>
    </w:tbl>
    <w:p w14:paraId="0F6356B4">
      <w:pPr>
        <w:pStyle w:val="5"/>
        <w:spacing w:line="360" w:lineRule="auto"/>
        <w:rPr>
          <w:rFonts w:hint="eastAsia" w:ascii="黑体" w:eastAsia="黑体"/>
          <w:b/>
          <w:bCs/>
          <w:sz w:val="28"/>
        </w:rPr>
      </w:pPr>
    </w:p>
    <w:p w14:paraId="7931F4BD">
      <w:pPr>
        <w:pStyle w:val="5"/>
        <w:spacing w:line="360" w:lineRule="auto"/>
        <w:rPr>
          <w:rFonts w:ascii="黑体" w:eastAsia="黑体"/>
          <w:b/>
          <w:bCs/>
          <w:sz w:val="28"/>
        </w:rPr>
      </w:pPr>
      <w:r>
        <w:rPr>
          <w:rFonts w:hint="eastAsia" w:ascii="黑体" w:eastAsia="黑体"/>
          <w:b/>
          <w:bCs/>
          <w:sz w:val="28"/>
        </w:rPr>
        <w:t>八、合同签订</w:t>
      </w:r>
    </w:p>
    <w:p w14:paraId="1E9B60BE">
      <w:pPr>
        <w:pStyle w:val="5"/>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F9FF012">
      <w:pPr>
        <w:pStyle w:val="5"/>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769B7BBD">
      <w:pPr>
        <w:pStyle w:val="5"/>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7C2B1A35">
      <w:pPr>
        <w:pStyle w:val="5"/>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61314C24">
      <w:pPr>
        <w:pStyle w:val="5"/>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621895B">
      <w:pPr>
        <w:pStyle w:val="5"/>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664B2DB">
      <w:pPr>
        <w:pStyle w:val="5"/>
        <w:spacing w:line="360" w:lineRule="auto"/>
        <w:ind w:firstLine="420" w:firstLineChars="200"/>
        <w:rPr>
          <w:rFonts w:hAnsi="宋体"/>
          <w:szCs w:val="21"/>
        </w:rPr>
      </w:pPr>
      <w:r>
        <w:rPr>
          <w:rFonts w:hint="eastAsia"/>
        </w:rPr>
        <w:t>7.中标人须认可招标人由于招标人上级集团公司政策变化引起的随时终止项目的要求。</w:t>
      </w:r>
    </w:p>
    <w:p w14:paraId="3FE4BB56">
      <w:pPr>
        <w:pStyle w:val="5"/>
        <w:spacing w:line="360" w:lineRule="auto"/>
        <w:rPr>
          <w:rFonts w:ascii="黑体" w:eastAsia="黑体"/>
          <w:b/>
          <w:bCs/>
          <w:sz w:val="28"/>
        </w:rPr>
      </w:pPr>
      <w:r>
        <w:rPr>
          <w:rFonts w:hint="eastAsia" w:ascii="黑体" w:eastAsia="黑体"/>
          <w:b/>
          <w:bCs/>
          <w:sz w:val="28"/>
        </w:rPr>
        <w:t>九、废标及终止招标</w:t>
      </w:r>
    </w:p>
    <w:p w14:paraId="3E7A272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BAB826E">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12D40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4D5F2EB5">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46A67125">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47EF465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2BF9BF18">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14:paraId="081D424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14:paraId="207C7E33">
      <w:pPr>
        <w:spacing w:line="520" w:lineRule="exact"/>
        <w:ind w:right="2" w:firstLine="420" w:firstLineChars="200"/>
        <w:rPr>
          <w:rFonts w:ascii="宋体" w:hAnsi="Courier New"/>
        </w:rPr>
      </w:pPr>
      <w:bookmarkStart w:id="1" w:name="_Hlk80690793"/>
      <w:r>
        <w:rPr>
          <w:rFonts w:hint="eastAsia" w:ascii="宋体" w:hAnsi="宋体"/>
        </w:rPr>
        <w:t>⑻</w:t>
      </w:r>
      <w:bookmarkEnd w:id="1"/>
      <w:r>
        <w:rPr>
          <w:rFonts w:hint="eastAsia" w:ascii="宋体" w:hAnsi="Courier New"/>
        </w:rPr>
        <w:t>中标人不按规定签订合同；</w:t>
      </w:r>
    </w:p>
    <w:p w14:paraId="196DC719">
      <w:pPr>
        <w:spacing w:line="520" w:lineRule="exact"/>
        <w:ind w:right="2" w:firstLine="420" w:firstLineChars="200"/>
        <w:rPr>
          <w:rFonts w:ascii="宋体" w:hAnsi="Courier New"/>
        </w:rPr>
      </w:pPr>
      <w:r>
        <w:rPr>
          <w:rFonts w:hint="eastAsia" w:ascii="宋体" w:hAnsi="Courier New"/>
        </w:rPr>
        <w:t>⑼法律、法规规定的其他情况。</w:t>
      </w:r>
    </w:p>
    <w:p w14:paraId="34F2C5FC">
      <w:pPr>
        <w:spacing w:line="520" w:lineRule="exact"/>
        <w:ind w:right="2" w:firstLine="420" w:firstLineChars="200"/>
        <w:rPr>
          <w:rFonts w:ascii="宋体" w:hAnsi="Courier New"/>
        </w:rPr>
      </w:pPr>
      <w:r>
        <w:rPr>
          <w:rFonts w:hint="eastAsia" w:ascii="宋体" w:hAnsi="Courier New"/>
        </w:rPr>
        <w:t>⑽投标人被举报、检举，并经招标方查实无误的。</w:t>
      </w:r>
    </w:p>
    <w:p w14:paraId="37AB8633">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46D3A3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2A2C5AB4">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253D7B1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ABCEF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4BACF487">
      <w:pPr>
        <w:spacing w:line="520" w:lineRule="exact"/>
        <w:ind w:right="2" w:firstLine="420" w:firstLineChars="200"/>
        <w:rPr>
          <w:rFonts w:ascii="宋体" w:hAnsi="Courier New"/>
        </w:rPr>
      </w:pPr>
      <w:r>
        <w:rPr>
          <w:rFonts w:hint="eastAsia" w:ascii="宋体" w:hAnsi="Courier New"/>
        </w:rPr>
        <w:t>⑸招标人认为其他应终止招标的情形。</w:t>
      </w:r>
    </w:p>
    <w:p w14:paraId="661B1960">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14:paraId="5C688847">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11D4EDF8">
      <w:pPr>
        <w:pStyle w:val="5"/>
        <w:spacing w:line="360" w:lineRule="auto"/>
        <w:rPr>
          <w:rFonts w:ascii="黑体" w:eastAsia="黑体"/>
          <w:b/>
          <w:bCs/>
          <w:sz w:val="28"/>
        </w:rPr>
      </w:pPr>
      <w:r>
        <w:rPr>
          <w:rFonts w:hint="eastAsia" w:ascii="黑体" w:eastAsia="黑体"/>
          <w:b/>
          <w:bCs/>
          <w:sz w:val="28"/>
        </w:rPr>
        <w:t>十、中标人瑕疵滞后发现的处理原则</w:t>
      </w:r>
    </w:p>
    <w:p w14:paraId="5B147A84">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7F2E0085">
      <w:pPr>
        <w:pStyle w:val="5"/>
        <w:spacing w:line="360" w:lineRule="auto"/>
        <w:rPr>
          <w:rFonts w:ascii="黑体" w:eastAsia="黑体"/>
          <w:b/>
          <w:bCs/>
          <w:sz w:val="28"/>
        </w:rPr>
      </w:pPr>
      <w:r>
        <w:rPr>
          <w:rFonts w:hint="eastAsia" w:ascii="黑体" w:eastAsia="黑体"/>
          <w:b/>
          <w:bCs/>
          <w:sz w:val="28"/>
        </w:rPr>
        <w:t>十一、技术要求</w:t>
      </w:r>
    </w:p>
    <w:p w14:paraId="2A0A13F1">
      <w:pPr>
        <w:pStyle w:val="5"/>
        <w:spacing w:line="360" w:lineRule="auto"/>
        <w:ind w:left="420" w:hanging="420" w:hangingChars="200"/>
      </w:pPr>
      <w:r>
        <w:rPr>
          <w:rFonts w:hint="eastAsia"/>
        </w:rPr>
        <w:t xml:space="preserve">    见本招标文件“第三章 技术协议书”，附后。</w:t>
      </w:r>
    </w:p>
    <w:p w14:paraId="106C1A79">
      <w:pPr>
        <w:pStyle w:val="5"/>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14:paraId="613E3E3E">
      <w:pPr>
        <w:pStyle w:val="5"/>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14:paraId="2076324B">
      <w:pPr>
        <w:pStyle w:val="5"/>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14:paraId="399AEE96">
      <w:pPr>
        <w:pStyle w:val="5"/>
        <w:spacing w:line="360" w:lineRule="auto"/>
        <w:ind w:left="0" w:leftChars="0" w:firstLine="420" w:firstLineChars="200"/>
        <w:rPr>
          <w:rFonts w:hint="eastAsia"/>
        </w:rPr>
      </w:pPr>
    </w:p>
    <w:p w14:paraId="074FF790">
      <w:pPr>
        <w:rPr>
          <w:rFonts w:eastAsia="黑体"/>
          <w:b/>
          <w:bCs/>
          <w:sz w:val="36"/>
          <w:szCs w:val="36"/>
        </w:rPr>
      </w:pPr>
    </w:p>
    <w:p w14:paraId="2F883230">
      <w:pPr>
        <w:pStyle w:val="3"/>
      </w:pPr>
    </w:p>
    <w:p w14:paraId="468162CB">
      <w:pPr>
        <w:jc w:val="center"/>
        <w:rPr>
          <w:rFonts w:hint="eastAsia" w:eastAsia="黑体"/>
          <w:b/>
          <w:bCs/>
          <w:sz w:val="36"/>
          <w:szCs w:val="36"/>
        </w:rPr>
      </w:pPr>
    </w:p>
    <w:p w14:paraId="794B7EFD">
      <w:pPr>
        <w:jc w:val="center"/>
        <w:rPr>
          <w:rFonts w:hint="eastAsia" w:eastAsia="黑体"/>
          <w:b/>
          <w:bCs/>
          <w:sz w:val="36"/>
          <w:szCs w:val="36"/>
        </w:rPr>
      </w:pPr>
    </w:p>
    <w:p w14:paraId="518EB272">
      <w:pPr>
        <w:jc w:val="center"/>
        <w:rPr>
          <w:rFonts w:hint="eastAsia" w:eastAsia="黑体"/>
          <w:b/>
          <w:bCs/>
          <w:sz w:val="36"/>
          <w:szCs w:val="36"/>
        </w:rPr>
      </w:pPr>
    </w:p>
    <w:p w14:paraId="016B2FB7">
      <w:pPr>
        <w:jc w:val="center"/>
        <w:rPr>
          <w:rFonts w:eastAsia="黑体"/>
          <w:b/>
          <w:bCs/>
          <w:sz w:val="36"/>
          <w:szCs w:val="36"/>
        </w:rPr>
      </w:pPr>
      <w:bookmarkStart w:id="15" w:name="_GoBack"/>
      <w:bookmarkEnd w:id="15"/>
      <w:r>
        <w:rPr>
          <w:rFonts w:hint="eastAsia" w:eastAsia="黑体"/>
          <w:b/>
          <w:bCs/>
          <w:sz w:val="36"/>
          <w:szCs w:val="36"/>
        </w:rPr>
        <w:t>第二章  投标文件编制</w:t>
      </w:r>
    </w:p>
    <w:p w14:paraId="5E45C386">
      <w:pPr>
        <w:pStyle w:val="5"/>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3CF21CF">
      <w:pPr>
        <w:pStyle w:val="5"/>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9A4B6F2">
      <w:pPr>
        <w:pStyle w:val="5"/>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1FCAEE41">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07E181B3">
      <w:pPr>
        <w:pStyle w:val="5"/>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39A3E348">
      <w:pPr>
        <w:pStyle w:val="5"/>
        <w:spacing w:line="360" w:lineRule="auto"/>
        <w:ind w:firstLine="422" w:firstLineChars="200"/>
        <w:rPr>
          <w:rFonts w:hAnsi="宋体"/>
          <w:b/>
        </w:rPr>
      </w:pPr>
      <w:r>
        <w:rPr>
          <w:rFonts w:hint="eastAsia" w:hAnsi="宋体"/>
          <w:b/>
        </w:rPr>
        <w:t>⑴文件名称（商务标或技术标或资质文件）</w:t>
      </w:r>
    </w:p>
    <w:p w14:paraId="2AC3C98C">
      <w:pPr>
        <w:pStyle w:val="5"/>
        <w:spacing w:line="360" w:lineRule="auto"/>
        <w:ind w:firstLine="420" w:firstLineChars="200"/>
        <w:rPr>
          <w:rFonts w:hAnsi="宋体"/>
        </w:rPr>
      </w:pPr>
      <w:r>
        <w:rPr>
          <w:rFonts w:hint="eastAsia" w:hAnsi="宋体"/>
        </w:rPr>
        <w:t>⑵项目名称</w:t>
      </w:r>
    </w:p>
    <w:p w14:paraId="43FFE10A">
      <w:pPr>
        <w:pStyle w:val="5"/>
        <w:spacing w:line="360" w:lineRule="auto"/>
        <w:ind w:firstLine="420" w:firstLineChars="200"/>
        <w:rPr>
          <w:rFonts w:hAnsi="宋体"/>
        </w:rPr>
      </w:pPr>
      <w:r>
        <w:rPr>
          <w:rFonts w:hint="eastAsia" w:hAnsi="宋体"/>
        </w:rPr>
        <w:t>⑶投标人名称（加盖公章）、地址、邮编、电话、传真</w:t>
      </w:r>
    </w:p>
    <w:p w14:paraId="10D5A155">
      <w:pPr>
        <w:pStyle w:val="5"/>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159AA1C5">
      <w:pPr>
        <w:pStyle w:val="5"/>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6B8A92">
      <w:pPr>
        <w:pStyle w:val="5"/>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589378A">
      <w:pPr>
        <w:pStyle w:val="5"/>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48590AF3">
      <w:pPr>
        <w:rPr>
          <w:rFonts w:eastAsia="黑体"/>
          <w:b/>
          <w:bCs/>
          <w:sz w:val="28"/>
        </w:rPr>
      </w:pPr>
    </w:p>
    <w:p w14:paraId="0F8B8B62">
      <w:pPr>
        <w:rPr>
          <w:rFonts w:eastAsia="黑体"/>
          <w:b/>
          <w:bCs/>
          <w:sz w:val="28"/>
        </w:rPr>
      </w:pPr>
    </w:p>
    <w:p w14:paraId="17021042">
      <w:pPr>
        <w:rPr>
          <w:rFonts w:eastAsia="黑体"/>
          <w:b/>
          <w:bCs/>
          <w:sz w:val="28"/>
        </w:rPr>
      </w:pPr>
    </w:p>
    <w:p w14:paraId="2FC75025">
      <w:pPr>
        <w:rPr>
          <w:rFonts w:eastAsia="黑体"/>
          <w:b/>
          <w:bCs/>
          <w:sz w:val="28"/>
        </w:rPr>
      </w:pPr>
    </w:p>
    <w:p w14:paraId="4DE76AB1">
      <w:pPr>
        <w:rPr>
          <w:rFonts w:eastAsia="黑体"/>
          <w:b/>
          <w:bCs/>
          <w:sz w:val="28"/>
        </w:rPr>
      </w:pPr>
    </w:p>
    <w:p w14:paraId="7746B727">
      <w:pPr>
        <w:rPr>
          <w:rFonts w:eastAsia="黑体"/>
          <w:b/>
          <w:bCs/>
          <w:sz w:val="28"/>
        </w:rPr>
      </w:pPr>
    </w:p>
    <w:p w14:paraId="49AB2A27">
      <w:pPr>
        <w:rPr>
          <w:rFonts w:eastAsia="黑体"/>
          <w:b/>
          <w:bCs/>
          <w:sz w:val="28"/>
        </w:rPr>
      </w:pPr>
      <w:r>
        <w:rPr>
          <w:rFonts w:hint="eastAsia" w:eastAsia="黑体"/>
          <w:b/>
          <w:bCs/>
          <w:sz w:val="28"/>
        </w:rPr>
        <w:br w:type="page"/>
      </w:r>
      <w:r>
        <w:rPr>
          <w:rFonts w:hint="eastAsia" w:eastAsia="黑体"/>
          <w:b/>
          <w:bCs/>
          <w:sz w:val="28"/>
        </w:rPr>
        <w:t>格式1</w:t>
      </w:r>
    </w:p>
    <w:p w14:paraId="64965A74">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6"/>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6"/>
        </w:numPr>
        <w:rPr>
          <w:rFonts w:ascii="宋体" w:hAnsi="宋体"/>
        </w:rPr>
      </w:pPr>
      <w:r>
        <w:rPr>
          <w:rFonts w:hint="eastAsia" w:ascii="宋体" w:hAnsi="宋体"/>
        </w:rPr>
        <w:t>投标人将按招标文件的规定履行合同责任和义务。</w:t>
      </w:r>
    </w:p>
    <w:p w14:paraId="3D20D87B">
      <w:pPr>
        <w:numPr>
          <w:ilvl w:val="0"/>
          <w:numId w:val="6"/>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6"/>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6"/>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6"/>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6"/>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14"/>
      </w:pPr>
    </w:p>
    <w:p w14:paraId="11366B84">
      <w:pPr>
        <w:pStyle w:val="14"/>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E826709">
      <w:pPr>
        <w:rPr>
          <w:rFonts w:eastAsia="黑体"/>
          <w:b/>
          <w:bCs/>
          <w:sz w:val="28"/>
        </w:rPr>
      </w:pPr>
      <w:r>
        <w:rPr>
          <w:rFonts w:hint="eastAsia" w:eastAsia="黑体"/>
          <w:b/>
          <w:bCs/>
          <w:sz w:val="28"/>
        </w:rPr>
        <w:t>格式3</w:t>
      </w:r>
    </w:p>
    <w:p w14:paraId="635668EE">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36048841">
      <w:pPr>
        <w:rPr>
          <w:rFonts w:ascii="宋体" w:hAnsi="宋体"/>
          <w:szCs w:val="21"/>
        </w:rPr>
      </w:pPr>
      <w:r>
        <w:rPr>
          <w:rFonts w:hint="eastAsia" w:ascii="宋体" w:hAnsi="宋体"/>
          <w:szCs w:val="21"/>
        </w:rPr>
        <w:t>日期：  年   月   日</w:t>
      </w:r>
    </w:p>
    <w:p w14:paraId="799DC374">
      <w:pPr>
        <w:spacing w:line="400" w:lineRule="exact"/>
        <w:jc w:val="center"/>
        <w:rPr>
          <w:rFonts w:ascii="黑体" w:eastAsia="黑体"/>
          <w:sz w:val="30"/>
        </w:rPr>
      </w:pPr>
      <w:r>
        <w:rPr>
          <w:rFonts w:hint="eastAsia" w:ascii="黑体" w:eastAsia="黑体"/>
          <w:sz w:val="30"/>
        </w:rPr>
        <w:t>开标一览表</w:t>
      </w:r>
    </w:p>
    <w:tbl>
      <w:tblPr>
        <w:tblStyle w:val="10"/>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217"/>
        <w:gridCol w:w="8518"/>
      </w:tblGrid>
      <w:tr w14:paraId="74CBFE7E">
        <w:tblPrEx>
          <w:tblCellMar>
            <w:top w:w="0" w:type="dxa"/>
            <w:left w:w="108" w:type="dxa"/>
            <w:bottom w:w="0" w:type="dxa"/>
            <w:right w:w="108" w:type="dxa"/>
          </w:tblCellMar>
        </w:tblPrEx>
        <w:trPr>
          <w:trHeight w:val="531" w:hRule="atLeast"/>
          <w:jc w:val="center"/>
        </w:trPr>
        <w:tc>
          <w:tcPr>
            <w:tcW w:w="103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1B491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投标单位名称</w:t>
            </w:r>
          </w:p>
        </w:tc>
        <w:tc>
          <w:tcPr>
            <w:tcW w:w="3967" w:type="pct"/>
            <w:tcBorders>
              <w:top w:val="single" w:color="000000" w:sz="8" w:space="0"/>
              <w:left w:val="nil"/>
              <w:bottom w:val="single" w:color="000000" w:sz="8" w:space="0"/>
              <w:right w:val="single" w:color="000000" w:sz="8" w:space="0"/>
            </w:tcBorders>
            <w:shd w:val="clear" w:color="auto" w:fill="auto"/>
            <w:noWrap/>
            <w:vAlign w:val="center"/>
          </w:tcPr>
          <w:p w14:paraId="32E86B39">
            <w:pPr>
              <w:rPr>
                <w:rFonts w:ascii="宋体" w:hAnsi="宋体" w:cs="宋体"/>
                <w:color w:val="000000"/>
                <w:sz w:val="24"/>
                <w:szCs w:val="24"/>
                <w:highlight w:val="none"/>
              </w:rPr>
            </w:pPr>
          </w:p>
        </w:tc>
      </w:tr>
      <w:tr w14:paraId="69CB998D">
        <w:tblPrEx>
          <w:tblCellMar>
            <w:top w:w="0" w:type="dxa"/>
            <w:left w:w="108" w:type="dxa"/>
            <w:bottom w:w="0" w:type="dxa"/>
            <w:right w:w="108" w:type="dxa"/>
          </w:tblCellMar>
        </w:tblPrEx>
        <w:trPr>
          <w:trHeight w:val="1221"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23CF7AE2">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投标报价</w:t>
            </w:r>
          </w:p>
        </w:tc>
        <w:tc>
          <w:tcPr>
            <w:tcW w:w="3967" w:type="pct"/>
            <w:tcBorders>
              <w:top w:val="nil"/>
              <w:left w:val="nil"/>
              <w:bottom w:val="single" w:color="000000" w:sz="8" w:space="0"/>
              <w:right w:val="single" w:color="000000" w:sz="8" w:space="0"/>
            </w:tcBorders>
            <w:shd w:val="clear" w:color="auto" w:fill="auto"/>
            <w:noWrap/>
            <w:vAlign w:val="center"/>
          </w:tcPr>
          <w:p w14:paraId="46B6B144">
            <w:pPr>
              <w:widowControl/>
              <w:textAlignment w:val="center"/>
              <w:rPr>
                <w:rFonts w:hint="default" w:ascii="宋体"/>
                <w:bCs/>
                <w:sz w:val="24"/>
                <w:highlight w:val="green"/>
                <w:lang w:val="en-US" w:eastAsia="zh-CN"/>
              </w:rPr>
            </w:pPr>
            <w:r>
              <w:rPr>
                <w:rFonts w:hint="eastAsia" w:ascii="宋体" w:hAnsi="宋体" w:cs="宋体"/>
                <w:color w:val="000000"/>
                <w:kern w:val="0"/>
                <w:sz w:val="24"/>
                <w:szCs w:val="24"/>
                <w:highlight w:val="green"/>
                <w:lang w:val="en-US" w:eastAsia="zh-CN" w:bidi="ar"/>
              </w:rPr>
              <w:t>大写：</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bCs/>
                <w:sz w:val="24"/>
                <w:highlight w:val="green"/>
              </w:rPr>
              <w:t>（</w:t>
            </w:r>
            <w:r>
              <w:rPr>
                <w:rFonts w:hint="eastAsia" w:ascii="宋体"/>
                <w:bCs/>
                <w:sz w:val="24"/>
                <w:highlight w:val="green"/>
                <w:lang w:val="en-US" w:eastAsia="zh-CN"/>
              </w:rPr>
              <w:t>元，未税</w:t>
            </w:r>
            <w:r>
              <w:rPr>
                <w:rFonts w:hint="eastAsia" w:ascii="宋体"/>
                <w:bCs/>
                <w:sz w:val="24"/>
                <w:highlight w:val="green"/>
              </w:rPr>
              <w:t>）</w:t>
            </w:r>
            <w:r>
              <w:rPr>
                <w:rFonts w:hint="eastAsia" w:ascii="宋体"/>
                <w:bCs/>
                <w:sz w:val="24"/>
                <w:highlight w:val="green"/>
                <w:lang w:eastAsia="zh-CN"/>
              </w:rPr>
              <w:t>；</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（税率）；价税合计：</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（元）</w:t>
            </w:r>
          </w:p>
          <w:p w14:paraId="1978C3DD">
            <w:pPr>
              <w:widowControl/>
              <w:textAlignment w:val="center"/>
              <w:rPr>
                <w:rFonts w:hint="default" w:ascii="宋体" w:hAnsi="宋体" w:eastAsia="宋体" w:cs="宋体"/>
                <w:color w:val="000000"/>
                <w:sz w:val="24"/>
                <w:szCs w:val="24"/>
                <w:highlight w:val="green"/>
                <w:lang w:val="en-US" w:eastAsia="zh-CN"/>
              </w:rPr>
            </w:pPr>
            <w:r>
              <w:rPr>
                <w:rFonts w:hint="eastAsia" w:ascii="宋体"/>
                <w:bCs/>
                <w:sz w:val="24"/>
                <w:highlight w:val="green"/>
                <w:lang w:val="en-US" w:eastAsia="zh-CN"/>
              </w:rPr>
              <w:t>小写：</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bCs/>
                <w:sz w:val="24"/>
                <w:highlight w:val="green"/>
              </w:rPr>
              <w:t>（</w:t>
            </w:r>
            <w:r>
              <w:rPr>
                <w:rFonts w:hint="eastAsia" w:ascii="宋体"/>
                <w:bCs/>
                <w:sz w:val="24"/>
                <w:highlight w:val="green"/>
                <w:lang w:val="en-US" w:eastAsia="zh-CN"/>
              </w:rPr>
              <w:t>元，未税</w:t>
            </w:r>
            <w:r>
              <w:rPr>
                <w:rFonts w:hint="eastAsia" w:ascii="宋体"/>
                <w:bCs/>
                <w:sz w:val="24"/>
                <w:highlight w:val="green"/>
              </w:rPr>
              <w:t>）</w:t>
            </w:r>
            <w:r>
              <w:rPr>
                <w:rFonts w:hint="eastAsia" w:ascii="宋体"/>
                <w:bCs/>
                <w:sz w:val="24"/>
                <w:highlight w:val="green"/>
                <w:lang w:eastAsia="zh-CN"/>
              </w:rPr>
              <w:t>；</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（税率）；价税合计：</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（元）</w:t>
            </w:r>
          </w:p>
        </w:tc>
      </w:tr>
      <w:tr w14:paraId="4D9F3087">
        <w:tblPrEx>
          <w:tblCellMar>
            <w:top w:w="0" w:type="dxa"/>
            <w:left w:w="108" w:type="dxa"/>
            <w:bottom w:w="0" w:type="dxa"/>
            <w:right w:w="108" w:type="dxa"/>
          </w:tblCellMar>
        </w:tblPrEx>
        <w:trPr>
          <w:trHeight w:val="939"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2279565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响应时间</w:t>
            </w:r>
          </w:p>
        </w:tc>
        <w:tc>
          <w:tcPr>
            <w:tcW w:w="3967" w:type="pct"/>
            <w:tcBorders>
              <w:top w:val="nil"/>
              <w:left w:val="nil"/>
              <w:bottom w:val="single" w:color="000000" w:sz="8" w:space="0"/>
              <w:right w:val="single" w:color="000000" w:sz="8" w:space="0"/>
            </w:tcBorders>
            <w:shd w:val="clear" w:color="auto" w:fill="auto"/>
            <w:noWrap/>
            <w:vAlign w:val="center"/>
          </w:tcPr>
          <w:p w14:paraId="09957B3E">
            <w:pPr>
              <w:widowControl/>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一般项目接</w:t>
            </w:r>
            <w:r>
              <w:rPr>
                <w:rFonts w:hint="eastAsia" w:ascii="宋体" w:hAnsi="宋体" w:cs="宋体"/>
                <w:color w:val="000000"/>
                <w:kern w:val="0"/>
                <w:sz w:val="24"/>
                <w:szCs w:val="24"/>
                <w:highlight w:val="none"/>
                <w:lang w:val="en-US" w:eastAsia="zh-CN" w:bidi="ar"/>
              </w:rPr>
              <w:t>委外加工</w:t>
            </w:r>
            <w:r>
              <w:rPr>
                <w:rFonts w:hint="eastAsia" w:ascii="宋体" w:hAnsi="宋体" w:cs="宋体"/>
                <w:color w:val="000000"/>
                <w:kern w:val="0"/>
                <w:sz w:val="24"/>
                <w:szCs w:val="24"/>
                <w:highlight w:val="none"/>
                <w:lang w:bidi="ar"/>
              </w:rPr>
              <w:t>通知后</w:t>
            </w:r>
            <w:r>
              <w:rPr>
                <w:rStyle w:val="15"/>
                <w:rFonts w:hint="default"/>
                <w:highlight w:val="none"/>
                <w:lang w:bidi="ar"/>
              </w:rPr>
              <w:t xml:space="preserve">    </w:t>
            </w:r>
            <w:r>
              <w:rPr>
                <w:rStyle w:val="16"/>
                <w:rFonts w:hint="default"/>
                <w:highlight w:val="none"/>
                <w:lang w:bidi="ar"/>
              </w:rPr>
              <w:t>小时内到达现场进行</w:t>
            </w:r>
            <w:r>
              <w:rPr>
                <w:rStyle w:val="16"/>
                <w:rFonts w:hint="eastAsia"/>
                <w:highlight w:val="none"/>
                <w:lang w:val="en-US" w:eastAsia="zh-CN" w:bidi="ar"/>
              </w:rPr>
              <w:t>测绘</w:t>
            </w:r>
            <w:r>
              <w:rPr>
                <w:rStyle w:val="16"/>
                <w:rFonts w:hint="default"/>
                <w:highlight w:val="none"/>
                <w:lang w:bidi="ar"/>
              </w:rPr>
              <w:t xml:space="preserve">，紧急维修项目在接通知后 </w:t>
            </w:r>
            <w:r>
              <w:rPr>
                <w:rStyle w:val="15"/>
                <w:rFonts w:hint="default"/>
                <w:highlight w:val="none"/>
                <w:lang w:bidi="ar"/>
              </w:rPr>
              <w:t xml:space="preserve">     </w:t>
            </w:r>
            <w:r>
              <w:rPr>
                <w:rStyle w:val="16"/>
                <w:rFonts w:hint="default"/>
                <w:highlight w:val="none"/>
                <w:lang w:bidi="ar"/>
              </w:rPr>
              <w:t>小时内抵达现场进行</w:t>
            </w:r>
            <w:r>
              <w:rPr>
                <w:rStyle w:val="16"/>
                <w:rFonts w:hint="eastAsia"/>
                <w:highlight w:val="none"/>
                <w:lang w:val="en-US" w:eastAsia="zh-CN" w:bidi="ar"/>
              </w:rPr>
              <w:t>测绘</w:t>
            </w:r>
            <w:r>
              <w:rPr>
                <w:rStyle w:val="16"/>
                <w:rFonts w:hint="default"/>
                <w:highlight w:val="none"/>
                <w:lang w:bidi="ar"/>
              </w:rPr>
              <w:t>。(投标人自报最短供货期,可分区域）。</w:t>
            </w:r>
          </w:p>
        </w:tc>
      </w:tr>
      <w:tr w14:paraId="2DAE9918">
        <w:tblPrEx>
          <w:tblCellMar>
            <w:top w:w="0" w:type="dxa"/>
            <w:left w:w="108" w:type="dxa"/>
            <w:bottom w:w="0" w:type="dxa"/>
            <w:right w:w="108" w:type="dxa"/>
          </w:tblCellMar>
        </w:tblPrEx>
        <w:trPr>
          <w:trHeight w:val="924"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56B3534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质保期</w:t>
            </w:r>
          </w:p>
        </w:tc>
        <w:tc>
          <w:tcPr>
            <w:tcW w:w="39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FAC9D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自</w:t>
            </w:r>
            <w:r>
              <w:rPr>
                <w:rFonts w:hint="eastAsia" w:ascii="宋体" w:hAnsi="宋体" w:cs="宋体"/>
                <w:color w:val="000000"/>
                <w:kern w:val="0"/>
                <w:sz w:val="24"/>
                <w:szCs w:val="24"/>
                <w:highlight w:val="none"/>
                <w:lang w:val="en-US" w:eastAsia="zh-CN" w:bidi="ar"/>
              </w:rPr>
              <w:t>安装运行正常，验收合格</w:t>
            </w:r>
            <w:r>
              <w:rPr>
                <w:rFonts w:hint="eastAsia" w:ascii="宋体" w:hAnsi="宋体" w:cs="宋体"/>
                <w:color w:val="000000"/>
                <w:kern w:val="0"/>
                <w:sz w:val="24"/>
                <w:szCs w:val="24"/>
                <w:highlight w:val="none"/>
                <w:lang w:bidi="ar"/>
              </w:rPr>
              <w:t>之日（以签署日期最晚者为准）起</w:t>
            </w:r>
            <w:r>
              <w:rPr>
                <w:rStyle w:val="15"/>
                <w:rFonts w:hint="default"/>
                <w:highlight w:val="none"/>
                <w:lang w:bidi="ar"/>
              </w:rPr>
              <w:t xml:space="preserve">    </w:t>
            </w:r>
            <w:r>
              <w:rPr>
                <w:rStyle w:val="16"/>
                <w:rFonts w:hint="default"/>
                <w:highlight w:val="none"/>
                <w:lang w:bidi="ar"/>
              </w:rPr>
              <w:t>月。</w:t>
            </w:r>
          </w:p>
        </w:tc>
      </w:tr>
      <w:tr w14:paraId="6E1E2F91">
        <w:tblPrEx>
          <w:tblCellMar>
            <w:top w:w="0" w:type="dxa"/>
            <w:left w:w="108" w:type="dxa"/>
            <w:bottom w:w="0" w:type="dxa"/>
            <w:right w:w="108" w:type="dxa"/>
          </w:tblCellMar>
        </w:tblPrEx>
        <w:trPr>
          <w:trHeight w:val="1266" w:hRule="atLeast"/>
          <w:jc w:val="center"/>
        </w:trPr>
        <w:tc>
          <w:tcPr>
            <w:tcW w:w="10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549DA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对招标文件的响应程度</w:t>
            </w:r>
            <w:r>
              <w:rPr>
                <w:rFonts w:hint="eastAsia" w:ascii="宋体" w:hAnsi="宋体" w:cs="宋体"/>
                <w:color w:val="000000"/>
                <w:kern w:val="0"/>
                <w:sz w:val="24"/>
                <w:szCs w:val="24"/>
                <w:highlight w:val="none"/>
                <w:lang w:bidi="ar"/>
              </w:rPr>
              <w:br w:type="textWrapping"/>
            </w:r>
            <w:r>
              <w:rPr>
                <w:rFonts w:hint="eastAsia" w:ascii="宋体" w:hAnsi="宋体" w:cs="宋体"/>
                <w:color w:val="000000"/>
                <w:kern w:val="0"/>
                <w:sz w:val="24"/>
                <w:szCs w:val="24"/>
                <w:highlight w:val="none"/>
                <w:lang w:bidi="ar"/>
              </w:rPr>
              <w:t>（是否完全响应）</w:t>
            </w:r>
          </w:p>
        </w:tc>
        <w:tc>
          <w:tcPr>
            <w:tcW w:w="39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3650E">
            <w:pPr>
              <w:rPr>
                <w:rFonts w:ascii="宋体" w:hAnsi="宋体" w:cs="宋体"/>
                <w:color w:val="000000"/>
                <w:sz w:val="22"/>
                <w:szCs w:val="22"/>
                <w:highlight w:val="none"/>
              </w:rPr>
            </w:pPr>
          </w:p>
        </w:tc>
      </w:tr>
    </w:tbl>
    <w:p w14:paraId="0DF42196">
      <w:pPr>
        <w:pStyle w:val="3"/>
        <w:spacing w:line="460" w:lineRule="exact"/>
        <w:rPr>
          <w:rFonts w:ascii="宋体" w:hAnsi="宋体"/>
          <w:b/>
          <w:bCs/>
        </w:rPr>
      </w:pPr>
    </w:p>
    <w:p w14:paraId="40BCE191">
      <w:pPr>
        <w:pStyle w:val="3"/>
        <w:spacing w:line="460" w:lineRule="exact"/>
        <w:rPr>
          <w:rFonts w:ascii="宋体" w:hAnsi="宋体"/>
        </w:rPr>
      </w:pPr>
      <w:r>
        <w:rPr>
          <w:rFonts w:hint="eastAsia" w:ascii="宋体" w:hAnsi="宋体"/>
          <w:b/>
          <w:bCs/>
        </w:rPr>
        <w:t>注：</w:t>
      </w:r>
    </w:p>
    <w:p w14:paraId="1EC0A59D">
      <w:pPr>
        <w:spacing w:line="520" w:lineRule="exact"/>
        <w:rPr>
          <w:rFonts w:ascii="宋体" w:hAnsi="宋体"/>
          <w:b/>
          <w:bCs/>
        </w:rPr>
      </w:pPr>
      <w:r>
        <w:rPr>
          <w:rFonts w:hint="eastAsia" w:ascii="宋体" w:hAnsi="宋体"/>
          <w:b/>
          <w:bCs/>
        </w:rPr>
        <w:t>1、此表中的报价必须与相应的报价明细表中的报价一致，分项报价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14:paraId="5D925DC7">
      <w:pPr>
        <w:spacing w:line="360" w:lineRule="auto"/>
        <w:rPr>
          <w:rFonts w:ascii="宋体" w:hAnsi="宋体"/>
          <w:b/>
          <w:bCs/>
        </w:rPr>
      </w:pPr>
      <w:r>
        <w:rPr>
          <w:rFonts w:hint="eastAsia" w:ascii="宋体" w:hAnsi="宋体"/>
          <w:b/>
          <w:bCs/>
        </w:rPr>
        <w:t>2、本表除附在投标文件中外，还应一式贰份单独密封，以便唱标。</w:t>
      </w:r>
    </w:p>
    <w:p w14:paraId="3E45D7D4">
      <w:pPr>
        <w:spacing w:line="360" w:lineRule="auto"/>
        <w:rPr>
          <w:rFonts w:ascii="宋体" w:hAnsi="宋体"/>
          <w:sz w:val="24"/>
        </w:rPr>
      </w:pPr>
      <w:r>
        <w:rPr>
          <w:rFonts w:hint="eastAsia" w:ascii="宋体" w:hAnsi="宋体"/>
          <w:sz w:val="24"/>
        </w:rPr>
        <w:t>投标人：（盖章）</w:t>
      </w:r>
    </w:p>
    <w:p w14:paraId="694A125B">
      <w:pPr>
        <w:spacing w:line="360" w:lineRule="auto"/>
        <w:rPr>
          <w:rFonts w:ascii="宋体" w:hAnsi="宋体"/>
          <w:sz w:val="24"/>
        </w:rPr>
      </w:pPr>
      <w:r>
        <w:rPr>
          <w:rFonts w:hint="eastAsia" w:ascii="宋体" w:hAnsi="宋体"/>
          <w:sz w:val="24"/>
        </w:rPr>
        <w:t>法定代表人（授权代表）：（签字）</w:t>
      </w:r>
    </w:p>
    <w:p w14:paraId="371DBB74">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4C44C5AE">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3FB0E95B">
      <w:pPr>
        <w:rPr>
          <w:rFonts w:eastAsia="黑体"/>
          <w:b/>
          <w:bCs/>
          <w:sz w:val="28"/>
        </w:rPr>
      </w:pPr>
      <w:r>
        <w:rPr>
          <w:rFonts w:eastAsia="黑体"/>
          <w:b/>
          <w:bCs/>
          <w:sz w:val="28"/>
        </w:rPr>
        <w:br w:type="page"/>
      </w:r>
      <w:r>
        <w:rPr>
          <w:rFonts w:hint="eastAsia" w:eastAsia="黑体"/>
          <w:b/>
          <w:bCs/>
          <w:sz w:val="28"/>
        </w:rPr>
        <w:t>格式5</w:t>
      </w:r>
      <w:bookmarkStart w:id="2" w:name="_Hlk70069772"/>
    </w:p>
    <w:p w14:paraId="400759C3">
      <w:r>
        <w:rPr>
          <w:rFonts w:hint="eastAsia" w:ascii="宋体" w:hAnsi="宋体"/>
        </w:rPr>
        <w:t>项目名称：</w:t>
      </w:r>
      <w:r>
        <w:rPr>
          <w:rFonts w:hint="eastAsia" w:ascii="宋体" w:hAnsi="宋体"/>
          <w:lang w:val="en-US" w:eastAsia="zh-CN"/>
        </w:rPr>
        <w:t>2026年中国重汽集团能源管道设施年度维修项目</w:t>
      </w:r>
    </w:p>
    <w:p w14:paraId="46660644"/>
    <w:p w14:paraId="4984229A">
      <w:pPr>
        <w:rPr>
          <w:rFonts w:ascii="宋体" w:hAnsi="宋体"/>
          <w:szCs w:val="21"/>
        </w:rPr>
      </w:pPr>
      <w:r>
        <w:rPr>
          <w:rFonts w:hint="eastAsia" w:ascii="宋体" w:hAnsi="宋体"/>
          <w:szCs w:val="21"/>
        </w:rPr>
        <w:t>日期：  年   月   日</w:t>
      </w:r>
    </w:p>
    <w:p w14:paraId="69B77C22">
      <w:pPr>
        <w:jc w:val="center"/>
        <w:rPr>
          <w:rFonts w:eastAsia="黑体"/>
          <w:b/>
          <w:bCs/>
          <w:sz w:val="28"/>
        </w:rPr>
      </w:pPr>
    </w:p>
    <w:p w14:paraId="15BBA383">
      <w:pPr>
        <w:jc w:val="center"/>
        <w:rPr>
          <w:rFonts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324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CCA88A5">
            <w:pPr>
              <w:jc w:val="center"/>
              <w:rPr>
                <w:rFonts w:ascii="宋体" w:hAnsi="宋体"/>
                <w:sz w:val="24"/>
              </w:rPr>
            </w:pPr>
            <w:r>
              <w:rPr>
                <w:rFonts w:hint="eastAsia" w:ascii="宋体" w:hAnsi="宋体"/>
                <w:sz w:val="24"/>
              </w:rPr>
              <w:t>序号</w:t>
            </w:r>
          </w:p>
        </w:tc>
        <w:tc>
          <w:tcPr>
            <w:tcW w:w="4140" w:type="dxa"/>
            <w:gridSpan w:val="2"/>
            <w:vAlign w:val="center"/>
          </w:tcPr>
          <w:p w14:paraId="2D7682D6">
            <w:pPr>
              <w:jc w:val="center"/>
              <w:rPr>
                <w:rFonts w:ascii="宋体" w:hAnsi="宋体"/>
                <w:sz w:val="24"/>
              </w:rPr>
            </w:pPr>
            <w:r>
              <w:rPr>
                <w:rFonts w:hint="eastAsia" w:ascii="宋体" w:hAnsi="宋体"/>
                <w:sz w:val="24"/>
              </w:rPr>
              <w:t>招标文件条款</w:t>
            </w:r>
          </w:p>
        </w:tc>
        <w:tc>
          <w:tcPr>
            <w:tcW w:w="3554" w:type="dxa"/>
            <w:vMerge w:val="restart"/>
            <w:vAlign w:val="center"/>
          </w:tcPr>
          <w:p w14:paraId="3F7865A9">
            <w:pPr>
              <w:jc w:val="center"/>
              <w:rPr>
                <w:rFonts w:ascii="宋体" w:hAnsi="宋体"/>
                <w:sz w:val="24"/>
              </w:rPr>
            </w:pPr>
            <w:r>
              <w:rPr>
                <w:rFonts w:hint="eastAsia" w:ascii="宋体" w:hAnsi="宋体"/>
                <w:sz w:val="24"/>
              </w:rPr>
              <w:t>偏离内容</w:t>
            </w:r>
          </w:p>
        </w:tc>
      </w:tr>
      <w:tr w14:paraId="2D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8E5B19">
            <w:pPr>
              <w:rPr>
                <w:rFonts w:ascii="宋体" w:hAnsi="宋体"/>
                <w:sz w:val="24"/>
              </w:rPr>
            </w:pPr>
          </w:p>
        </w:tc>
        <w:tc>
          <w:tcPr>
            <w:tcW w:w="1080" w:type="dxa"/>
            <w:vAlign w:val="center"/>
          </w:tcPr>
          <w:p w14:paraId="4687260C">
            <w:pPr>
              <w:jc w:val="center"/>
              <w:rPr>
                <w:rFonts w:ascii="宋体" w:hAnsi="宋体"/>
                <w:sz w:val="24"/>
              </w:rPr>
            </w:pPr>
            <w:r>
              <w:rPr>
                <w:rFonts w:hint="eastAsia" w:ascii="宋体" w:hAnsi="宋体"/>
                <w:sz w:val="24"/>
              </w:rPr>
              <w:t>条款号</w:t>
            </w:r>
          </w:p>
        </w:tc>
        <w:tc>
          <w:tcPr>
            <w:tcW w:w="3060" w:type="dxa"/>
            <w:vAlign w:val="center"/>
          </w:tcPr>
          <w:p w14:paraId="648C9BC1">
            <w:pPr>
              <w:jc w:val="center"/>
              <w:rPr>
                <w:rFonts w:ascii="宋体" w:hAnsi="宋体"/>
                <w:sz w:val="24"/>
              </w:rPr>
            </w:pPr>
            <w:r>
              <w:rPr>
                <w:rFonts w:hint="eastAsia" w:ascii="宋体" w:hAnsi="宋体"/>
                <w:sz w:val="24"/>
              </w:rPr>
              <w:t>条款要求</w:t>
            </w:r>
          </w:p>
        </w:tc>
        <w:tc>
          <w:tcPr>
            <w:tcW w:w="3554" w:type="dxa"/>
            <w:vMerge w:val="continue"/>
            <w:vAlign w:val="center"/>
          </w:tcPr>
          <w:p w14:paraId="39D3E599">
            <w:pPr>
              <w:jc w:val="center"/>
              <w:rPr>
                <w:rFonts w:ascii="宋体" w:hAnsi="宋体"/>
                <w:sz w:val="24"/>
              </w:rPr>
            </w:pPr>
          </w:p>
        </w:tc>
      </w:tr>
      <w:tr w14:paraId="51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BF647A">
            <w:pPr>
              <w:jc w:val="center"/>
              <w:rPr>
                <w:rFonts w:ascii="宋体" w:hAnsi="宋体"/>
                <w:sz w:val="24"/>
              </w:rPr>
            </w:pPr>
            <w:r>
              <w:rPr>
                <w:rFonts w:hint="eastAsia" w:ascii="宋体" w:hAnsi="宋体"/>
                <w:sz w:val="24"/>
              </w:rPr>
              <w:t>1</w:t>
            </w:r>
          </w:p>
        </w:tc>
        <w:tc>
          <w:tcPr>
            <w:tcW w:w="1080" w:type="dxa"/>
            <w:vAlign w:val="center"/>
          </w:tcPr>
          <w:p w14:paraId="72ED9B63">
            <w:pPr>
              <w:rPr>
                <w:rFonts w:ascii="宋体" w:hAnsi="宋体"/>
                <w:sz w:val="24"/>
              </w:rPr>
            </w:pPr>
          </w:p>
        </w:tc>
        <w:tc>
          <w:tcPr>
            <w:tcW w:w="3060" w:type="dxa"/>
            <w:vAlign w:val="center"/>
          </w:tcPr>
          <w:p w14:paraId="28BFE91D">
            <w:pPr>
              <w:rPr>
                <w:rFonts w:ascii="宋体" w:hAnsi="宋体"/>
                <w:sz w:val="24"/>
              </w:rPr>
            </w:pPr>
          </w:p>
        </w:tc>
        <w:tc>
          <w:tcPr>
            <w:tcW w:w="3554" w:type="dxa"/>
            <w:vAlign w:val="center"/>
          </w:tcPr>
          <w:p w14:paraId="76E5E8C7">
            <w:pPr>
              <w:rPr>
                <w:rFonts w:ascii="宋体" w:hAnsi="宋体"/>
                <w:sz w:val="24"/>
              </w:rPr>
            </w:pPr>
          </w:p>
        </w:tc>
      </w:tr>
      <w:tr w14:paraId="379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0FB2B">
            <w:pPr>
              <w:jc w:val="center"/>
              <w:rPr>
                <w:rFonts w:ascii="宋体" w:hAnsi="宋体"/>
                <w:sz w:val="24"/>
              </w:rPr>
            </w:pPr>
            <w:r>
              <w:rPr>
                <w:rFonts w:hint="eastAsia" w:ascii="宋体" w:hAnsi="宋体"/>
                <w:sz w:val="24"/>
              </w:rPr>
              <w:t>2</w:t>
            </w:r>
          </w:p>
        </w:tc>
        <w:tc>
          <w:tcPr>
            <w:tcW w:w="1080" w:type="dxa"/>
            <w:vAlign w:val="center"/>
          </w:tcPr>
          <w:p w14:paraId="1824EF4C">
            <w:pPr>
              <w:rPr>
                <w:rFonts w:ascii="宋体" w:hAnsi="宋体"/>
                <w:sz w:val="24"/>
              </w:rPr>
            </w:pPr>
          </w:p>
        </w:tc>
        <w:tc>
          <w:tcPr>
            <w:tcW w:w="3060" w:type="dxa"/>
            <w:vAlign w:val="center"/>
          </w:tcPr>
          <w:p w14:paraId="681D792E">
            <w:pPr>
              <w:rPr>
                <w:rFonts w:ascii="宋体" w:hAnsi="宋体"/>
                <w:sz w:val="24"/>
              </w:rPr>
            </w:pPr>
          </w:p>
        </w:tc>
        <w:tc>
          <w:tcPr>
            <w:tcW w:w="3554" w:type="dxa"/>
            <w:vAlign w:val="center"/>
          </w:tcPr>
          <w:p w14:paraId="0F7981C0">
            <w:pPr>
              <w:rPr>
                <w:rFonts w:ascii="宋体" w:hAnsi="宋体"/>
                <w:sz w:val="24"/>
              </w:rPr>
            </w:pPr>
          </w:p>
        </w:tc>
      </w:tr>
      <w:tr w14:paraId="0F2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DA7F50">
            <w:pPr>
              <w:jc w:val="center"/>
              <w:rPr>
                <w:rFonts w:ascii="宋体" w:hAnsi="宋体"/>
                <w:sz w:val="24"/>
              </w:rPr>
            </w:pPr>
            <w:r>
              <w:rPr>
                <w:rFonts w:hint="eastAsia" w:ascii="宋体" w:hAnsi="宋体"/>
                <w:sz w:val="24"/>
              </w:rPr>
              <w:t>3</w:t>
            </w:r>
          </w:p>
        </w:tc>
        <w:tc>
          <w:tcPr>
            <w:tcW w:w="1080" w:type="dxa"/>
            <w:vAlign w:val="center"/>
          </w:tcPr>
          <w:p w14:paraId="2010670F">
            <w:pPr>
              <w:rPr>
                <w:rFonts w:ascii="宋体" w:hAnsi="宋体"/>
                <w:sz w:val="24"/>
              </w:rPr>
            </w:pPr>
          </w:p>
        </w:tc>
        <w:tc>
          <w:tcPr>
            <w:tcW w:w="3060" w:type="dxa"/>
            <w:vAlign w:val="center"/>
          </w:tcPr>
          <w:p w14:paraId="6AE6B1B7">
            <w:pPr>
              <w:rPr>
                <w:rFonts w:ascii="宋体" w:hAnsi="宋体"/>
                <w:sz w:val="24"/>
              </w:rPr>
            </w:pPr>
          </w:p>
        </w:tc>
        <w:tc>
          <w:tcPr>
            <w:tcW w:w="3554" w:type="dxa"/>
            <w:vAlign w:val="center"/>
          </w:tcPr>
          <w:p w14:paraId="4C2FD0D2">
            <w:pPr>
              <w:rPr>
                <w:rFonts w:ascii="宋体" w:hAnsi="宋体"/>
                <w:sz w:val="24"/>
              </w:rPr>
            </w:pPr>
          </w:p>
        </w:tc>
      </w:tr>
      <w:tr w14:paraId="18F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FC9B52">
            <w:pPr>
              <w:jc w:val="center"/>
              <w:rPr>
                <w:rFonts w:ascii="宋体" w:hAnsi="宋体"/>
                <w:sz w:val="24"/>
              </w:rPr>
            </w:pPr>
            <w:r>
              <w:rPr>
                <w:rFonts w:hint="eastAsia" w:ascii="宋体" w:hAnsi="宋体"/>
                <w:sz w:val="24"/>
              </w:rPr>
              <w:t>4</w:t>
            </w:r>
          </w:p>
        </w:tc>
        <w:tc>
          <w:tcPr>
            <w:tcW w:w="1080" w:type="dxa"/>
            <w:vAlign w:val="center"/>
          </w:tcPr>
          <w:p w14:paraId="78B24EF7">
            <w:pPr>
              <w:rPr>
                <w:rFonts w:ascii="宋体" w:hAnsi="宋体"/>
                <w:sz w:val="24"/>
              </w:rPr>
            </w:pPr>
          </w:p>
        </w:tc>
        <w:tc>
          <w:tcPr>
            <w:tcW w:w="3060" w:type="dxa"/>
            <w:vAlign w:val="center"/>
          </w:tcPr>
          <w:p w14:paraId="2749DABC">
            <w:pPr>
              <w:rPr>
                <w:rFonts w:ascii="宋体" w:hAnsi="宋体"/>
                <w:sz w:val="24"/>
              </w:rPr>
            </w:pPr>
          </w:p>
        </w:tc>
        <w:tc>
          <w:tcPr>
            <w:tcW w:w="3554" w:type="dxa"/>
            <w:vAlign w:val="center"/>
          </w:tcPr>
          <w:p w14:paraId="2CA099B7">
            <w:pPr>
              <w:rPr>
                <w:rFonts w:ascii="宋体" w:hAnsi="宋体"/>
                <w:sz w:val="24"/>
              </w:rPr>
            </w:pPr>
          </w:p>
        </w:tc>
      </w:tr>
      <w:tr w14:paraId="1B0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96E05">
            <w:pPr>
              <w:jc w:val="center"/>
              <w:rPr>
                <w:rFonts w:ascii="宋体" w:hAnsi="宋体"/>
                <w:sz w:val="24"/>
              </w:rPr>
            </w:pPr>
            <w:r>
              <w:rPr>
                <w:rFonts w:hint="eastAsia" w:ascii="宋体" w:hAnsi="宋体"/>
                <w:sz w:val="24"/>
              </w:rPr>
              <w:t>5</w:t>
            </w:r>
          </w:p>
        </w:tc>
        <w:tc>
          <w:tcPr>
            <w:tcW w:w="1080" w:type="dxa"/>
            <w:vAlign w:val="center"/>
          </w:tcPr>
          <w:p w14:paraId="133D5189">
            <w:pPr>
              <w:rPr>
                <w:rFonts w:ascii="宋体" w:hAnsi="宋体"/>
                <w:sz w:val="24"/>
              </w:rPr>
            </w:pPr>
          </w:p>
        </w:tc>
        <w:tc>
          <w:tcPr>
            <w:tcW w:w="3060" w:type="dxa"/>
            <w:vAlign w:val="center"/>
          </w:tcPr>
          <w:p w14:paraId="7BDC078A">
            <w:pPr>
              <w:rPr>
                <w:rFonts w:ascii="宋体" w:hAnsi="宋体"/>
                <w:sz w:val="24"/>
              </w:rPr>
            </w:pPr>
          </w:p>
        </w:tc>
        <w:tc>
          <w:tcPr>
            <w:tcW w:w="3554" w:type="dxa"/>
            <w:vAlign w:val="center"/>
          </w:tcPr>
          <w:p w14:paraId="41511AB9">
            <w:pPr>
              <w:rPr>
                <w:rFonts w:ascii="宋体" w:hAnsi="宋体"/>
                <w:sz w:val="24"/>
              </w:rPr>
            </w:pPr>
          </w:p>
        </w:tc>
      </w:tr>
      <w:tr w14:paraId="26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DC226">
            <w:pPr>
              <w:jc w:val="center"/>
              <w:rPr>
                <w:rFonts w:ascii="宋体" w:hAnsi="宋体"/>
                <w:sz w:val="24"/>
              </w:rPr>
            </w:pPr>
            <w:r>
              <w:rPr>
                <w:rFonts w:hint="eastAsia" w:ascii="宋体" w:hAnsi="宋体"/>
                <w:sz w:val="24"/>
              </w:rPr>
              <w:t>6</w:t>
            </w:r>
          </w:p>
        </w:tc>
        <w:tc>
          <w:tcPr>
            <w:tcW w:w="1080" w:type="dxa"/>
            <w:vAlign w:val="center"/>
          </w:tcPr>
          <w:p w14:paraId="73CEACBD">
            <w:pPr>
              <w:rPr>
                <w:rFonts w:ascii="宋体" w:hAnsi="宋体"/>
                <w:sz w:val="24"/>
              </w:rPr>
            </w:pPr>
          </w:p>
        </w:tc>
        <w:tc>
          <w:tcPr>
            <w:tcW w:w="3060" w:type="dxa"/>
            <w:vAlign w:val="center"/>
          </w:tcPr>
          <w:p w14:paraId="4FBAE60A">
            <w:pPr>
              <w:rPr>
                <w:rFonts w:ascii="宋体" w:hAnsi="宋体"/>
                <w:sz w:val="24"/>
              </w:rPr>
            </w:pPr>
          </w:p>
        </w:tc>
        <w:tc>
          <w:tcPr>
            <w:tcW w:w="3554" w:type="dxa"/>
            <w:vAlign w:val="center"/>
          </w:tcPr>
          <w:p w14:paraId="41F81B70">
            <w:pPr>
              <w:rPr>
                <w:rFonts w:ascii="宋体" w:hAnsi="宋体"/>
                <w:sz w:val="24"/>
              </w:rPr>
            </w:pPr>
          </w:p>
        </w:tc>
      </w:tr>
      <w:tr w14:paraId="2D1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A458AC">
            <w:pPr>
              <w:jc w:val="center"/>
              <w:rPr>
                <w:rFonts w:ascii="宋体" w:hAnsi="宋体"/>
                <w:sz w:val="24"/>
              </w:rPr>
            </w:pPr>
            <w:r>
              <w:rPr>
                <w:rFonts w:hint="eastAsia" w:ascii="宋体" w:hAnsi="宋体"/>
                <w:sz w:val="24"/>
              </w:rPr>
              <w:t>7</w:t>
            </w:r>
          </w:p>
        </w:tc>
        <w:tc>
          <w:tcPr>
            <w:tcW w:w="1080" w:type="dxa"/>
            <w:vAlign w:val="center"/>
          </w:tcPr>
          <w:p w14:paraId="00A27BCC">
            <w:pPr>
              <w:rPr>
                <w:rFonts w:ascii="宋体" w:hAnsi="宋体"/>
                <w:sz w:val="24"/>
              </w:rPr>
            </w:pPr>
          </w:p>
        </w:tc>
        <w:tc>
          <w:tcPr>
            <w:tcW w:w="3060" w:type="dxa"/>
            <w:vAlign w:val="center"/>
          </w:tcPr>
          <w:p w14:paraId="7CE7050C">
            <w:pPr>
              <w:rPr>
                <w:rFonts w:ascii="宋体" w:hAnsi="宋体"/>
                <w:sz w:val="24"/>
              </w:rPr>
            </w:pPr>
          </w:p>
        </w:tc>
        <w:tc>
          <w:tcPr>
            <w:tcW w:w="3554" w:type="dxa"/>
            <w:vAlign w:val="center"/>
          </w:tcPr>
          <w:p w14:paraId="453363E3">
            <w:pPr>
              <w:rPr>
                <w:rFonts w:ascii="宋体" w:hAnsi="宋体"/>
                <w:sz w:val="24"/>
              </w:rPr>
            </w:pPr>
          </w:p>
        </w:tc>
      </w:tr>
      <w:tr w14:paraId="379B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13F5C">
            <w:pPr>
              <w:jc w:val="center"/>
              <w:rPr>
                <w:rFonts w:ascii="宋体" w:hAnsi="宋体"/>
                <w:sz w:val="24"/>
              </w:rPr>
            </w:pPr>
            <w:r>
              <w:rPr>
                <w:rFonts w:hint="eastAsia" w:ascii="宋体" w:hAnsi="宋体"/>
                <w:sz w:val="24"/>
              </w:rPr>
              <w:t>8</w:t>
            </w:r>
          </w:p>
        </w:tc>
        <w:tc>
          <w:tcPr>
            <w:tcW w:w="1080" w:type="dxa"/>
            <w:vAlign w:val="center"/>
          </w:tcPr>
          <w:p w14:paraId="6A972994">
            <w:pPr>
              <w:rPr>
                <w:rFonts w:ascii="宋体" w:hAnsi="宋体"/>
                <w:sz w:val="24"/>
              </w:rPr>
            </w:pPr>
          </w:p>
        </w:tc>
        <w:tc>
          <w:tcPr>
            <w:tcW w:w="3060" w:type="dxa"/>
            <w:vAlign w:val="center"/>
          </w:tcPr>
          <w:p w14:paraId="3FBB8B7F">
            <w:pPr>
              <w:rPr>
                <w:rFonts w:ascii="宋体" w:hAnsi="宋体"/>
                <w:sz w:val="24"/>
              </w:rPr>
            </w:pPr>
          </w:p>
        </w:tc>
        <w:tc>
          <w:tcPr>
            <w:tcW w:w="3554" w:type="dxa"/>
            <w:vAlign w:val="center"/>
          </w:tcPr>
          <w:p w14:paraId="79FD1416">
            <w:pPr>
              <w:rPr>
                <w:rFonts w:ascii="宋体" w:hAnsi="宋体"/>
                <w:sz w:val="24"/>
              </w:rPr>
            </w:pPr>
          </w:p>
        </w:tc>
      </w:tr>
      <w:tr w14:paraId="25A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91F9DA">
            <w:pPr>
              <w:jc w:val="center"/>
              <w:rPr>
                <w:rFonts w:ascii="宋体" w:hAnsi="宋体"/>
                <w:sz w:val="24"/>
              </w:rPr>
            </w:pPr>
            <w:r>
              <w:rPr>
                <w:rFonts w:hint="eastAsia" w:ascii="宋体" w:hAnsi="宋体"/>
                <w:sz w:val="24"/>
              </w:rPr>
              <w:t>9</w:t>
            </w:r>
          </w:p>
        </w:tc>
        <w:tc>
          <w:tcPr>
            <w:tcW w:w="1080" w:type="dxa"/>
            <w:vAlign w:val="center"/>
          </w:tcPr>
          <w:p w14:paraId="36F89A25">
            <w:pPr>
              <w:rPr>
                <w:rFonts w:ascii="宋体" w:hAnsi="宋体"/>
                <w:sz w:val="24"/>
              </w:rPr>
            </w:pPr>
          </w:p>
        </w:tc>
        <w:tc>
          <w:tcPr>
            <w:tcW w:w="3060" w:type="dxa"/>
            <w:vAlign w:val="center"/>
          </w:tcPr>
          <w:p w14:paraId="19A64A5E">
            <w:pPr>
              <w:rPr>
                <w:rFonts w:ascii="宋体" w:hAnsi="宋体"/>
                <w:sz w:val="24"/>
              </w:rPr>
            </w:pPr>
          </w:p>
        </w:tc>
        <w:tc>
          <w:tcPr>
            <w:tcW w:w="3554" w:type="dxa"/>
            <w:vAlign w:val="center"/>
          </w:tcPr>
          <w:p w14:paraId="0725EF09">
            <w:pPr>
              <w:rPr>
                <w:rFonts w:ascii="宋体" w:hAnsi="宋体"/>
                <w:sz w:val="24"/>
              </w:rPr>
            </w:pPr>
          </w:p>
        </w:tc>
      </w:tr>
      <w:tr w14:paraId="007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C97529">
            <w:pPr>
              <w:jc w:val="center"/>
              <w:rPr>
                <w:rFonts w:ascii="宋体" w:hAnsi="宋体"/>
                <w:sz w:val="24"/>
              </w:rPr>
            </w:pPr>
            <w:r>
              <w:rPr>
                <w:rFonts w:hint="eastAsia" w:ascii="宋体" w:hAnsi="宋体"/>
                <w:sz w:val="24"/>
              </w:rPr>
              <w:t>10</w:t>
            </w:r>
          </w:p>
        </w:tc>
        <w:tc>
          <w:tcPr>
            <w:tcW w:w="1080" w:type="dxa"/>
            <w:vAlign w:val="center"/>
          </w:tcPr>
          <w:p w14:paraId="442A1958">
            <w:pPr>
              <w:rPr>
                <w:rFonts w:ascii="宋体" w:hAnsi="宋体"/>
                <w:sz w:val="24"/>
              </w:rPr>
            </w:pPr>
          </w:p>
        </w:tc>
        <w:tc>
          <w:tcPr>
            <w:tcW w:w="3060" w:type="dxa"/>
            <w:vAlign w:val="center"/>
          </w:tcPr>
          <w:p w14:paraId="2A663E6C">
            <w:pPr>
              <w:rPr>
                <w:rFonts w:ascii="宋体" w:hAnsi="宋体"/>
                <w:sz w:val="24"/>
              </w:rPr>
            </w:pPr>
          </w:p>
        </w:tc>
        <w:tc>
          <w:tcPr>
            <w:tcW w:w="3554" w:type="dxa"/>
            <w:vAlign w:val="center"/>
          </w:tcPr>
          <w:p w14:paraId="2F108909">
            <w:pPr>
              <w:rPr>
                <w:rFonts w:ascii="宋体" w:hAnsi="宋体"/>
                <w:sz w:val="24"/>
              </w:rPr>
            </w:pPr>
          </w:p>
        </w:tc>
      </w:tr>
    </w:tbl>
    <w:p w14:paraId="6794DDDE">
      <w:pPr>
        <w:rPr>
          <w:rFonts w:ascii="宋体" w:hAnsi="宋体"/>
          <w:sz w:val="24"/>
        </w:rPr>
      </w:pPr>
    </w:p>
    <w:p w14:paraId="44B2CD4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1F57B82">
      <w:pPr>
        <w:rPr>
          <w:rFonts w:ascii="宋体" w:hAnsi="宋体"/>
          <w:sz w:val="24"/>
        </w:rPr>
      </w:pPr>
    </w:p>
    <w:p w14:paraId="25A5C9F4">
      <w:pPr>
        <w:rPr>
          <w:rFonts w:ascii="宋体" w:hAnsi="宋体"/>
          <w:sz w:val="24"/>
        </w:rPr>
      </w:pPr>
    </w:p>
    <w:p w14:paraId="66B5F13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4CD79">
      <w:pPr>
        <w:rPr>
          <w:rFonts w:ascii="宋体" w:hAnsi="宋体"/>
          <w:sz w:val="24"/>
        </w:rPr>
      </w:pPr>
    </w:p>
    <w:bookmarkEnd w:id="2"/>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 xml:space="preserve">格式6 </w:t>
      </w:r>
    </w:p>
    <w:p w14:paraId="7367BF68">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77E0BBCA">
      <w:pPr>
        <w:pStyle w:val="5"/>
        <w:spacing w:line="360" w:lineRule="auto"/>
        <w:ind w:left="885"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5"/>
        <w:spacing w:line="360" w:lineRule="auto"/>
        <w:ind w:firstLine="240" w:firstLineChars="100"/>
        <w:rPr>
          <w:rFonts w:ascii="仿宋_GB2312" w:hAnsi="宋体" w:eastAsia="仿宋_GB2312"/>
          <w:sz w:val="24"/>
        </w:rPr>
      </w:pPr>
    </w:p>
    <w:p w14:paraId="69D1ED43">
      <w:pPr>
        <w:pStyle w:val="5"/>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5"/>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501718C3">
      <w:pPr>
        <w:rPr>
          <w:rFonts w:eastAsia="黑体"/>
          <w:b/>
          <w:bCs/>
          <w:sz w:val="28"/>
        </w:rPr>
      </w:pPr>
      <w:r>
        <w:rPr>
          <w:rFonts w:hint="eastAsia" w:eastAsia="黑体"/>
          <w:b/>
          <w:bCs/>
          <w:sz w:val="28"/>
        </w:rPr>
        <w:t>格式7</w:t>
      </w:r>
    </w:p>
    <w:p w14:paraId="1029FF00">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42C60B5C">
      <w:pPr>
        <w:pStyle w:val="5"/>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5"/>
        <w:spacing w:line="360" w:lineRule="auto"/>
        <w:rPr>
          <w:rFonts w:hAnsi="宋体"/>
          <w:b/>
          <w:sz w:val="24"/>
          <w:szCs w:val="24"/>
        </w:rPr>
      </w:pPr>
    </w:p>
    <w:p w14:paraId="79299EA5">
      <w:pPr>
        <w:pStyle w:val="5"/>
        <w:spacing w:line="360" w:lineRule="auto"/>
        <w:rPr>
          <w:rFonts w:hAnsi="宋体"/>
          <w:b/>
          <w:sz w:val="24"/>
          <w:szCs w:val="24"/>
        </w:rPr>
      </w:pPr>
    </w:p>
    <w:p w14:paraId="49CBE36B">
      <w:pPr>
        <w:pStyle w:val="5"/>
        <w:spacing w:line="360" w:lineRule="auto"/>
        <w:rPr>
          <w:rFonts w:hAnsi="宋体"/>
          <w:b/>
          <w:sz w:val="24"/>
          <w:szCs w:val="24"/>
        </w:rPr>
      </w:pPr>
    </w:p>
    <w:p w14:paraId="5194BA03">
      <w:pPr>
        <w:pStyle w:val="5"/>
        <w:spacing w:line="360" w:lineRule="auto"/>
        <w:rPr>
          <w:rFonts w:hAnsi="宋体"/>
          <w:b/>
          <w:sz w:val="24"/>
          <w:szCs w:val="24"/>
        </w:rPr>
      </w:pPr>
    </w:p>
    <w:p w14:paraId="51F7DE64">
      <w:pPr>
        <w:pStyle w:val="5"/>
        <w:spacing w:line="360" w:lineRule="auto"/>
        <w:rPr>
          <w:rFonts w:hAnsi="宋体"/>
          <w:b/>
          <w:sz w:val="24"/>
          <w:szCs w:val="24"/>
        </w:rPr>
      </w:pPr>
    </w:p>
    <w:p w14:paraId="4AF4DA11">
      <w:pPr>
        <w:rPr>
          <w:rFonts w:eastAsia="黑体"/>
          <w:b/>
          <w:bCs/>
          <w:sz w:val="28"/>
        </w:rPr>
      </w:pPr>
      <w:r>
        <w:rPr>
          <w:rFonts w:hint="eastAsia" w:eastAsia="黑体"/>
          <w:b/>
          <w:bCs/>
          <w:sz w:val="28"/>
        </w:rPr>
        <w:t>格式8</w:t>
      </w:r>
    </w:p>
    <w:p w14:paraId="0817C7B0">
      <w:pPr>
        <w:rPr>
          <w:rFonts w:ascii="宋体" w:hAnsi="宋体"/>
        </w:rPr>
      </w:pPr>
      <w:r>
        <w:rPr>
          <w:rFonts w:hint="eastAsia" w:ascii="宋体" w:hAnsi="宋体"/>
        </w:rPr>
        <w:t>项目名称：</w:t>
      </w:r>
      <w:r>
        <w:rPr>
          <w:rFonts w:hint="eastAsia" w:ascii="宋体" w:hAnsi="宋体"/>
          <w:lang w:val="en-US" w:eastAsia="zh-CN"/>
        </w:rPr>
        <w:t>2026年中国重汽集团能源管道设施年度维修项目</w:t>
      </w:r>
    </w:p>
    <w:p w14:paraId="7E4A4DB5">
      <w:pPr>
        <w:pStyle w:val="5"/>
        <w:spacing w:line="360" w:lineRule="auto"/>
        <w:ind w:left="885"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F85090">
            <w:pPr>
              <w:pStyle w:val="5"/>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5"/>
              <w:spacing w:line="360" w:lineRule="auto"/>
            </w:pPr>
            <w:r>
              <w:rPr>
                <w:rFonts w:hint="eastAsia"/>
              </w:rPr>
              <w:t>开户银行：</w:t>
            </w:r>
          </w:p>
        </w:tc>
      </w:tr>
      <w:tr w14:paraId="716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2272CB">
            <w:pPr>
              <w:pStyle w:val="5"/>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5"/>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5"/>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5"/>
              <w:spacing w:line="360" w:lineRule="auto"/>
            </w:pPr>
            <w:r>
              <w:rPr>
                <w:rFonts w:hint="eastAsia"/>
              </w:rPr>
              <w:t>纳税人识别号：</w:t>
            </w:r>
          </w:p>
        </w:tc>
      </w:tr>
    </w:tbl>
    <w:p w14:paraId="7CAD32F2">
      <w:pPr>
        <w:pStyle w:val="5"/>
        <w:spacing w:line="360" w:lineRule="auto"/>
        <w:ind w:firstLine="240" w:firstLineChars="100"/>
        <w:rPr>
          <w:rFonts w:ascii="仿宋_GB2312" w:hAnsi="宋体" w:eastAsia="仿宋_GB2312"/>
          <w:color w:val="000000"/>
          <w:sz w:val="24"/>
        </w:rPr>
      </w:pPr>
    </w:p>
    <w:p w14:paraId="7F856A90">
      <w:pPr>
        <w:pStyle w:val="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5"/>
        <w:spacing w:line="360" w:lineRule="auto"/>
        <w:rPr>
          <w:rFonts w:hAnsi="宋体"/>
          <w:b/>
          <w:sz w:val="24"/>
          <w:szCs w:val="24"/>
        </w:rPr>
      </w:pPr>
    </w:p>
    <w:p w14:paraId="2673C8A5">
      <w:pPr>
        <w:pStyle w:val="5"/>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eastAsia="黑体"/>
          <w:b/>
          <w:bCs/>
          <w:sz w:val="28"/>
        </w:rPr>
      </w:pPr>
      <w:r>
        <w:rPr>
          <w:rFonts w:hint="eastAsia" w:eastAsia="黑体"/>
          <w:b/>
          <w:bCs/>
          <w:sz w:val="28"/>
        </w:rPr>
        <w:t>格式9</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eastAsia="黑体"/>
          <w:b/>
          <w:bCs/>
          <w:sz w:val="28"/>
        </w:rPr>
      </w:pPr>
      <w:r>
        <w:rPr>
          <w:rFonts w:hint="eastAsia" w:eastAsia="黑体"/>
          <w:b/>
          <w:bCs/>
          <w:sz w:val="28"/>
        </w:rPr>
        <w:t>格式10</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7"/>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7"/>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8"/>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eastAsia="黑体"/>
          <w:b/>
          <w:bCs/>
          <w:sz w:val="28"/>
        </w:rPr>
      </w:pPr>
      <w:r>
        <w:rPr>
          <w:rFonts w:hint="eastAsia" w:eastAsia="黑体"/>
          <w:b/>
          <w:bCs/>
          <w:sz w:val="28"/>
        </w:rPr>
        <w:t>格式12</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9"/>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9"/>
        </w:numPr>
        <w:spacing w:line="360" w:lineRule="auto"/>
        <w:rPr>
          <w:rFonts w:ascii="宋体" w:hAnsi="宋体"/>
          <w:sz w:val="24"/>
        </w:rPr>
      </w:pPr>
      <w:r>
        <w:rPr>
          <w:rFonts w:hint="eastAsia" w:ascii="宋体" w:hAnsi="宋体"/>
          <w:sz w:val="24"/>
        </w:rPr>
        <w:t>我单位针对本项目提供的其他质量承诺 。</w:t>
      </w:r>
    </w:p>
    <w:p w14:paraId="7D537848">
      <w:pPr>
        <w:spacing w:line="360" w:lineRule="auto"/>
        <w:ind w:left="480"/>
        <w:rPr>
          <w:rFonts w:ascii="宋体" w:hAnsi="宋体"/>
          <w:sz w:val="24"/>
        </w:rPr>
      </w:pPr>
    </w:p>
    <w:p w14:paraId="07F8670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40CEA6F3">
      <w:pPr>
        <w:spacing w:line="360" w:lineRule="auto"/>
        <w:ind w:left="480"/>
        <w:rPr>
          <w:rFonts w:ascii="宋体" w:hAnsi="宋体"/>
          <w:sz w:val="24"/>
        </w:rPr>
      </w:pPr>
      <w:r>
        <w:rPr>
          <w:rFonts w:hint="eastAsia" w:ascii="宋体" w:hAnsi="宋体"/>
          <w:sz w:val="24"/>
        </w:rPr>
        <w:t xml:space="preserve">                            法定代表人或授权代理人签字：                日    期：</w:t>
      </w:r>
    </w:p>
    <w:p w14:paraId="65711A4D">
      <w:pPr>
        <w:rPr>
          <w:rFonts w:ascii="宋体" w:hAnsi="宋体"/>
          <w:sz w:val="24"/>
        </w:rPr>
      </w:pPr>
      <w:r>
        <w:rPr>
          <w:rFonts w:hint="eastAsia" w:ascii="宋体" w:hAnsi="宋体"/>
          <w:sz w:val="24"/>
        </w:rPr>
        <w:br w:type="page"/>
      </w:r>
    </w:p>
    <w:p w14:paraId="229A285F">
      <w:pPr>
        <w:spacing w:line="360" w:lineRule="auto"/>
        <w:ind w:left="480"/>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29E73967">
      <w:pPr>
        <w:pStyle w:val="5"/>
        <w:spacing w:line="360" w:lineRule="auto"/>
        <w:rPr>
          <w:rFonts w:ascii="黑体" w:hAnsi="黑体" w:eastAsia="黑体"/>
          <w:b/>
          <w:bCs/>
          <w:sz w:val="28"/>
          <w:szCs w:val="28"/>
        </w:rPr>
      </w:pPr>
      <w:r>
        <w:rPr>
          <w:rFonts w:hint="eastAsia" w:ascii="黑体" w:hAnsi="黑体" w:eastAsia="黑体"/>
          <w:b/>
          <w:bCs/>
          <w:sz w:val="28"/>
          <w:szCs w:val="28"/>
        </w:rPr>
        <w:t>一、项目名称</w:t>
      </w:r>
    </w:p>
    <w:p w14:paraId="101F9732">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lang w:val="en-US" w:eastAsia="zh-CN"/>
        </w:rPr>
        <w:t>2026年中国重汽集团能源管道设施年度维修项目</w:t>
      </w:r>
    </w:p>
    <w:p w14:paraId="4EF392E6">
      <w:pPr>
        <w:pStyle w:val="5"/>
        <w:numPr>
          <w:ilvl w:val="0"/>
          <w:numId w:val="10"/>
        </w:numPr>
        <w:spacing w:line="360" w:lineRule="auto"/>
        <w:rPr>
          <w:rFonts w:ascii="黑体" w:hAnsi="黑体" w:eastAsia="黑体"/>
          <w:b/>
          <w:bCs/>
          <w:sz w:val="28"/>
          <w:szCs w:val="28"/>
        </w:rPr>
      </w:pPr>
      <w:r>
        <w:rPr>
          <w:rFonts w:hint="eastAsia" w:ascii="黑体" w:hAnsi="黑体" w:eastAsia="黑体"/>
          <w:b/>
          <w:bCs/>
          <w:sz w:val="28"/>
          <w:szCs w:val="28"/>
        </w:rPr>
        <w:t>主要技术状态说明</w:t>
      </w:r>
    </w:p>
    <w:p w14:paraId="41D30689">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详见《</w:t>
      </w:r>
      <w:r>
        <w:rPr>
          <w:rFonts w:hint="eastAsia" w:ascii="宋体" w:hAnsi="Times New Roman" w:eastAsia="宋体" w:cs="Times New Roman"/>
          <w:kern w:val="2"/>
          <w:sz w:val="21"/>
          <w:szCs w:val="22"/>
          <w:lang w:val="en-US" w:eastAsia="zh-CN"/>
        </w:rPr>
        <w:t>2026年</w:t>
      </w:r>
      <w:r>
        <w:rPr>
          <w:rFonts w:hint="eastAsia" w:ascii="宋体" w:hAnsi="Times New Roman" w:eastAsia="宋体" w:cs="Times New Roman"/>
          <w:kern w:val="2"/>
          <w:sz w:val="21"/>
          <w:szCs w:val="22"/>
        </w:rPr>
        <w:t>中国重汽集团</w:t>
      </w:r>
      <w:r>
        <w:rPr>
          <w:rFonts w:hint="eastAsia" w:ascii="宋体" w:hAnsi="Times New Roman" w:eastAsia="宋体" w:cs="Times New Roman"/>
          <w:kern w:val="2"/>
          <w:sz w:val="21"/>
          <w:szCs w:val="22"/>
          <w:lang w:eastAsia="zh-CN"/>
        </w:rPr>
        <w:t>能源管道设施年度维修</w:t>
      </w:r>
      <w:r>
        <w:rPr>
          <w:rFonts w:hint="eastAsia" w:ascii="宋体" w:hAnsi="Times New Roman" w:eastAsia="宋体" w:cs="Times New Roman"/>
          <w:kern w:val="2"/>
          <w:sz w:val="21"/>
          <w:szCs w:val="22"/>
        </w:rPr>
        <w:t>项目</w:t>
      </w:r>
      <w:r>
        <w:rPr>
          <w:rFonts w:hint="eastAsia" w:ascii="宋体" w:hAnsi="Times New Roman" w:eastAsia="宋体" w:cs="Times New Roman"/>
          <w:kern w:val="2"/>
          <w:sz w:val="21"/>
          <w:szCs w:val="22"/>
          <w:lang w:eastAsia="zh-CN"/>
        </w:rPr>
        <w:t>分项报价</w:t>
      </w:r>
      <w:r>
        <w:rPr>
          <w:rFonts w:hint="eastAsia" w:ascii="宋体" w:hAnsi="Times New Roman" w:eastAsia="宋体" w:cs="Times New Roman"/>
          <w:kern w:val="2"/>
          <w:sz w:val="21"/>
          <w:szCs w:val="22"/>
          <w:lang w:val="en-US" w:eastAsia="zh-CN"/>
        </w:rPr>
        <w:t>表</w:t>
      </w:r>
      <w:r>
        <w:rPr>
          <w:rFonts w:hint="eastAsia" w:ascii="宋体" w:hAnsi="Times New Roman" w:eastAsia="宋体" w:cs="Times New Roman"/>
          <w:kern w:val="2"/>
          <w:sz w:val="21"/>
          <w:szCs w:val="22"/>
        </w:rPr>
        <w:t>》</w:t>
      </w:r>
    </w:p>
    <w:p w14:paraId="7CB12BBF">
      <w:pPr>
        <w:pStyle w:val="5"/>
        <w:spacing w:line="360" w:lineRule="auto"/>
        <w:rPr>
          <w:rFonts w:ascii="黑体" w:eastAsia="黑体"/>
          <w:b/>
          <w:bCs/>
          <w:sz w:val="28"/>
          <w:szCs w:val="28"/>
        </w:rPr>
      </w:pPr>
      <w:r>
        <w:rPr>
          <w:rFonts w:hint="eastAsia" w:ascii="黑体" w:eastAsia="黑体"/>
          <w:b/>
          <w:bCs/>
          <w:sz w:val="28"/>
          <w:szCs w:val="28"/>
        </w:rPr>
        <w:t>三、质量要求</w:t>
      </w:r>
    </w:p>
    <w:p w14:paraId="35C15324">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材料的选用、施工过程工艺、施工措施等应遵循的相关规范及对质量的要求： </w:t>
      </w:r>
    </w:p>
    <w:p w14:paraId="1F6DFB91">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GB20235《工业金属管道工程施工及验收规范》、</w:t>
      </w:r>
    </w:p>
    <w:p w14:paraId="02964BA6">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GB50236《现场设备、工业管道焊接工程施工及验收规范》、</w:t>
      </w:r>
    </w:p>
    <w:p w14:paraId="3E8795BF">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HGJ 229《工业设备、管道防腐蚀工程施工及验收规范》</w:t>
      </w:r>
    </w:p>
    <w:p w14:paraId="15375DA9">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TSG D0001《压力管道安全技术监察规程-工业管道》</w:t>
      </w:r>
    </w:p>
    <w:p w14:paraId="7F0DB7D1">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GB/T20801.5《压力管道规范工业管道检验与试验》</w:t>
      </w:r>
    </w:p>
    <w:p w14:paraId="077B4548">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rPr>
        <w:t>GB7231-2003《工业管道的基本识别色和识别符号》</w:t>
      </w:r>
    </w:p>
    <w:p w14:paraId="3D7E132B">
      <w:pPr>
        <w:pStyle w:val="5"/>
        <w:spacing w:line="360" w:lineRule="auto"/>
        <w:rPr>
          <w:sz w:val="22"/>
          <w:szCs w:val="22"/>
        </w:rPr>
      </w:pPr>
      <w:r>
        <w:rPr>
          <w:rFonts w:hint="eastAsia" w:ascii="黑体" w:eastAsia="黑体"/>
          <w:b/>
          <w:bCs/>
          <w:sz w:val="28"/>
          <w:szCs w:val="28"/>
        </w:rPr>
        <w:t>四、检测方法及规则</w:t>
      </w:r>
    </w:p>
    <w:p w14:paraId="31415394">
      <w:pPr>
        <w:pStyle w:val="9"/>
        <w:widowControl/>
        <w:numPr>
          <w:ilvl w:val="0"/>
          <w:numId w:val="11"/>
        </w:numPr>
        <w:shd w:val="clear" w:color="auto" w:fill="FFFFFF"/>
        <w:spacing w:line="360" w:lineRule="auto"/>
        <w:rPr>
          <w:rFonts w:ascii="宋体"/>
          <w:sz w:val="21"/>
          <w:szCs w:val="22"/>
        </w:rPr>
      </w:pPr>
      <w:r>
        <w:rPr>
          <w:rFonts w:hint="eastAsia" w:ascii="宋体"/>
          <w:sz w:val="21"/>
          <w:szCs w:val="22"/>
        </w:rPr>
        <w:t>零星维修前由双方对设备技术状态进行共同鉴定，并由双方签字认可，双方各留存一份，作为验收的依据。</w:t>
      </w:r>
    </w:p>
    <w:p w14:paraId="3D3CC72F">
      <w:pPr>
        <w:pStyle w:val="9"/>
        <w:widowControl/>
        <w:numPr>
          <w:ilvl w:val="0"/>
          <w:numId w:val="11"/>
        </w:numPr>
        <w:shd w:val="clear" w:color="auto" w:fill="FFFFFF"/>
        <w:spacing w:line="360" w:lineRule="auto"/>
        <w:rPr>
          <w:rFonts w:ascii="宋体"/>
          <w:sz w:val="21"/>
          <w:szCs w:val="22"/>
        </w:rPr>
      </w:pPr>
      <w:r>
        <w:rPr>
          <w:rFonts w:hint="eastAsia" w:ascii="宋体"/>
          <w:sz w:val="21"/>
          <w:szCs w:val="22"/>
        </w:rPr>
        <w:t>设备管道类的零星维修，必须严格按照相应的安装验收规范及设备技术文件规定的技术条件以及经委托方批准的图纸进行。   </w:t>
      </w:r>
    </w:p>
    <w:p w14:paraId="4E7BCC92">
      <w:pPr>
        <w:pStyle w:val="9"/>
        <w:widowControl/>
        <w:numPr>
          <w:ilvl w:val="0"/>
          <w:numId w:val="11"/>
        </w:numPr>
        <w:shd w:val="clear" w:color="auto" w:fill="FFFFFF"/>
        <w:spacing w:line="360" w:lineRule="auto"/>
        <w:rPr>
          <w:rFonts w:ascii="宋体"/>
          <w:sz w:val="21"/>
          <w:szCs w:val="22"/>
        </w:rPr>
      </w:pPr>
      <w:r>
        <w:rPr>
          <w:rFonts w:hint="eastAsia" w:ascii="宋体"/>
          <w:sz w:val="21"/>
          <w:szCs w:val="22"/>
        </w:rPr>
        <w:t>安装设备若需承揽方提供材料，所有材料必须符合设计规定和产品标准。 </w:t>
      </w:r>
    </w:p>
    <w:p w14:paraId="671C9DB4">
      <w:pPr>
        <w:pStyle w:val="9"/>
        <w:widowControl/>
        <w:numPr>
          <w:ilvl w:val="0"/>
          <w:numId w:val="11"/>
        </w:numPr>
        <w:shd w:val="clear" w:color="auto" w:fill="FFFFFF"/>
        <w:spacing w:line="360" w:lineRule="auto"/>
        <w:rPr>
          <w:rFonts w:ascii="宋体"/>
          <w:sz w:val="21"/>
          <w:szCs w:val="22"/>
        </w:rPr>
      </w:pPr>
      <w:bookmarkStart w:id="3" w:name="_Toc62482928"/>
      <w:bookmarkStart w:id="4" w:name="_Toc56262188"/>
      <w:r>
        <w:rPr>
          <w:rFonts w:hint="eastAsia" w:ascii="宋体"/>
          <w:sz w:val="21"/>
          <w:szCs w:val="22"/>
        </w:rPr>
        <w:t>管材：若无特殊要求，管径大于DN50者为内外热浸镀锌无缝钢管，焊接，焊口处刷红丹防锈漆两道，再刷银粉漆一道；管径小于等于DN50者为热浸镀锌钢管，丝接。无缝钢管执行标准GB/T8163，镀锌钢管执行标准GB/T3091。</w:t>
      </w:r>
      <w:bookmarkEnd w:id="3"/>
      <w:bookmarkEnd w:id="4"/>
    </w:p>
    <w:p w14:paraId="7E969B42">
      <w:pPr>
        <w:pStyle w:val="9"/>
        <w:widowControl/>
        <w:numPr>
          <w:ilvl w:val="0"/>
          <w:numId w:val="11"/>
        </w:numPr>
        <w:shd w:val="clear" w:color="auto" w:fill="FFFFFF"/>
        <w:spacing w:line="360" w:lineRule="auto"/>
        <w:rPr>
          <w:rFonts w:ascii="宋体"/>
          <w:sz w:val="21"/>
          <w:szCs w:val="22"/>
        </w:rPr>
      </w:pPr>
      <w:bookmarkStart w:id="5" w:name="_Toc62482929"/>
      <w:r>
        <w:rPr>
          <w:rFonts w:hint="eastAsia" w:ascii="宋体"/>
          <w:sz w:val="21"/>
          <w:szCs w:val="22"/>
        </w:rPr>
        <w:t>管道焊接时按30°打坡口才允许焊接,焊条为E4303,焊缝长度为满焊,高度为被焊件的最小厚度，无缝钢管的焊接要求按GB985标准中有关规定执行，焊接时严防铁锈、焊渣等物掉入管内。</w:t>
      </w:r>
      <w:bookmarkEnd w:id="5"/>
    </w:p>
    <w:p w14:paraId="7AB7A101">
      <w:pPr>
        <w:pStyle w:val="9"/>
        <w:widowControl/>
        <w:numPr>
          <w:ilvl w:val="0"/>
          <w:numId w:val="11"/>
        </w:numPr>
        <w:shd w:val="clear" w:color="auto" w:fill="FFFFFF"/>
        <w:spacing w:line="360" w:lineRule="auto"/>
        <w:rPr>
          <w:rFonts w:ascii="宋体"/>
          <w:sz w:val="21"/>
          <w:szCs w:val="22"/>
        </w:rPr>
      </w:pPr>
      <w:bookmarkStart w:id="6" w:name="_Toc62482930"/>
      <w:r>
        <w:rPr>
          <w:rFonts w:hint="eastAsia" w:ascii="宋体"/>
          <w:sz w:val="21"/>
          <w:szCs w:val="22"/>
        </w:rPr>
        <w:t>管道穿墙及穿楼板均应设套管，套管比墙壁长10~20mm，管道焊缝不应设在穿墙套管内, 穿楼板的管道应采取挡雨措施。</w:t>
      </w:r>
      <w:bookmarkEnd w:id="6"/>
    </w:p>
    <w:p w14:paraId="699F5BA4">
      <w:pPr>
        <w:pStyle w:val="9"/>
        <w:widowControl/>
        <w:numPr>
          <w:ilvl w:val="0"/>
          <w:numId w:val="11"/>
        </w:numPr>
        <w:shd w:val="clear" w:color="auto" w:fill="FFFFFF"/>
        <w:spacing w:line="360" w:lineRule="auto"/>
        <w:rPr>
          <w:rFonts w:ascii="宋体"/>
          <w:sz w:val="21"/>
          <w:szCs w:val="22"/>
        </w:rPr>
      </w:pPr>
      <w:bookmarkStart w:id="7" w:name="_Toc62482931"/>
      <w:r>
        <w:rPr>
          <w:rFonts w:hint="eastAsia" w:ascii="宋体"/>
          <w:sz w:val="21"/>
          <w:szCs w:val="22"/>
        </w:rPr>
        <w:t>管道安装时,其焊缝不得设在支架及穿墙的管路内；管道穿墙应敷设在钢套管内，在套管内的直管段不应有焊缝。套管直径比管道直径大 2号，套管与管子之间用石棉绳及防火材料填实。</w:t>
      </w:r>
      <w:bookmarkEnd w:id="7"/>
    </w:p>
    <w:p w14:paraId="3C458802">
      <w:pPr>
        <w:pStyle w:val="9"/>
        <w:widowControl/>
        <w:numPr>
          <w:ilvl w:val="0"/>
          <w:numId w:val="11"/>
        </w:numPr>
        <w:shd w:val="clear" w:color="auto" w:fill="FFFFFF"/>
        <w:spacing w:line="360" w:lineRule="auto"/>
        <w:rPr>
          <w:rFonts w:ascii="宋体"/>
          <w:sz w:val="21"/>
          <w:szCs w:val="22"/>
        </w:rPr>
      </w:pPr>
      <w:bookmarkStart w:id="8" w:name="_Toc62482932"/>
      <w:r>
        <w:rPr>
          <w:rFonts w:hint="eastAsia" w:ascii="宋体"/>
          <w:sz w:val="21"/>
          <w:szCs w:val="22"/>
        </w:rPr>
        <w:t>管道法兰：管道法兰采用凸面板式平焊钢管法兰，法兰垫片：管道采用橡胶或金属垫片，当DN＞50mm时，采用无缝冲压弯头,R=1.5DN。</w:t>
      </w:r>
      <w:bookmarkEnd w:id="8"/>
    </w:p>
    <w:p w14:paraId="1D07ED49">
      <w:pPr>
        <w:pStyle w:val="9"/>
        <w:widowControl/>
        <w:numPr>
          <w:ilvl w:val="0"/>
          <w:numId w:val="11"/>
        </w:numPr>
        <w:shd w:val="clear" w:color="auto" w:fill="FFFFFF"/>
        <w:spacing w:line="360" w:lineRule="auto"/>
        <w:rPr>
          <w:rFonts w:ascii="宋体"/>
          <w:sz w:val="21"/>
          <w:szCs w:val="22"/>
        </w:rPr>
      </w:pPr>
      <w:bookmarkStart w:id="9" w:name="_Toc62482933"/>
      <w:r>
        <w:rPr>
          <w:rFonts w:hint="eastAsia" w:ascii="宋体"/>
          <w:sz w:val="21"/>
          <w:szCs w:val="22"/>
        </w:rPr>
        <w:t>乙方提供材料须经甲方质量检验合格后方可使用，管道钢构件经招标方同意可借用原管道支架。管道支架、支座及零件在去锈除污后刷防锈漆两遍，灰色面漆一道。</w:t>
      </w:r>
      <w:bookmarkEnd w:id="9"/>
    </w:p>
    <w:p w14:paraId="757CE682">
      <w:pPr>
        <w:pStyle w:val="9"/>
        <w:widowControl/>
        <w:numPr>
          <w:ilvl w:val="0"/>
          <w:numId w:val="11"/>
        </w:numPr>
        <w:shd w:val="clear" w:color="auto" w:fill="FFFFFF"/>
        <w:spacing w:line="360" w:lineRule="auto"/>
        <w:rPr>
          <w:rFonts w:ascii="宋体"/>
          <w:sz w:val="21"/>
          <w:szCs w:val="22"/>
        </w:rPr>
      </w:pPr>
      <w:bookmarkStart w:id="10" w:name="_Toc62482936"/>
      <w:r>
        <w:rPr>
          <w:rFonts w:hint="eastAsia" w:ascii="宋体"/>
          <w:sz w:val="21"/>
          <w:szCs w:val="22"/>
        </w:rPr>
        <w:t>管道安装完毕后做气压强度试验，试验介质采用含尘粒径不大于0.5um的氮气等惰性气体，试验压力1.15倍设计压力。压力应逐级缓慢上升。先升至试验压力的50%，进行检查，如无泄露及异常现象，可继续按试验压力的10%逐级升压，每一级稳压3min，达到气压试验压力后，稳压10min，再将压力将至设计压力，用肥皂水或检漏液检查，如无泄露，压力不降为合格。</w:t>
      </w:r>
      <w:bookmarkEnd w:id="10"/>
      <w:bookmarkStart w:id="11" w:name="_Toc62482937"/>
      <w:r>
        <w:rPr>
          <w:rFonts w:hint="eastAsia" w:ascii="宋体"/>
          <w:sz w:val="21"/>
          <w:szCs w:val="22"/>
        </w:rPr>
        <w:t>管道在压力试验合格后，应进行吹扫。吹扫介质使用氮气,在吹扫过程中，在排气口用白布或涂有白漆打靶板检查，如5分钟内检查其上, 无铁锈、尘土、水分及其他杂物,即为合格。</w:t>
      </w:r>
      <w:bookmarkEnd w:id="11"/>
    </w:p>
    <w:p w14:paraId="3A0D166D">
      <w:pPr>
        <w:pStyle w:val="9"/>
        <w:widowControl/>
        <w:numPr>
          <w:ilvl w:val="0"/>
          <w:numId w:val="11"/>
        </w:numPr>
        <w:shd w:val="clear" w:color="auto" w:fill="FFFFFF"/>
        <w:spacing w:line="360" w:lineRule="auto"/>
        <w:rPr>
          <w:rFonts w:ascii="宋体"/>
          <w:sz w:val="21"/>
          <w:szCs w:val="22"/>
        </w:rPr>
      </w:pPr>
      <w:bookmarkStart w:id="12" w:name="_Toc62482938"/>
      <w:r>
        <w:rPr>
          <w:rFonts w:hint="eastAsia" w:ascii="宋体"/>
          <w:sz w:val="21"/>
          <w:szCs w:val="22"/>
        </w:rPr>
        <w:t>管道标识应按照相应规范粘贴。</w:t>
      </w:r>
      <w:bookmarkEnd w:id="12"/>
    </w:p>
    <w:p w14:paraId="30A87BD3">
      <w:pPr>
        <w:pStyle w:val="9"/>
        <w:widowControl/>
        <w:numPr>
          <w:ilvl w:val="0"/>
          <w:numId w:val="11"/>
        </w:numPr>
        <w:shd w:val="clear" w:color="auto" w:fill="FFFFFF"/>
        <w:spacing w:line="360" w:lineRule="auto"/>
        <w:rPr>
          <w:rFonts w:ascii="宋体"/>
          <w:sz w:val="21"/>
          <w:szCs w:val="22"/>
        </w:rPr>
      </w:pPr>
      <w:r>
        <w:rPr>
          <w:rFonts w:hint="eastAsia" w:ascii="宋体"/>
          <w:sz w:val="21"/>
          <w:szCs w:val="22"/>
        </w:rPr>
        <w:t>施工人员需取得相关证件，施工过程中使用的机械及工具类均应符合国家安全要求；</w:t>
      </w:r>
    </w:p>
    <w:p w14:paraId="7CDB1DCD">
      <w:pPr>
        <w:pStyle w:val="9"/>
        <w:widowControl/>
        <w:numPr>
          <w:ilvl w:val="0"/>
          <w:numId w:val="11"/>
        </w:numPr>
        <w:shd w:val="clear" w:color="auto" w:fill="FFFFFF"/>
        <w:spacing w:line="360" w:lineRule="auto"/>
        <w:rPr>
          <w:rFonts w:ascii="宋体"/>
          <w:sz w:val="21"/>
          <w:szCs w:val="22"/>
        </w:rPr>
      </w:pPr>
      <w:r>
        <w:rPr>
          <w:rFonts w:hint="eastAsia" w:ascii="宋体"/>
          <w:sz w:val="21"/>
          <w:szCs w:val="22"/>
        </w:rPr>
        <w:t>安全环保要求：承揽方在施工期间，必须服从委托方的管理，遵守委托方的厂规厂纪，必须符合委托方环保/职业健康安全的有关规定，做到安全施工文明生产，否则委托方有权停止承揽方的工作，并有权要求承揽方更换工作人员。因承揽方责任造成的安全事故，由承揽方承担全部责任。需另签安全施工协议。 </w:t>
      </w:r>
    </w:p>
    <w:p w14:paraId="3DD753AB">
      <w:pPr>
        <w:pStyle w:val="9"/>
        <w:widowControl/>
        <w:numPr>
          <w:ilvl w:val="0"/>
          <w:numId w:val="11"/>
        </w:numPr>
        <w:shd w:val="clear" w:color="auto" w:fill="FFFFFF"/>
        <w:spacing w:line="360" w:lineRule="auto"/>
        <w:rPr>
          <w:rFonts w:ascii="宋体"/>
          <w:sz w:val="21"/>
          <w:szCs w:val="22"/>
        </w:rPr>
      </w:pPr>
      <w:r>
        <w:rPr>
          <w:rFonts w:hint="eastAsia" w:ascii="宋体"/>
          <w:sz w:val="21"/>
          <w:szCs w:val="22"/>
        </w:rPr>
        <w:t>有特殊要求的设备，根据国家有关规定，由承揽方办理相关手续，并取得相关证照等。 </w:t>
      </w:r>
    </w:p>
    <w:p w14:paraId="27FFAF38">
      <w:pPr>
        <w:pStyle w:val="9"/>
        <w:widowControl/>
        <w:numPr>
          <w:ilvl w:val="0"/>
          <w:numId w:val="11"/>
        </w:numPr>
        <w:shd w:val="clear" w:color="auto" w:fill="FFFFFF"/>
        <w:spacing w:line="360" w:lineRule="auto"/>
        <w:rPr>
          <w:rFonts w:ascii="宋体"/>
          <w:sz w:val="21"/>
          <w:szCs w:val="22"/>
        </w:rPr>
      </w:pPr>
      <w:r>
        <w:rPr>
          <w:rFonts w:hint="eastAsia" w:ascii="宋体"/>
          <w:sz w:val="21"/>
          <w:szCs w:val="22"/>
        </w:rPr>
        <w:t>承揽方应具备相应的资质。其中：施工高度在2M以上项目需提供人员《高空类作业证》，接电作业者需提供《电工类作业证》，焊接作业者需提供《焊接与热切割类作业证》，车辆租赁类服务需提供相应合格在检定期内的《机动工业车辆定期检验报告》及相应种类的车辆驾驶《上岗证》。</w:t>
      </w:r>
    </w:p>
    <w:p w14:paraId="6541C352">
      <w:pPr>
        <w:pStyle w:val="9"/>
        <w:widowControl/>
        <w:numPr>
          <w:ilvl w:val="0"/>
          <w:numId w:val="11"/>
        </w:numPr>
        <w:shd w:val="clear" w:color="auto" w:fill="FFFFFF"/>
        <w:spacing w:line="360" w:lineRule="auto"/>
        <w:rPr>
          <w:rFonts w:ascii="宋体"/>
          <w:sz w:val="21"/>
          <w:szCs w:val="22"/>
        </w:rPr>
      </w:pPr>
      <w:r>
        <w:rPr>
          <w:rFonts w:hint="eastAsia" w:ascii="宋体"/>
          <w:sz w:val="21"/>
          <w:szCs w:val="22"/>
        </w:rPr>
        <w:t>投标参标方营业范围应包含水、气、暖等管道施工、维修类相关内容；</w:t>
      </w:r>
    </w:p>
    <w:p w14:paraId="4A8A7201">
      <w:pPr>
        <w:pStyle w:val="9"/>
        <w:widowControl/>
        <w:numPr>
          <w:ilvl w:val="0"/>
          <w:numId w:val="11"/>
        </w:numPr>
        <w:shd w:val="clear" w:color="auto" w:fill="FFFFFF"/>
        <w:spacing w:line="360" w:lineRule="auto"/>
        <w:rPr>
          <w:rFonts w:ascii="宋体"/>
          <w:sz w:val="21"/>
          <w:szCs w:val="22"/>
        </w:rPr>
      </w:pPr>
      <w:r>
        <w:rPr>
          <w:rFonts w:hint="eastAsia" w:ascii="宋体"/>
          <w:sz w:val="21"/>
          <w:szCs w:val="22"/>
        </w:rPr>
        <w:t>施工时间须服从招标方安排，不得影响招标方正常生产；</w:t>
      </w:r>
    </w:p>
    <w:p w14:paraId="4EF94BBC">
      <w:pPr>
        <w:pStyle w:val="9"/>
        <w:widowControl/>
        <w:numPr>
          <w:ilvl w:val="0"/>
          <w:numId w:val="11"/>
        </w:numPr>
        <w:shd w:val="clear" w:color="auto" w:fill="FFFFFF"/>
        <w:spacing w:line="360" w:lineRule="auto"/>
        <w:rPr>
          <w:rFonts w:ascii="宋体"/>
          <w:sz w:val="21"/>
          <w:szCs w:val="22"/>
        </w:rPr>
      </w:pPr>
      <w:r>
        <w:rPr>
          <w:rFonts w:hint="eastAsia" w:ascii="宋体"/>
          <w:sz w:val="21"/>
          <w:szCs w:val="22"/>
        </w:rPr>
        <w:t>技术标书内要有一般管道维修项目的技术方案，方案中要能体现自身管道维修的技术优势。</w:t>
      </w:r>
    </w:p>
    <w:p w14:paraId="305EDC44">
      <w:pPr>
        <w:pStyle w:val="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08C88710">
      <w:pPr>
        <w:numPr>
          <w:ilvl w:val="0"/>
          <w:numId w:val="12"/>
        </w:numPr>
        <w:spacing w:line="520" w:lineRule="exact"/>
        <w:ind w:left="425" w:leftChars="0" w:right="2" w:hanging="425" w:firstLineChars="0"/>
        <w:rPr>
          <w:rFonts w:ascii="宋体"/>
          <w:szCs w:val="22"/>
        </w:rPr>
      </w:pPr>
      <w:r>
        <w:rPr>
          <w:rFonts w:hint="eastAsia" w:ascii="宋体"/>
          <w:szCs w:val="22"/>
        </w:rPr>
        <w:t>所提供设备的包装，应遵照国家标准和有关包装、包皮的技术条件，或按照最好的商业惯例进行包装。</w:t>
      </w:r>
    </w:p>
    <w:p w14:paraId="51D4880A">
      <w:pPr>
        <w:numPr>
          <w:ilvl w:val="0"/>
          <w:numId w:val="12"/>
        </w:numPr>
        <w:spacing w:line="520" w:lineRule="exact"/>
        <w:ind w:left="425" w:leftChars="0" w:right="2" w:hanging="425" w:firstLineChars="0"/>
        <w:rPr>
          <w:rFonts w:ascii="宋体"/>
          <w:szCs w:val="22"/>
        </w:rPr>
      </w:pPr>
      <w:r>
        <w:rPr>
          <w:rFonts w:hint="eastAsia" w:ascii="宋体"/>
          <w:szCs w:val="22"/>
        </w:rPr>
        <w:t>包装应能满足所需要采取的运输方式（船运、汽运或铁路运输）、多次吊装卸装、卸货以及长期露天堆放要求，应能防止雨淋、受潮、生锈、腐蚀、受振、受磁以及机械和化学因素等引起的损坏。</w:t>
      </w:r>
    </w:p>
    <w:p w14:paraId="012E59BB">
      <w:pPr>
        <w:numPr>
          <w:ilvl w:val="0"/>
          <w:numId w:val="12"/>
        </w:numPr>
        <w:spacing w:line="520" w:lineRule="exact"/>
        <w:ind w:left="425" w:leftChars="0" w:right="2" w:hanging="425" w:firstLineChars="0"/>
        <w:rPr>
          <w:rFonts w:ascii="宋体"/>
          <w:szCs w:val="22"/>
        </w:rPr>
      </w:pPr>
      <w:r>
        <w:rPr>
          <w:rFonts w:hint="eastAsia" w:ascii="宋体"/>
          <w:szCs w:val="22"/>
        </w:rPr>
        <w:t>所提供设备的包装，应能防止其一般性被窃或受外力破坏；一般不得采用有大缝隙的板条包装。</w:t>
      </w:r>
    </w:p>
    <w:p w14:paraId="61FB4A7E">
      <w:pPr>
        <w:numPr>
          <w:ilvl w:val="0"/>
          <w:numId w:val="12"/>
        </w:numPr>
        <w:spacing w:line="520" w:lineRule="exact"/>
        <w:ind w:left="425" w:leftChars="0" w:right="2" w:hanging="425" w:firstLineChars="0"/>
        <w:rPr>
          <w:rFonts w:ascii="宋体"/>
          <w:szCs w:val="22"/>
        </w:rPr>
      </w:pPr>
      <w:r>
        <w:rPr>
          <w:rFonts w:hint="eastAsia" w:ascii="宋体"/>
          <w:szCs w:val="22"/>
        </w:rPr>
        <w:t>应对包装件做必要的加固和固定，以防止运输可能造成的损坏。</w:t>
      </w:r>
    </w:p>
    <w:p w14:paraId="3F6FBEEB">
      <w:pPr>
        <w:numPr>
          <w:ilvl w:val="0"/>
          <w:numId w:val="12"/>
        </w:numPr>
        <w:spacing w:line="520" w:lineRule="exact"/>
        <w:ind w:left="425" w:leftChars="0" w:right="2" w:hanging="425" w:firstLineChars="0"/>
        <w:rPr>
          <w:rFonts w:ascii="宋体"/>
          <w:szCs w:val="22"/>
        </w:rPr>
      </w:pPr>
      <w:r>
        <w:rPr>
          <w:rFonts w:hint="eastAsia" w:ascii="宋体"/>
          <w:szCs w:val="22"/>
        </w:rPr>
        <w:t>应负责将设备运到目的地，并必须做到设备在任何运输过程中不受损坏和遗失。</w:t>
      </w:r>
    </w:p>
    <w:p w14:paraId="4B503DCA">
      <w:pPr>
        <w:numPr>
          <w:ilvl w:val="0"/>
          <w:numId w:val="12"/>
        </w:numPr>
        <w:spacing w:line="520" w:lineRule="exact"/>
        <w:ind w:left="425" w:leftChars="0" w:right="2" w:hanging="425" w:firstLineChars="0"/>
        <w:rPr>
          <w:rFonts w:ascii="宋体"/>
          <w:szCs w:val="22"/>
        </w:rPr>
      </w:pPr>
      <w:r>
        <w:rPr>
          <w:rFonts w:hint="eastAsia" w:ascii="宋体"/>
          <w:szCs w:val="22"/>
        </w:rPr>
        <w:t>一般情况下，经由铁路、公路运输的包装件尺寸和重量不应超过国家所规定的尺寸限制。特殊情况应予以说明。</w:t>
      </w:r>
    </w:p>
    <w:p w14:paraId="1FB91FC8">
      <w:pPr>
        <w:numPr>
          <w:ilvl w:val="0"/>
          <w:numId w:val="12"/>
        </w:numPr>
        <w:spacing w:line="520" w:lineRule="exact"/>
        <w:ind w:left="425" w:leftChars="0" w:right="2" w:hanging="425" w:firstLineChars="0"/>
        <w:rPr>
          <w:rFonts w:ascii="宋体"/>
          <w:szCs w:val="22"/>
        </w:rPr>
      </w:pPr>
      <w:r>
        <w:rPr>
          <w:rFonts w:hint="eastAsia" w:ascii="宋体"/>
          <w:szCs w:val="22"/>
        </w:rPr>
        <w:t>设备运抵交货地点后，应负责货物（或设备）的卸货、搬运、保管等事宜；或按照合同约定。</w:t>
      </w:r>
    </w:p>
    <w:p w14:paraId="0A2DBC64">
      <w:pPr>
        <w:pStyle w:val="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6C5A75C5">
      <w:pPr>
        <w:pStyle w:val="9"/>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5A89C2EF">
      <w:pPr>
        <w:pStyle w:val="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68B9A48">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由于承揽方责任，造成委托方设备的损坏、丢失的，应当赔偿委托方因此造成的损失。赔偿金额视设备的损坏程度及价值而定。</w:t>
      </w:r>
    </w:p>
    <w:p w14:paraId="644B8685">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74832B10">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承揽方保证全部按照合同条款规定和交货期向委托方主提供上述合格的设备和服务，并对材料及安装服务提供6个月的质保，质保期自验收合格之日起开始计算，质保期内发生质量问题由承揽方负责免费整改</w:t>
      </w:r>
      <w:r>
        <w:rPr>
          <w:rFonts w:hint="eastAsia" w:ascii="宋体"/>
          <w:sz w:val="21"/>
          <w:szCs w:val="22"/>
          <w:lang w:val="en-US" w:eastAsia="zh-CN"/>
        </w:rPr>
        <w:t>。</w:t>
      </w:r>
    </w:p>
    <w:p w14:paraId="4CCBFB42">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承揽方人员在委托方现场进行施工时，须遵守委托方的规章制度，服从委托方指定人员的安排。</w:t>
      </w:r>
    </w:p>
    <w:p w14:paraId="3691423C">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在施工过程中，由于承揽方原因造成车间地面损坏的，由承揽方负责维修至车间地面新建状态，费用由承揽方自理。</w:t>
      </w:r>
    </w:p>
    <w:p w14:paraId="37528F4A">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承揽方施工过程中，负责设备施工场地的清理工作。</w:t>
      </w:r>
    </w:p>
    <w:p w14:paraId="40474FA9">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一般项目接甲方维修通知后4小时内到达现场进行维修，部分项目在接甲方维修要求2小时内抵达现场维修，紧急项目在接甲方通知后1小时内抵达现场进行维修。</w:t>
      </w:r>
    </w:p>
    <w:p w14:paraId="2584AC7E">
      <w:pPr>
        <w:pStyle w:val="9"/>
        <w:widowControl/>
        <w:numPr>
          <w:ilvl w:val="0"/>
          <w:numId w:val="13"/>
        </w:numPr>
        <w:shd w:val="clear" w:color="auto" w:fill="FFFFFF"/>
        <w:spacing w:line="360" w:lineRule="auto"/>
        <w:ind w:left="425" w:leftChars="0" w:hanging="425" w:firstLineChars="0"/>
        <w:rPr>
          <w:rFonts w:ascii="宋体"/>
          <w:sz w:val="21"/>
          <w:szCs w:val="22"/>
        </w:rPr>
      </w:pPr>
      <w:r>
        <w:rPr>
          <w:rFonts w:hint="eastAsia" w:ascii="宋体"/>
          <w:sz w:val="21"/>
          <w:szCs w:val="22"/>
        </w:rPr>
        <w:t>保修期内发生故障，承揽方必须在24小时内到达现场处理问题；如承揽方24小时内未到现场，将承担相应的责任并酌情扣减保证金，如生产急需，委托方可自行处理由此产生的一切费用由承揽方承担。 </w:t>
      </w:r>
    </w:p>
    <w:p w14:paraId="5EA8F16C">
      <w:pPr>
        <w:ind w:firstLine="319" w:firstLineChars="152"/>
        <w:rPr>
          <w:rFonts w:ascii="宋体"/>
        </w:rPr>
      </w:pPr>
    </w:p>
    <w:p w14:paraId="3F6E89CD">
      <w:pPr>
        <w:pStyle w:val="5"/>
        <w:spacing w:line="360" w:lineRule="auto"/>
        <w:rPr>
          <w:rFonts w:ascii="黑体" w:eastAsia="黑体"/>
          <w:b/>
          <w:bCs/>
          <w:sz w:val="28"/>
          <w:szCs w:val="28"/>
        </w:rPr>
      </w:pPr>
      <w:r>
        <w:rPr>
          <w:rFonts w:hint="eastAsia" w:ascii="黑体" w:eastAsia="黑体"/>
          <w:b/>
          <w:bCs/>
          <w:sz w:val="28"/>
          <w:szCs w:val="28"/>
        </w:rPr>
        <w:t>八</w:t>
      </w:r>
      <w:r>
        <w:rPr>
          <w:rFonts w:ascii="黑体" w:eastAsia="黑体"/>
          <w:b/>
          <w:bCs/>
          <w:sz w:val="28"/>
          <w:szCs w:val="28"/>
        </w:rPr>
        <w:t>、验收</w:t>
      </w:r>
    </w:p>
    <w:p w14:paraId="75090C9E">
      <w:pPr>
        <w:pStyle w:val="5"/>
        <w:spacing w:line="360" w:lineRule="auto"/>
        <w:rPr>
          <w:szCs w:val="22"/>
        </w:rPr>
      </w:pPr>
      <w:r>
        <w:rPr>
          <w:rFonts w:hint="eastAsia"/>
          <w:szCs w:val="22"/>
        </w:rPr>
        <w:t>设备零星维修调试工作完成后，承揽方应及时通报给委托方，按委托方技术要求和国家有关标准共同验收，并填写验收记录，双方签字认可。</w:t>
      </w:r>
    </w:p>
    <w:p w14:paraId="7DD34A7C">
      <w:pPr>
        <w:pStyle w:val="5"/>
        <w:spacing w:line="360" w:lineRule="auto"/>
      </w:pPr>
      <w:r>
        <w:rPr>
          <w:rFonts w:hint="eastAsia" w:ascii="黑体" w:eastAsia="黑体"/>
          <w:b/>
          <w:bCs/>
          <w:sz w:val="28"/>
          <w:szCs w:val="28"/>
        </w:rPr>
        <w:t>九、其他</w:t>
      </w:r>
    </w:p>
    <w:p w14:paraId="64857A43">
      <w:pPr>
        <w:pStyle w:val="5"/>
        <w:spacing w:line="360" w:lineRule="auto"/>
        <w:ind w:firstLine="210" w:firstLineChars="100"/>
        <w:rPr>
          <w:szCs w:val="22"/>
        </w:rPr>
      </w:pPr>
      <w:r>
        <w:rPr>
          <w:rFonts w:hint="eastAsia"/>
          <w:szCs w:val="22"/>
        </w:rPr>
        <w:t>1.投标人承诺对参与该项目所获得的与招标人产品相关的所有信息都予以保密，并承担与此相关的所有法律责任。</w:t>
      </w:r>
    </w:p>
    <w:p w14:paraId="1E326425">
      <w:pPr>
        <w:pStyle w:val="5"/>
        <w:spacing w:line="360" w:lineRule="auto"/>
        <w:ind w:firstLine="210" w:firstLineChars="100"/>
        <w:rPr>
          <w:szCs w:val="22"/>
        </w:rPr>
      </w:pPr>
      <w:r>
        <w:rPr>
          <w:rFonts w:hint="eastAsia"/>
          <w:szCs w:val="22"/>
        </w:rPr>
        <w:t>2.其余未尽事宜，投标人应与招标人指派的答疑人员充分沟通，理解认可并接受相关技术规范及服务要求。</w:t>
      </w:r>
    </w:p>
    <w:p w14:paraId="592BD7A0">
      <w:pPr>
        <w:pStyle w:val="5"/>
        <w:spacing w:line="360" w:lineRule="auto"/>
        <w:ind w:firstLine="420" w:firstLineChars="200"/>
      </w:pPr>
    </w:p>
    <w:p w14:paraId="0B6D2413">
      <w:pPr>
        <w:pStyle w:val="5"/>
        <w:spacing w:line="360" w:lineRule="auto"/>
        <w:ind w:firstLine="420" w:firstLineChars="200"/>
      </w:pPr>
    </w:p>
    <w:p w14:paraId="0B465F01">
      <w:pPr>
        <w:pStyle w:val="5"/>
        <w:spacing w:line="360" w:lineRule="auto"/>
      </w:pPr>
    </w:p>
    <w:p w14:paraId="5B501E06">
      <w:pPr>
        <w:pStyle w:val="5"/>
        <w:spacing w:line="360" w:lineRule="auto"/>
      </w:pPr>
    </w:p>
    <w:p w14:paraId="5DCBE70C">
      <w:pPr>
        <w:pStyle w:val="5"/>
        <w:spacing w:line="360" w:lineRule="auto"/>
      </w:pPr>
    </w:p>
    <w:p w14:paraId="460B9207">
      <w:pPr>
        <w:pStyle w:val="5"/>
        <w:tabs>
          <w:tab w:val="left" w:pos="630"/>
          <w:tab w:val="left" w:pos="1050"/>
        </w:tabs>
        <w:spacing w:line="360" w:lineRule="auto"/>
        <w:jc w:val="center"/>
        <w:rPr>
          <w:rFonts w:ascii="黑体" w:eastAsia="黑体"/>
          <w:b/>
          <w:bCs/>
          <w:sz w:val="36"/>
          <w:szCs w:val="36"/>
        </w:rPr>
      </w:pPr>
    </w:p>
    <w:p w14:paraId="0ADC2590">
      <w:pPr>
        <w:rPr>
          <w:rFonts w:ascii="宋体" w:hAnsi="宋体" w:cs="宋体"/>
          <w:sz w:val="20"/>
        </w:rPr>
      </w:pPr>
    </w:p>
    <w:p w14:paraId="35F607A0"/>
    <w:p w14:paraId="15F60525">
      <w:pPr>
        <w:pStyle w:val="2"/>
      </w:pPr>
    </w:p>
    <w:p w14:paraId="14CAFCB9"/>
    <w:p w14:paraId="6E2C9ABE">
      <w:pPr>
        <w:pStyle w:val="2"/>
      </w:pPr>
    </w:p>
    <w:p w14:paraId="54A7963A"/>
    <w:p w14:paraId="4A139B23">
      <w:pPr>
        <w:pStyle w:val="2"/>
      </w:pPr>
    </w:p>
    <w:p w14:paraId="6346CA02"/>
    <w:p w14:paraId="1FE8ECC1">
      <w:pPr>
        <w:pStyle w:val="2"/>
      </w:pPr>
    </w:p>
    <w:p w14:paraId="3EEA6F20"/>
    <w:p w14:paraId="35A38B2E">
      <w:pPr>
        <w:pStyle w:val="2"/>
      </w:pPr>
    </w:p>
    <w:p w14:paraId="5DD92111"/>
    <w:p w14:paraId="0177B675">
      <w:pPr>
        <w:pStyle w:val="2"/>
      </w:pPr>
    </w:p>
    <w:p w14:paraId="15387109"/>
    <w:p w14:paraId="6C3A7E58">
      <w:pPr>
        <w:pStyle w:val="2"/>
      </w:pPr>
    </w:p>
    <w:p w14:paraId="4A11A12F">
      <w:pPr>
        <w:pStyle w:val="19"/>
        <w:rPr>
          <w:rFonts w:hint="eastAsia"/>
        </w:rPr>
      </w:pPr>
      <w:bookmarkStart w:id="13" w:name="_Toc47976615"/>
      <w:bookmarkStart w:id="14" w:name="_Toc5925"/>
    </w:p>
    <w:p w14:paraId="43B07320">
      <w:pPr>
        <w:pStyle w:val="19"/>
        <w:rPr>
          <w:rFonts w:hint="eastAsia"/>
        </w:rPr>
      </w:pPr>
    </w:p>
    <w:p w14:paraId="1B75D153">
      <w:pPr>
        <w:pStyle w:val="19"/>
        <w:rPr>
          <w:rFonts w:hint="eastAsia"/>
        </w:rPr>
      </w:pPr>
    </w:p>
    <w:p w14:paraId="0EB8BBEB">
      <w:pPr>
        <w:pStyle w:val="19"/>
        <w:rPr>
          <w:rFonts w:hint="default" w:eastAsia="黑体"/>
          <w:lang w:val="en-US" w:eastAsia="zh-CN"/>
        </w:rPr>
      </w:pPr>
      <w:r>
        <w:rPr>
          <w:rFonts w:hint="eastAsia"/>
        </w:rPr>
        <w:t>第</w:t>
      </w:r>
      <w:r>
        <w:rPr>
          <w:rFonts w:hint="eastAsia"/>
          <w:lang w:val="en-US" w:eastAsia="zh-CN"/>
        </w:rPr>
        <w:t>四章</w:t>
      </w:r>
      <w:r>
        <w:rPr>
          <w:rFonts w:hint="eastAsia"/>
        </w:rPr>
        <w:t>　</w:t>
      </w:r>
      <w:bookmarkEnd w:id="13"/>
      <w:bookmarkEnd w:id="14"/>
      <w:r>
        <w:rPr>
          <w:rFonts w:hint="eastAsia"/>
          <w:lang w:val="en-US" w:eastAsia="zh-CN"/>
        </w:rPr>
        <w:t>E采通操作说明</w:t>
      </w:r>
    </w:p>
    <w:p w14:paraId="7F7233A4">
      <w:pPr>
        <w:pStyle w:val="5"/>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5F803865">
      <w:pPr>
        <w:pStyle w:val="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1B088E0A">
      <w:pPr>
        <w:pStyle w:val="5"/>
      </w:pPr>
    </w:p>
    <w:p w14:paraId="7AAAB53F">
      <w:pPr>
        <w:pStyle w:val="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3F0D756E">
      <w:pPr>
        <w:pStyle w:val="5"/>
        <w:sectPr>
          <w:pgSz w:w="11906" w:h="16838"/>
          <w:pgMar w:top="1588" w:right="1418" w:bottom="1134" w:left="1418" w:header="851" w:footer="992" w:gutter="0"/>
          <w:cols w:space="720" w:num="1"/>
          <w:titlePg/>
          <w:docGrid w:type="lines" w:linePitch="312" w:charSpace="0"/>
        </w:sectPr>
      </w:pPr>
    </w:p>
    <w:p w14:paraId="75321FE7">
      <w:pPr>
        <w:pStyle w:val="5"/>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
          <w:rFonts w:hint="eastAsia" w:ascii="宋体" w:hAnsi="宋体" w:eastAsia="宋体" w:cs="宋体"/>
          <w:sz w:val="24"/>
          <w:szCs w:val="24"/>
        </w:rPr>
        <w:t>http</w:t>
      </w:r>
      <w:r>
        <w:rPr>
          <w:rStyle w:val="13"/>
          <w:rFonts w:hint="eastAsia" w:ascii="宋体" w:hAnsi="宋体" w:eastAsia="宋体" w:cs="宋体"/>
          <w:sz w:val="24"/>
          <w:szCs w:val="24"/>
          <w:lang w:val="en-US" w:eastAsia="zh-CN"/>
        </w:rPr>
        <w:t>s</w:t>
      </w:r>
      <w:r>
        <w:rPr>
          <w:rStyle w:val="13"/>
          <w:rFonts w:hint="eastAsia" w:ascii="宋体" w:hAnsi="宋体" w:eastAsia="宋体" w:cs="宋体"/>
          <w:sz w:val="24"/>
          <w:szCs w:val="24"/>
        </w:rPr>
        <w:t>://ecaitong.sinotruk.com:8012/</w:t>
      </w:r>
      <w:r>
        <w:rPr>
          <w:rStyle w:val="13"/>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E4B7DD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headerReference r:id="rId3" w:type="defaul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6FB7">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- 22 -</w:t>
    </w:r>
    <w:r>
      <w:fldChar w:fldCharType="end"/>
    </w:r>
  </w:p>
  <w:p w14:paraId="7A5821CE">
    <w:pPr>
      <w:pStyle w:val="6"/>
    </w:pPr>
  </w:p>
  <w:p w14:paraId="770854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70E1">
    <w:pPr>
      <w:pStyle w:val="6"/>
      <w:framePr w:wrap="around" w:vAnchor="text" w:hAnchor="margin" w:xAlign="center" w:y="1"/>
      <w:rPr>
        <w:rStyle w:val="12"/>
      </w:rPr>
    </w:pPr>
    <w:r>
      <w:fldChar w:fldCharType="begin"/>
    </w:r>
    <w:r>
      <w:rPr>
        <w:rStyle w:val="12"/>
      </w:rPr>
      <w:instrText xml:space="preserve">PAGE  </w:instrText>
    </w:r>
    <w:r>
      <w:fldChar w:fldCharType="end"/>
    </w:r>
  </w:p>
  <w:p w14:paraId="217BF3CE">
    <w:pPr>
      <w:pStyle w:val="6"/>
    </w:pPr>
  </w:p>
  <w:p w14:paraId="4EC52F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CFCE">
    <w:pPr>
      <w:pStyle w:val="7"/>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5EF591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D78AE24"/>
    <w:multiLevelType w:val="singleLevel"/>
    <w:tmpl w:val="FD78AE24"/>
    <w:lvl w:ilvl="0" w:tentative="0">
      <w:start w:val="4"/>
      <w:numFmt w:val="decimal"/>
      <w:lvlText w:val="%1."/>
      <w:lvlJc w:val="left"/>
      <w:pPr>
        <w:tabs>
          <w:tab w:val="left" w:pos="312"/>
        </w:tabs>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1CC60A2"/>
    <w:multiLevelType w:val="singleLevel"/>
    <w:tmpl w:val="01CC60A2"/>
    <w:lvl w:ilvl="0" w:tentative="0">
      <w:start w:val="1"/>
      <w:numFmt w:val="decimal"/>
      <w:lvlText w:val="%1."/>
      <w:lvlJc w:val="left"/>
      <w:pPr>
        <w:ind w:left="425" w:hanging="425"/>
      </w:pPr>
      <w:rPr>
        <w:rFonts w:hint="default"/>
      </w:rPr>
    </w:lvl>
  </w:abstractNum>
  <w:abstractNum w:abstractNumId="5">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3094B70"/>
    <w:multiLevelType w:val="singleLevel"/>
    <w:tmpl w:val="13094B70"/>
    <w:lvl w:ilvl="0" w:tentative="0">
      <w:start w:val="1"/>
      <w:numFmt w:val="decimal"/>
      <w:lvlText w:val="%1."/>
      <w:lvlJc w:val="left"/>
      <w:pPr>
        <w:ind w:left="425" w:hanging="425"/>
      </w:pPr>
      <w:rPr>
        <w:rFonts w:hint="default"/>
      </w:rPr>
    </w:lvl>
  </w:abstractNum>
  <w:abstractNum w:abstractNumId="8">
    <w:nsid w:val="21ED0EF5"/>
    <w:multiLevelType w:val="singleLevel"/>
    <w:tmpl w:val="21ED0EF5"/>
    <w:lvl w:ilvl="0" w:tentative="0">
      <w:start w:val="2"/>
      <w:numFmt w:val="chineseCounting"/>
      <w:suff w:val="nothing"/>
      <w:lvlText w:val="%1、"/>
      <w:lvlJc w:val="left"/>
      <w:rPr>
        <w:rFonts w:hint="eastAsia"/>
      </w:rPr>
    </w:lvl>
  </w:abstractNum>
  <w:abstractNum w:abstractNumId="9">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451C4D00"/>
    <w:multiLevelType w:val="singleLevel"/>
    <w:tmpl w:val="451C4D00"/>
    <w:lvl w:ilvl="0" w:tentative="0">
      <w:start w:val="1"/>
      <w:numFmt w:val="decimal"/>
      <w:lvlText w:val="%1."/>
      <w:lvlJc w:val="left"/>
      <w:pPr>
        <w:ind w:left="425" w:hanging="425"/>
      </w:pPr>
      <w:rPr>
        <w:rFonts w:hint="default"/>
      </w:rPr>
    </w:lvl>
  </w:abstractNum>
  <w:abstractNum w:abstractNumId="12">
    <w:nsid w:val="656A6EAE"/>
    <w:multiLevelType w:val="multilevel"/>
    <w:tmpl w:val="656A6EAE"/>
    <w:lvl w:ilvl="0" w:tentative="0">
      <w:start w:val="1"/>
      <w:numFmt w:val="chineseCountingThousand"/>
      <w:pStyle w:val="1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2"/>
  </w:num>
  <w:num w:numId="2">
    <w:abstractNumId w:val="13"/>
  </w:num>
  <w:num w:numId="3">
    <w:abstractNumId w:val="2"/>
  </w:num>
  <w:num w:numId="4">
    <w:abstractNumId w:val="1"/>
  </w:num>
  <w:num w:numId="5">
    <w:abstractNumId w:val="0"/>
  </w:num>
  <w:num w:numId="6">
    <w:abstractNumId w:val="9"/>
  </w:num>
  <w:num w:numId="7">
    <w:abstractNumId w:val="10"/>
  </w:num>
  <w:num w:numId="8">
    <w:abstractNumId w:val="6"/>
  </w:num>
  <w:num w:numId="9">
    <w:abstractNumId w:val="5"/>
  </w:num>
  <w:num w:numId="10">
    <w:abstractNumId w:val="8"/>
  </w:num>
  <w:num w:numId="11">
    <w:abstractNumId w:val="4"/>
  </w:num>
  <w:num w:numId="12">
    <w:abstractNumId w:val="11"/>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C7076"/>
    <w:rsid w:val="00AD5932"/>
    <w:rsid w:val="00AE6CD8"/>
    <w:rsid w:val="00B673F8"/>
    <w:rsid w:val="00D343AF"/>
    <w:rsid w:val="00D77B67"/>
    <w:rsid w:val="00DD1992"/>
    <w:rsid w:val="00E253B0"/>
    <w:rsid w:val="00EA336C"/>
    <w:rsid w:val="00EF7950"/>
    <w:rsid w:val="00F402CD"/>
    <w:rsid w:val="00F41FC8"/>
    <w:rsid w:val="00FD659B"/>
    <w:rsid w:val="031E276F"/>
    <w:rsid w:val="05037CFB"/>
    <w:rsid w:val="05997E8B"/>
    <w:rsid w:val="07A80859"/>
    <w:rsid w:val="097053A7"/>
    <w:rsid w:val="09D75426"/>
    <w:rsid w:val="0AA01CBB"/>
    <w:rsid w:val="0ADA51CD"/>
    <w:rsid w:val="0B024724"/>
    <w:rsid w:val="0B61144B"/>
    <w:rsid w:val="0E567261"/>
    <w:rsid w:val="0F7F00F1"/>
    <w:rsid w:val="117A14B8"/>
    <w:rsid w:val="122B4561"/>
    <w:rsid w:val="12A06CFD"/>
    <w:rsid w:val="12E017EF"/>
    <w:rsid w:val="132711CC"/>
    <w:rsid w:val="1444190A"/>
    <w:rsid w:val="164A498D"/>
    <w:rsid w:val="16E3365C"/>
    <w:rsid w:val="17880C04"/>
    <w:rsid w:val="1A750A6F"/>
    <w:rsid w:val="1BB455C7"/>
    <w:rsid w:val="1D552DD9"/>
    <w:rsid w:val="1DD261D8"/>
    <w:rsid w:val="1E7D7EF2"/>
    <w:rsid w:val="1E9C2349"/>
    <w:rsid w:val="1EFA6067"/>
    <w:rsid w:val="1F3C1B5B"/>
    <w:rsid w:val="20124FB2"/>
    <w:rsid w:val="20A21E92"/>
    <w:rsid w:val="21613AFB"/>
    <w:rsid w:val="22360451"/>
    <w:rsid w:val="23957A8C"/>
    <w:rsid w:val="23D5432C"/>
    <w:rsid w:val="26AB75C6"/>
    <w:rsid w:val="27315D1D"/>
    <w:rsid w:val="28BC3155"/>
    <w:rsid w:val="2A3E70CF"/>
    <w:rsid w:val="2CB82A3D"/>
    <w:rsid w:val="2D202ABC"/>
    <w:rsid w:val="2EFE0BDB"/>
    <w:rsid w:val="30B524E5"/>
    <w:rsid w:val="30DA5678"/>
    <w:rsid w:val="329465AC"/>
    <w:rsid w:val="33F12316"/>
    <w:rsid w:val="35210B49"/>
    <w:rsid w:val="3724764D"/>
    <w:rsid w:val="37812E1A"/>
    <w:rsid w:val="39396CB4"/>
    <w:rsid w:val="3BC35686"/>
    <w:rsid w:val="3C7D42C9"/>
    <w:rsid w:val="3CA32DC2"/>
    <w:rsid w:val="3D0F66A9"/>
    <w:rsid w:val="3DDD0555"/>
    <w:rsid w:val="3ECF3EDA"/>
    <w:rsid w:val="3F4F0196"/>
    <w:rsid w:val="400C6ED0"/>
    <w:rsid w:val="40491ED2"/>
    <w:rsid w:val="414323CD"/>
    <w:rsid w:val="42C972FA"/>
    <w:rsid w:val="430976F7"/>
    <w:rsid w:val="43A01E09"/>
    <w:rsid w:val="43B9736F"/>
    <w:rsid w:val="44A2785B"/>
    <w:rsid w:val="45EA4B12"/>
    <w:rsid w:val="4A4F4589"/>
    <w:rsid w:val="4B7778F3"/>
    <w:rsid w:val="52615C47"/>
    <w:rsid w:val="57143CEB"/>
    <w:rsid w:val="584F1FCF"/>
    <w:rsid w:val="58EE31BF"/>
    <w:rsid w:val="59CF1242"/>
    <w:rsid w:val="5A0A5DD6"/>
    <w:rsid w:val="5B800A46"/>
    <w:rsid w:val="5D884F8A"/>
    <w:rsid w:val="60DC2F35"/>
    <w:rsid w:val="62AD7C47"/>
    <w:rsid w:val="62D358FF"/>
    <w:rsid w:val="63224191"/>
    <w:rsid w:val="640C0830"/>
    <w:rsid w:val="641C6E32"/>
    <w:rsid w:val="64586C8D"/>
    <w:rsid w:val="64850E7B"/>
    <w:rsid w:val="6486074F"/>
    <w:rsid w:val="66846F11"/>
    <w:rsid w:val="670D5158"/>
    <w:rsid w:val="677A27ED"/>
    <w:rsid w:val="6A097E59"/>
    <w:rsid w:val="6A3C01E7"/>
    <w:rsid w:val="6A554E4C"/>
    <w:rsid w:val="6A8B1515"/>
    <w:rsid w:val="6BC4672D"/>
    <w:rsid w:val="6C2076DB"/>
    <w:rsid w:val="6D394EF9"/>
    <w:rsid w:val="6D513FF0"/>
    <w:rsid w:val="6E607B7F"/>
    <w:rsid w:val="6EC34E26"/>
    <w:rsid w:val="6F20011E"/>
    <w:rsid w:val="6FCE7B7A"/>
    <w:rsid w:val="6FFE5F86"/>
    <w:rsid w:val="7035211A"/>
    <w:rsid w:val="73033C78"/>
    <w:rsid w:val="73797DFD"/>
    <w:rsid w:val="73B057E9"/>
    <w:rsid w:val="75320004"/>
    <w:rsid w:val="75656F9B"/>
    <w:rsid w:val="773D3837"/>
    <w:rsid w:val="78D67AA0"/>
    <w:rsid w:val="79FE105C"/>
    <w:rsid w:val="7AF124C5"/>
    <w:rsid w:val="7C7D6DD2"/>
    <w:rsid w:val="7C8A307B"/>
    <w:rsid w:val="7CF575CC"/>
    <w:rsid w:val="7CF95B0B"/>
    <w:rsid w:val="7D9615AC"/>
    <w:rsid w:val="7E0266E4"/>
    <w:rsid w:val="7EA36676"/>
    <w:rsid w:val="7F037115"/>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3">
    <w:name w:val="Body Text"/>
    <w:basedOn w:val="1"/>
    <w:next w:val="4"/>
    <w:qFormat/>
    <w:uiPriority w:val="0"/>
    <w:rPr>
      <w:rFonts w:ascii="仿宋_GB2312" w:eastAsia="仿宋_GB2312" w:hAnsiTheme="minorHAnsi" w:cstheme="minorBidi"/>
      <w:sz w:val="32"/>
      <w:szCs w:val="2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5">
    <w:name w:val="Plain Text"/>
    <w:basedOn w:val="1"/>
    <w:qFormat/>
    <w:uiPriority w:val="0"/>
    <w:rPr>
      <w:rFonts w:ascii="宋体" w:hAnsi="Courier New" w:cstheme="minorBidi"/>
      <w:szCs w:val="22"/>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page number"/>
    <w:basedOn w:val="11"/>
    <w:qFormat/>
    <w:uiPriority w:val="0"/>
  </w:style>
  <w:style w:type="character" w:styleId="13">
    <w:name w:val="Hyperlink"/>
    <w:basedOn w:val="11"/>
    <w:semiHidden/>
    <w:qFormat/>
    <w:uiPriority w:val="99"/>
    <w:rPr>
      <w:rFonts w:cs="Times New Roman"/>
      <w:color w:val="1F4F88"/>
      <w:u w:val="none"/>
    </w:rPr>
  </w:style>
  <w:style w:type="paragraph" w:customStyle="1" w:styleId="14">
    <w:name w:val="首行缩进"/>
    <w:basedOn w:val="1"/>
    <w:qFormat/>
    <w:uiPriority w:val="0"/>
    <w:pPr>
      <w:spacing w:line="360" w:lineRule="auto"/>
      <w:ind w:firstLine="480" w:firstLineChars="200"/>
    </w:pPr>
    <w:rPr>
      <w:rFonts w:ascii="宋体" w:hAnsi="宋体" w:cs="宋体"/>
      <w:kern w:val="0"/>
      <w:sz w:val="24"/>
    </w:rPr>
  </w:style>
  <w:style w:type="character" w:customStyle="1" w:styleId="15">
    <w:name w:val="font11"/>
    <w:basedOn w:val="11"/>
    <w:qFormat/>
    <w:uiPriority w:val="0"/>
    <w:rPr>
      <w:rFonts w:hint="eastAsia" w:ascii="宋体" w:hAnsi="宋体" w:eastAsia="宋体" w:cs="宋体"/>
      <w:color w:val="000000"/>
      <w:sz w:val="24"/>
      <w:szCs w:val="24"/>
      <w:u w:val="single"/>
    </w:rPr>
  </w:style>
  <w:style w:type="character" w:customStyle="1" w:styleId="16">
    <w:name w:val="font21"/>
    <w:basedOn w:val="11"/>
    <w:qFormat/>
    <w:uiPriority w:val="0"/>
    <w:rPr>
      <w:rFonts w:hint="eastAsia" w:ascii="宋体" w:hAnsi="宋体" w:eastAsia="宋体" w:cs="宋体"/>
      <w:color w:val="000000"/>
      <w:sz w:val="24"/>
      <w:szCs w:val="24"/>
      <w:u w:val="none"/>
    </w:rPr>
  </w:style>
  <w:style w:type="paragraph" w:customStyle="1" w:styleId="17">
    <w:name w:val="一级标题"/>
    <w:basedOn w:val="5"/>
    <w:qFormat/>
    <w:uiPriority w:val="1"/>
    <w:pPr>
      <w:numPr>
        <w:ilvl w:val="0"/>
        <w:numId w:val="1"/>
      </w:numPr>
      <w:spacing w:line="360" w:lineRule="auto"/>
      <w:ind w:left="420"/>
      <w:outlineLvl w:val="1"/>
    </w:pPr>
    <w:rPr>
      <w:rFonts w:ascii="黑体" w:eastAsia="黑体"/>
      <w:b/>
      <w:bCs/>
      <w:sz w:val="28"/>
    </w:rPr>
  </w:style>
  <w:style w:type="paragraph" w:styleId="18">
    <w:name w:val="List Paragraph"/>
    <w:basedOn w:val="1"/>
    <w:semiHidden/>
    <w:qFormat/>
    <w:uiPriority w:val="98"/>
    <w:pPr>
      <w:ind w:firstLine="420" w:firstLineChars="200"/>
    </w:pPr>
    <w:rPr>
      <w:rFonts w:ascii="Calibri" w:hAnsi="Calibri"/>
      <w:szCs w:val="22"/>
    </w:rPr>
  </w:style>
  <w:style w:type="paragraph" w:customStyle="1" w:styleId="19">
    <w:name w:val="章节"/>
    <w:basedOn w:val="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Pages>
  <Words>10083</Words>
  <Characters>10583</Characters>
  <Lines>120</Lines>
  <Paragraphs>33</Paragraphs>
  <TotalTime>2</TotalTime>
  <ScaleCrop>false</ScaleCrop>
  <LinksUpToDate>false</LinksUpToDate>
  <CharactersWithSpaces>11910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王秀鹏</cp:lastModifiedBy>
  <dcterms:modified xsi:type="dcterms:W3CDTF">2025-12-10T06:36:59Z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03647FD33AD74B0780529CEBBE26A804</vt:lpwstr>
  </property>
  <property fmtid="{D5CDD505-2E9C-101B-9397-08002B2CF9AE}" pid="4" name="KSOTemplateDocerSaveRecord">
    <vt:lpwstr>eyJoZGlkIjoiMzMxODYyMDNlNDlkNjM4MzcwNDA2N2YzMjAyNTc1NmMiLCJ1c2VySWQiOiI1NTExMzAwMTgifQ==</vt:lpwstr>
  </property>
</Properties>
</file>