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1"/>
      <w:bookmarkStart w:id="1" w:name="OLE_LINK30"/>
    </w:p>
    <w:p w14:paraId="238A52ED">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eastAsia="zh-CN"/>
        </w:rPr>
        <w:t>中国重汽集团</w:t>
      </w:r>
      <w:r>
        <w:rPr>
          <w:rFonts w:hint="eastAsia" w:ascii="Calibri" w:hAnsi="宋体" w:eastAsia="宋体" w:cs="Times New Roman"/>
          <w:b/>
          <w:bCs/>
          <w:color w:val="000000"/>
          <w:spacing w:val="-8"/>
          <w:sz w:val="48"/>
          <w:szCs w:val="44"/>
          <w:highlight w:val="none"/>
          <w:lang w:val="en-US" w:eastAsia="zh-CN"/>
        </w:rPr>
        <w:t>济南动力有限公司发动机厂涨断机激光系统升级改造项目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7"/>
      </w:pPr>
    </w:p>
    <w:p w14:paraId="6681D3AB">
      <w:pPr>
        <w:pStyle w:val="17"/>
      </w:pPr>
    </w:p>
    <w:p w14:paraId="1DA2295B">
      <w:pPr>
        <w:pStyle w:val="17"/>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17"/>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w:t>
      </w:r>
      <w:r>
        <w:rPr>
          <w:rFonts w:hint="eastAsia" w:ascii="宋体" w:hAnsi="宋体" w:eastAsia="宋体" w:cs="Times New Roman"/>
          <w:color w:val="000000"/>
          <w:sz w:val="28"/>
          <w:szCs w:val="28"/>
          <w:highlight w:val="none"/>
          <w:lang w:val="en-US" w:eastAsia="zh-CN"/>
        </w:rPr>
        <w:t>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2025</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272A851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3EF2B3A5">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17"/>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u w:val="single"/>
              </w:rPr>
              <w:t>涨断机激光系统升级改造项目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FSCZB2025110088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涨断机激光系统升级改造</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u w:val="single"/>
                <w:lang w:val="en-US" w:eastAsia="zh-CN"/>
              </w:rPr>
              <w:t>袁晖</w:t>
            </w:r>
          </w:p>
          <w:p w14:paraId="1A15F4CE">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u w:val="single"/>
                <w:lang w:val="en-US" w:eastAsia="zh-CN"/>
              </w:rPr>
              <w:t>17860605118</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fldChar w:fldCharType="begin"/>
            </w:r>
            <w:r>
              <w:rPr>
                <w:rFonts w:hint="eastAsia" w:ascii="宋体" w:hAnsi="宋体" w:eastAsia="宋体" w:cs="宋体"/>
                <w:bCs/>
                <w:snapToGrid w:val="0"/>
                <w:kern w:val="0"/>
                <w:sz w:val="24"/>
                <w:szCs w:val="24"/>
                <w:highlight w:val="none"/>
                <w:u w:val="single"/>
                <w:lang w:val="en-US" w:eastAsia="zh-CN" w:bidi="ar-SA"/>
              </w:rPr>
              <w:instrText xml:space="preserve"> HYPERLINK "mailto:zhangyuhwkc@sinotruk.com" </w:instrText>
            </w:r>
            <w:r>
              <w:rPr>
                <w:rFonts w:hint="eastAsia" w:ascii="宋体" w:hAnsi="宋体" w:eastAsia="宋体" w:cs="宋体"/>
                <w:bCs/>
                <w:snapToGrid w:val="0"/>
                <w:kern w:val="0"/>
                <w:sz w:val="24"/>
                <w:szCs w:val="24"/>
                <w:highlight w:val="none"/>
                <w:u w:val="single"/>
                <w:lang w:val="en-US" w:eastAsia="zh-CN" w:bidi="ar-SA"/>
              </w:rPr>
              <w:fldChar w:fldCharType="separate"/>
            </w:r>
            <w:r>
              <w:rPr>
                <w:rFonts w:hint="eastAsia" w:ascii="宋体" w:hAnsi="宋体" w:eastAsia="宋体" w:cs="宋体"/>
                <w:bCs/>
                <w:snapToGrid w:val="0"/>
                <w:kern w:val="0"/>
                <w:sz w:val="24"/>
                <w:szCs w:val="24"/>
                <w:highlight w:val="none"/>
                <w:u w:val="single"/>
                <w:lang w:val="en-US" w:eastAsia="zh-CN" w:bidi="ar-SA"/>
              </w:rPr>
              <w:t>yuanhui@sinotruk.com</w:t>
            </w:r>
            <w:r>
              <w:rPr>
                <w:rFonts w:hint="eastAsia" w:ascii="宋体" w:hAnsi="宋体" w:eastAsia="宋体" w:cs="宋体"/>
                <w:bCs/>
                <w:snapToGrid w:val="0"/>
                <w:kern w:val="0"/>
                <w:sz w:val="24"/>
                <w:szCs w:val="24"/>
                <w:highlight w:val="none"/>
                <w:u w:val="single"/>
                <w:lang w:val="en-US" w:eastAsia="zh-CN" w:bidi="ar-SA"/>
              </w:rPr>
              <w:fldChar w:fldCharType="end"/>
            </w:r>
          </w:p>
          <w:p w14:paraId="325A5532">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u w:val="single"/>
                <w:lang w:val="en-US" w:eastAsia="zh-CN"/>
              </w:rPr>
              <w:t>王宗林</w:t>
            </w:r>
          </w:p>
          <w:p w14:paraId="3C1D7E84">
            <w:pPr>
              <w:ind w:firstLine="482" w:firstLineChars="200"/>
              <w:rPr>
                <w:rFonts w:hint="default" w:hAnsi="宋体" w:eastAsia="宋体" w:cs="宋体"/>
                <w:b/>
                <w:snapToGrid w:val="0"/>
                <w:kern w:val="0"/>
                <w:sz w:val="24"/>
                <w:szCs w:val="24"/>
                <w:highlight w:val="none"/>
                <w:lang w:val="en-US"/>
              </w:rPr>
            </w:pPr>
            <w:r>
              <w:rPr>
                <w:rFonts w:hint="eastAsia"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u w:val="single"/>
                <w:lang w:val="en-US" w:eastAsia="zh-CN" w:bidi="ar-SA"/>
              </w:rPr>
              <w:t>15098759365</w:t>
            </w:r>
          </w:p>
          <w:p w14:paraId="7ADE276F">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bidi="ar-SA"/>
              </w:rPr>
              <w:t>542993125@163.com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cyan"/>
                <w:lang w:val="en-US" w:eastAsia="zh-CN"/>
              </w:rPr>
              <w:t>425</w:t>
            </w:r>
            <w:r>
              <w:rPr>
                <w:rFonts w:hint="eastAsia" w:hAnsi="宋体" w:eastAsia="宋体" w:cs="Times New Roman"/>
                <w:color w:val="000000"/>
                <w:sz w:val="24"/>
                <w:szCs w:val="24"/>
                <w:highlight w:val="none"/>
              </w:rPr>
              <w:t>万元（含税，税率</w:t>
            </w:r>
            <w:r>
              <w:rPr>
                <w:rFonts w:hint="eastAsia" w:hAnsi="宋体" w:eastAsia="宋体" w:cs="Times New Roman"/>
                <w:color w:val="000000"/>
                <w:sz w:val="24"/>
                <w:szCs w:val="24"/>
                <w:highlight w:val="cyan"/>
              </w:rPr>
              <w:t>13%</w:t>
            </w:r>
            <w:r>
              <w:rPr>
                <w:rFonts w:hint="eastAsia" w:hAnsi="宋体" w:eastAsia="宋体" w:cs="Times New Roman"/>
                <w:color w:val="000000"/>
                <w:sz w:val="24"/>
                <w:szCs w:val="24"/>
                <w:highlight w:val="none"/>
              </w:rPr>
              <w:t>），超过投标限价无法投标。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int="eastAsia" w:hAnsi="宋体" w:eastAsia="宋体" w:cs="宋体"/>
                <w:b/>
                <w:bCs/>
                <w:color w:val="FF0000"/>
                <w:sz w:val="24"/>
                <w:szCs w:val="24"/>
                <w:highlight w:val="none"/>
                <w:lang w:eastAsia="zh-CN"/>
              </w:rPr>
            </w:pPr>
            <w:r>
              <w:rPr>
                <w:rFonts w:hint="eastAsia" w:hAnsi="宋体" w:eastAsia="宋体" w:cs="宋体"/>
                <w:b/>
                <w:bCs/>
                <w:color w:val="000000"/>
                <w:sz w:val="24"/>
                <w:szCs w:val="24"/>
                <w:highlight w:val="none"/>
              </w:rPr>
              <w:t>投标人条件：</w:t>
            </w:r>
          </w:p>
          <w:p w14:paraId="198E7633">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Ansi="宋体" w:eastAsia="宋体" w:cs="宋体"/>
                <w:color w:val="000000"/>
                <w:sz w:val="24"/>
                <w:szCs w:val="24"/>
              </w:rPr>
              <w:t>50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6EFEDD91">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2FC565C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6E4F2A8F">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34BD16B0">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18C5CEC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3BF95B8E">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7.拟投标人近三年有与本次招标内容相同或类似项目业绩（需出示合同），近三年内无因服务不当而造成重大事故；</w:t>
            </w:r>
          </w:p>
          <w:p w14:paraId="49D34615">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1FD28AE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E0FD572">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3F83F024">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6D1D50F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5288142">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13.</w:t>
            </w:r>
            <w:r>
              <w:rPr>
                <w:rFonts w:hint="eastAsia" w:hAnsi="宋体" w:eastAsia="宋体" w:cs="宋体"/>
                <w:b/>
                <w:bCs/>
                <w:sz w:val="24"/>
              </w:rPr>
              <w:t>投标人必须具备优秀的激光相关设计能力、在发动机行业有成熟的项目案例</w:t>
            </w:r>
            <w:r>
              <w:rPr>
                <w:rFonts w:hint="eastAsia" w:hAnsi="宋体" w:eastAsia="宋体" w:cs="宋体"/>
                <w:b/>
                <w:bCs/>
                <w:color w:val="000000"/>
                <w:sz w:val="24"/>
                <w:szCs w:val="24"/>
              </w:rPr>
              <w:t>；</w:t>
            </w:r>
          </w:p>
          <w:p w14:paraId="0263D36D">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1C3E2FB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p w14:paraId="4DE57CDD">
            <w:pPr>
              <w:pStyle w:val="17"/>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highlight w:val="none"/>
                <w:lang w:val="en-US" w:eastAsia="zh-CN"/>
              </w:rPr>
              <w:t>16.本项目不接受代理商投标。</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计划</w:t>
            </w: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24</w:t>
            </w:r>
            <w:r>
              <w:rPr>
                <w:rFonts w:hint="eastAsia" w:ascii="宋体" w:hAnsi="宋体" w:eastAsia="宋体" w:cs="宋体"/>
                <w:bCs/>
                <w:sz w:val="24"/>
                <w:szCs w:val="24"/>
                <w:highlight w:val="none"/>
                <w:u w:val="singl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12</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3</w:t>
            </w:r>
            <w:r>
              <w:rPr>
                <w:rFonts w:hint="eastAsia" w:ascii="宋体" w:hAnsi="宋体" w:eastAsia="宋体" w:cs="宋体"/>
                <w:bCs/>
                <w:sz w:val="24"/>
                <w:szCs w:val="24"/>
                <w:highlight w:val="none"/>
                <w:u w:val="single"/>
              </w:rPr>
              <w:t>日12</w:t>
            </w:r>
            <w:r>
              <w:rPr>
                <w:rFonts w:hint="eastAsia" w:ascii="宋体" w:hAnsi="宋体" w:eastAsia="宋体" w:cs="宋体"/>
                <w:bCs/>
                <w:sz w:val="24"/>
                <w:szCs w:val="24"/>
                <w:highlight w:val="none"/>
                <w:u w:val="single"/>
                <w:lang w:val="en-US" w:eastAsia="zh-CN"/>
              </w:rPr>
              <w:t>:00</w:t>
            </w:r>
            <w:r>
              <w:rPr>
                <w:rFonts w:hint="eastAsia" w:ascii="宋体" w:hAnsi="宋体" w:eastAsia="宋体" w:cs="宋体"/>
                <w:bCs/>
                <w:sz w:val="24"/>
                <w:szCs w:val="24"/>
                <w:highlight w:val="none"/>
                <w:u w:val="single"/>
              </w:rPr>
              <w:t>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2" w:firstLineChars="200"/>
              <w:rPr>
                <w:rFonts w:hint="eastAsia" w:ascii="宋体" w:hAnsi="宋体" w:eastAsia="宋体" w:cs="宋体"/>
                <w:sz w:val="24"/>
                <w:szCs w:val="24"/>
                <w:highlight w:val="cyan"/>
                <w:lang w:eastAsia="zh-CN"/>
              </w:rPr>
            </w:pPr>
            <w:r>
              <w:rPr>
                <w:rFonts w:hint="eastAsia" w:ascii="宋体" w:hAnsi="宋体" w:eastAsia="宋体" w:cs="宋体"/>
                <w:b/>
                <w:bCs/>
                <w:sz w:val="24"/>
                <w:szCs w:val="24"/>
                <w:highlight w:val="none"/>
              </w:rPr>
              <w:t>领取答疑、澄清和修改文件时间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12</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3</w:t>
            </w:r>
            <w:r>
              <w:rPr>
                <w:rFonts w:hint="eastAsia" w:ascii="宋体" w:hAnsi="宋体" w:eastAsia="宋体" w:cs="宋体"/>
                <w:sz w:val="24"/>
                <w:szCs w:val="24"/>
                <w:highlight w:val="none"/>
                <w:u w:val="single"/>
              </w:rPr>
              <w:t>日17</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前</w:t>
            </w:r>
          </w:p>
          <w:p w14:paraId="2FAE9E50">
            <w:pPr>
              <w:shd w:val="clear" w:color="auto" w:fill="FFFFFF" w:themeFill="background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答疑、澄清和修改文件方式：</w:t>
            </w:r>
            <w:r>
              <w:rPr>
                <w:rFonts w:hint="eastAsia" w:ascii="宋体" w:hAnsi="宋体" w:eastAsia="宋体" w:cs="宋体"/>
                <w:sz w:val="24"/>
                <w:szCs w:val="24"/>
                <w:highlight w:val="none"/>
              </w:rPr>
              <w:t>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按照中国重汽e采通“SRM非生产供应商注册手册”（附件）进行注册</w:t>
            </w:r>
            <w:r>
              <w:rPr>
                <w:rFonts w:hint="eastAsia" w:eastAsia="宋体" w:cs="Times New Roman"/>
                <w:highlight w:val="none"/>
              </w:rPr>
              <w:t>，注册完毕后按照</w:t>
            </w:r>
            <w:r>
              <w:rPr>
                <w:rFonts w:hint="eastAsia" w:eastAsia="宋体" w:cs="宋体"/>
                <w:b/>
                <w:highlight w:val="none"/>
              </w:rPr>
              <w:t>“SRM系统供应商用户手册（附件）”，</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1</w:t>
            </w:r>
            <w:r>
              <w:rPr>
                <w:rFonts w:hint="eastAsia" w:eastAsia="宋体" w:cs="Times New Roman"/>
                <w:b/>
                <w:bCs/>
                <w:highlight w:val="none"/>
              </w:rPr>
              <w:t>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hint="default" w:eastAsia="宋体" w:cs="宋体"/>
                <w:highlight w:val="none"/>
                <w:lang w:val="en-US" w:eastAsia="zh-CN"/>
              </w:rPr>
            </w:pPr>
            <w:r>
              <w:rPr>
                <w:rFonts w:hint="eastAsia" w:eastAsia="宋体" w:cs="宋体"/>
                <w:b/>
                <w:bCs/>
                <w:highlight w:val="none"/>
              </w:rPr>
              <w:t>应标截止时间：</w:t>
            </w:r>
            <w:r>
              <w:rPr>
                <w:rFonts w:hint="eastAsia" w:eastAsia="宋体" w:cs="宋体"/>
                <w:highlight w:val="none"/>
                <w:u w:val="single"/>
              </w:rPr>
              <w:t>2025年</w:t>
            </w:r>
            <w:r>
              <w:rPr>
                <w:rFonts w:hint="eastAsia" w:eastAsia="宋体" w:cs="宋体"/>
                <w:highlight w:val="none"/>
                <w:u w:val="single"/>
                <w:lang w:val="en-US" w:eastAsia="zh-CN"/>
              </w:rPr>
              <w:t>12</w:t>
            </w:r>
            <w:r>
              <w:rPr>
                <w:rFonts w:hint="eastAsia" w:eastAsia="宋体" w:cs="宋体"/>
                <w:highlight w:val="none"/>
                <w:u w:val="single"/>
              </w:rPr>
              <w:t>月</w:t>
            </w:r>
            <w:r>
              <w:rPr>
                <w:rFonts w:hint="eastAsia" w:eastAsia="宋体" w:cs="宋体"/>
                <w:highlight w:val="none"/>
                <w:u w:val="single"/>
                <w:lang w:val="en-US" w:eastAsia="zh-CN"/>
              </w:rPr>
              <w:t>1</w:t>
            </w:r>
            <w:r>
              <w:rPr>
                <w:rFonts w:hint="eastAsia" w:eastAsia="宋体" w:cs="宋体"/>
                <w:highlight w:val="none"/>
                <w:u w:val="single"/>
              </w:rPr>
              <w:t>日17</w:t>
            </w:r>
            <w:r>
              <w:rPr>
                <w:rFonts w:hint="eastAsia" w:eastAsia="宋体" w:cs="宋体"/>
                <w:highlight w:val="none"/>
                <w:u w:val="single"/>
                <w:lang w:val="en-US" w:eastAsia="zh-CN"/>
              </w:rPr>
              <w:t>:00</w:t>
            </w:r>
          </w:p>
          <w:p w14:paraId="00ECE6F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w:t>
            </w:r>
            <w:r>
              <w:rPr>
                <w:rFonts w:hint="eastAsia" w:eastAsia="宋体" w:cs="宋体"/>
                <w:b/>
                <w:bCs/>
                <w:highlight w:val="none"/>
                <w:lang w:eastAsia="zh-CN"/>
              </w:rPr>
              <w:t>、</w:t>
            </w:r>
            <w:r>
              <w:rPr>
                <w:rFonts w:hint="eastAsia" w:eastAsia="宋体" w:cs="宋体"/>
                <w:b/>
                <w:bCs/>
                <w:highlight w:val="yellow"/>
                <w:lang w:val="en-US" w:eastAsia="zh-CN"/>
              </w:rPr>
              <w:t>重汽E采通系统近三年财务数据更新</w:t>
            </w:r>
            <w:r>
              <w:rPr>
                <w:rFonts w:hint="eastAsia" w:eastAsia="宋体" w:cs="宋体"/>
                <w:b/>
                <w:bCs/>
                <w:highlight w:val="none"/>
              </w:rPr>
              <w:t>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或加盖电子章，不盖章无效</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bCs/>
                <w:color w:val="000000"/>
                <w:sz w:val="24"/>
                <w:szCs w:val="24"/>
                <w:highlight w:val="none"/>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以中国重汽e采通系统提交的材料为准。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int="default" w:hAnsi="宋体" w:eastAsia="宋体" w:cs="Times New Roman"/>
                <w:color w:val="000000"/>
                <w:sz w:val="24"/>
                <w:szCs w:val="24"/>
                <w:highlight w:val="none"/>
                <w:lang w:val="en-US" w:eastAsia="zh-CN"/>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标书，一律视为无效投标</w:t>
            </w:r>
            <w:r>
              <w:rPr>
                <w:rFonts w:hint="eastAsia" w:eastAsia="宋体" w:cs="宋体"/>
                <w:b/>
                <w:sz w:val="24"/>
                <w:szCs w:val="24"/>
                <w:highlight w:val="none"/>
              </w:rPr>
              <w:t>。</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12</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8</w:t>
            </w:r>
            <w:r>
              <w:rPr>
                <w:rFonts w:hint="eastAsia" w:hAnsi="宋体" w:eastAsia="宋体" w:cs="宋体"/>
                <w:sz w:val="24"/>
                <w:szCs w:val="24"/>
                <w:highlight w:val="none"/>
                <w:u w:val="single"/>
              </w:rPr>
              <w:t>日</w:t>
            </w:r>
            <w:r>
              <w:rPr>
                <w:rFonts w:hint="eastAsia" w:hAnsi="宋体" w:eastAsia="宋体" w:cs="宋体"/>
                <w:kern w:val="0"/>
                <w:sz w:val="24"/>
                <w:szCs w:val="24"/>
                <w:highlight w:val="none"/>
                <w:u w:val="single"/>
              </w:rPr>
              <w:t>上午</w:t>
            </w:r>
            <w:r>
              <w:rPr>
                <w:rFonts w:hint="eastAsia" w:hAnsi="宋体" w:eastAsia="宋体" w:cs="宋体"/>
                <w:kern w:val="0"/>
                <w:sz w:val="24"/>
                <w:szCs w:val="24"/>
                <w:highlight w:val="none"/>
                <w:u w:val="single"/>
                <w:lang w:val="en-US" w:eastAsia="zh-CN"/>
              </w:rPr>
              <w:t>9</w:t>
            </w:r>
            <w:r>
              <w:rPr>
                <w:rFonts w:hint="eastAsia" w:hAnsi="宋体" w:eastAsia="宋体" w:cs="宋体"/>
                <w:sz w:val="24"/>
                <w:szCs w:val="24"/>
                <w:highlight w:val="none"/>
                <w:u w:val="single"/>
              </w:rPr>
              <w:t>:00（北京时间）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218535B">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ascii="宋体" w:hAnsi="宋体" w:eastAsia="宋体" w:cs="宋体"/>
                <w:sz w:val="24"/>
                <w:szCs w:val="24"/>
                <w:highlight w:val="yellow"/>
              </w:rPr>
              <w:t>20</w:t>
            </w:r>
            <w:r>
              <w:rPr>
                <w:rFonts w:hint="eastAsia" w:ascii="宋体" w:hAnsi="宋体" w:eastAsia="宋体" w:cs="宋体"/>
                <w:sz w:val="24"/>
                <w:szCs w:val="24"/>
                <w:highlight w:val="yellow"/>
              </w:rPr>
              <w:t>000.00元</w:t>
            </w:r>
          </w:p>
          <w:p w14:paraId="3A42A2A0">
            <w:pPr>
              <w:tabs>
                <w:tab w:val="left" w:pos="932"/>
              </w:tabs>
              <w:ind w:firstLine="482"/>
              <w:rPr>
                <w:rFonts w:ascii="宋体" w:hAnsi="宋体" w:eastAsia="宋体" w:cs="宋体"/>
                <w:kern w:val="0"/>
                <w:sz w:val="24"/>
                <w:szCs w:val="24"/>
                <w:highlight w:val="yellow"/>
              </w:rPr>
            </w:pPr>
            <w:r>
              <w:rPr>
                <w:rFonts w:ascii="宋体" w:hAnsi="宋体" w:eastAsia="宋体" w:cs="宋体"/>
                <w:b/>
                <w:bCs/>
                <w:kern w:val="0"/>
                <w:sz w:val="24"/>
                <w:szCs w:val="24"/>
                <w:highlight w:val="yellow"/>
              </w:rPr>
              <w:t>开户名称：</w:t>
            </w:r>
            <w:r>
              <w:rPr>
                <w:rFonts w:ascii="宋体" w:hAnsi="宋体" w:eastAsia="宋体" w:cs="宋体"/>
                <w:sz w:val="24"/>
                <w:szCs w:val="24"/>
                <w:highlight w:val="yellow"/>
              </w:rPr>
              <w:t>中国重汽集团济南动力有限公司</w:t>
            </w:r>
            <w:r>
              <w:rPr>
                <w:rFonts w:hint="eastAsia" w:ascii="宋体" w:hAnsi="宋体" w:eastAsia="宋体" w:cs="宋体"/>
                <w:sz w:val="24"/>
                <w:szCs w:val="24"/>
                <w:highlight w:val="yellow"/>
              </w:rPr>
              <w:t>发动机厂</w:t>
            </w:r>
          </w:p>
          <w:p w14:paraId="2965B96E">
            <w:pPr>
              <w:tabs>
                <w:tab w:val="left" w:pos="932"/>
              </w:tabs>
              <w:ind w:firstLine="482"/>
              <w:rPr>
                <w:rFonts w:ascii="宋体" w:hAnsi="宋体" w:eastAsia="宋体" w:cs="宋体"/>
                <w:kern w:val="0"/>
                <w:sz w:val="24"/>
                <w:szCs w:val="24"/>
                <w:highlight w:val="yellow"/>
              </w:rPr>
            </w:pPr>
            <w:r>
              <w:rPr>
                <w:rFonts w:ascii="宋体" w:hAnsi="宋体" w:eastAsia="宋体" w:cs="宋体"/>
                <w:b/>
                <w:bCs/>
                <w:kern w:val="0"/>
                <w:sz w:val="24"/>
                <w:szCs w:val="24"/>
                <w:highlight w:val="yellow"/>
              </w:rPr>
              <w:t>开户银行：</w:t>
            </w:r>
            <w:r>
              <w:rPr>
                <w:rFonts w:ascii="宋体" w:hAnsi="宋体" w:eastAsia="宋体" w:cs="宋体"/>
                <w:sz w:val="24"/>
                <w:szCs w:val="24"/>
                <w:highlight w:val="yellow"/>
              </w:rPr>
              <w:t>中国银行章丘支行</w:t>
            </w:r>
          </w:p>
          <w:p w14:paraId="3E877A9E">
            <w:pPr>
              <w:tabs>
                <w:tab w:val="left" w:pos="932"/>
              </w:tabs>
              <w:ind w:firstLine="482"/>
              <w:rPr>
                <w:rFonts w:ascii="宋体" w:hAnsi="宋体" w:eastAsia="宋体" w:cs="宋体"/>
                <w:sz w:val="24"/>
                <w:szCs w:val="24"/>
                <w:highlight w:val="yellow"/>
              </w:rPr>
            </w:pPr>
            <w:r>
              <w:rPr>
                <w:rFonts w:ascii="宋体" w:hAnsi="宋体" w:eastAsia="宋体" w:cs="宋体"/>
                <w:b/>
                <w:bCs/>
                <w:kern w:val="0"/>
                <w:sz w:val="24"/>
                <w:szCs w:val="24"/>
                <w:highlight w:val="yellow"/>
              </w:rPr>
              <w:t>银行账号：</w:t>
            </w:r>
            <w:r>
              <w:rPr>
                <w:rFonts w:ascii="宋体" w:hAnsi="宋体" w:eastAsia="宋体" w:cs="宋体"/>
                <w:sz w:val="24"/>
                <w:szCs w:val="24"/>
                <w:highlight w:val="yellow"/>
              </w:rPr>
              <w:t>2234 0557 4478</w:t>
            </w:r>
          </w:p>
          <w:p w14:paraId="6E77C814">
            <w:pPr>
              <w:tabs>
                <w:tab w:val="left" w:pos="932"/>
              </w:tabs>
              <w:ind w:firstLine="482"/>
              <w:rPr>
                <w:rFonts w:ascii="宋体" w:hAnsi="宋体" w:eastAsia="宋体" w:cs="宋体"/>
                <w:sz w:val="24"/>
                <w:szCs w:val="24"/>
                <w:highlight w:val="yellow"/>
              </w:rPr>
            </w:pPr>
            <w:r>
              <w:rPr>
                <w:rFonts w:hint="eastAsia" w:ascii="宋体" w:hAnsi="宋体" w:eastAsia="宋体" w:cs="宋体"/>
                <w:b/>
                <w:bCs/>
                <w:kern w:val="0"/>
                <w:sz w:val="24"/>
                <w:szCs w:val="24"/>
                <w:highlight w:val="yellow"/>
              </w:rPr>
              <w:t>支付联行</w:t>
            </w:r>
            <w:r>
              <w:rPr>
                <w:rFonts w:ascii="宋体" w:hAnsi="宋体" w:eastAsia="宋体" w:cs="宋体"/>
                <w:b/>
                <w:bCs/>
                <w:kern w:val="0"/>
                <w:sz w:val="24"/>
                <w:szCs w:val="24"/>
                <w:highlight w:val="yellow"/>
              </w:rPr>
              <w:t>号：</w:t>
            </w:r>
            <w:r>
              <w:rPr>
                <w:rFonts w:hint="eastAsia" w:ascii="宋体" w:hAnsi="宋体" w:eastAsia="宋体" w:cs="宋体"/>
                <w:sz w:val="24"/>
                <w:szCs w:val="24"/>
                <w:highlight w:val="yellow"/>
              </w:rPr>
              <w:t>1044</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5104</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0689</w:t>
            </w:r>
          </w:p>
          <w:p w14:paraId="04438874">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2C5F88A">
            <w:pPr>
              <w:ind w:firstLine="480" w:firstLineChars="200"/>
              <w:rPr>
                <w:rFonts w:hint="eastAsia" w:eastAsia="宋体" w:cs="Times New Roman"/>
                <w:sz w:val="24"/>
                <w:szCs w:val="28"/>
                <w:highlight w:val="none"/>
              </w:rPr>
            </w:pPr>
            <w:r>
              <w:rPr>
                <w:rFonts w:hint="eastAsia" w:eastAsia="宋体" w:cs="Times New Roman"/>
                <w:sz w:val="24"/>
                <w:szCs w:val="28"/>
                <w:highlight w:val="yellow"/>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u w:val="single"/>
              </w:rPr>
              <w:t>2025年</w:t>
            </w:r>
            <w:r>
              <w:rPr>
                <w:rFonts w:hint="eastAsia" w:ascii="宋体" w:hAnsi="宋体" w:cs="宋体"/>
                <w:sz w:val="24"/>
                <w:szCs w:val="24"/>
                <w:highlight w:val="none"/>
                <w:u w:val="single"/>
                <w:lang w:val="en-US" w:eastAsia="zh-CN"/>
              </w:rPr>
              <w:t>12</w:t>
            </w:r>
            <w:r>
              <w:rPr>
                <w:rFonts w:hint="eastAsia" w:ascii="宋体" w:hAnsi="宋体" w:cs="宋体"/>
                <w:sz w:val="24"/>
                <w:szCs w:val="24"/>
                <w:highlight w:val="none"/>
                <w:u w:val="single"/>
              </w:rPr>
              <w:t>月</w:t>
            </w:r>
            <w:r>
              <w:rPr>
                <w:rFonts w:hint="eastAsia" w:ascii="宋体" w:hAnsi="宋体" w:cs="宋体"/>
                <w:sz w:val="24"/>
                <w:szCs w:val="24"/>
                <w:highlight w:val="none"/>
                <w:u w:val="single"/>
                <w:lang w:val="en-US" w:eastAsia="zh-CN"/>
              </w:rPr>
              <w:t>8</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上午9:</w:t>
            </w:r>
            <w:r>
              <w:rPr>
                <w:rFonts w:ascii="宋体" w:hAnsi="宋体" w:cs="宋体"/>
                <w:sz w:val="24"/>
                <w:szCs w:val="24"/>
                <w:highlight w:val="none"/>
                <w:u w:val="single"/>
              </w:rPr>
              <w:t>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0F159D5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w:t>
            </w:r>
            <w:r>
              <w:rPr>
                <w:rFonts w:hint="eastAsia" w:ascii="宋体" w:hAnsi="宋体" w:cs="宋体"/>
                <w:sz w:val="24"/>
                <w:szCs w:val="24"/>
                <w:highlight w:val="none"/>
                <w:lang w:val="en-US" w:eastAsia="zh-CN"/>
              </w:rPr>
              <w:t>账</w:t>
            </w:r>
            <w:r>
              <w:rPr>
                <w:rFonts w:hint="eastAsia" w:ascii="宋体" w:hAnsi="宋体" w:cs="宋体"/>
                <w:sz w:val="24"/>
                <w:szCs w:val="24"/>
                <w:highlight w:val="none"/>
              </w:rPr>
              <w:t>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予以原路返还（无息）；对于中标方，投标保证金将在签订合同后</w:t>
            </w:r>
            <w:r>
              <w:rPr>
                <w:rFonts w:hint="eastAsia" w:ascii="宋体" w:hAnsi="宋体" w:cs="宋体"/>
                <w:sz w:val="24"/>
                <w:szCs w:val="24"/>
                <w:highlight w:val="none"/>
                <w:lang w:val="en-US" w:eastAsia="zh-CN"/>
              </w:rPr>
              <w:t>30个工作日</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12</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8</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上午9</w:t>
            </w:r>
            <w:r>
              <w:rPr>
                <w:rFonts w:hint="eastAsia" w:ascii="宋体" w:hAnsi="宋体" w:eastAsia="宋体" w:cs="宋体"/>
                <w:sz w:val="24"/>
                <w:szCs w:val="24"/>
                <w:highlight w:val="none"/>
                <w:u w:val="single"/>
              </w:rPr>
              <w:t>:00</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北京时间</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若有变动，另行通知</w:t>
            </w:r>
            <w:r>
              <w:rPr>
                <w:rFonts w:hint="eastAsia" w:ascii="宋体" w:hAnsi="宋体" w:eastAsia="宋体" w:cs="宋体"/>
                <w:sz w:val="24"/>
                <w:szCs w:val="24"/>
                <w:highlight w:val="none"/>
                <w:u w:val="single"/>
                <w:lang w:eastAsia="zh-CN"/>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lang w:val="en-US" w:eastAsia="zh-CN"/>
              </w:rPr>
              <w:t>重汽科技大厦（待定）</w:t>
            </w:r>
            <w:r>
              <w:rPr>
                <w:rFonts w:hint="eastAsia" w:ascii="宋体" w:hAnsi="宋体" w:eastAsia="宋体" w:cs="宋体"/>
                <w:sz w:val="24"/>
                <w:szCs w:val="24"/>
                <w:highlight w:val="none"/>
              </w:rPr>
              <w:t>。</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highlight w:val="none"/>
              </w:rPr>
              <w:t>交货期</w:t>
            </w:r>
            <w:r>
              <w:rPr>
                <w:rFonts w:hint="eastAsia" w:hAnsi="宋体" w:eastAsia="宋体" w:cs="宋体"/>
                <w:b/>
                <w:bCs/>
                <w:color w:val="000000"/>
                <w:sz w:val="24"/>
                <w:szCs w:val="24"/>
              </w:rPr>
              <w:t>：</w:t>
            </w:r>
          </w:p>
          <w:p w14:paraId="0C894393">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1.自接到中标通知起，</w:t>
            </w:r>
            <w:r>
              <w:rPr>
                <w:rFonts w:hint="eastAsia" w:hAnsi="宋体" w:eastAsia="宋体" w:cs="宋体"/>
                <w:bCs/>
                <w:sz w:val="24"/>
                <w:szCs w:val="24"/>
                <w:highlight w:val="yellow"/>
                <w:u w:val="single"/>
              </w:rPr>
              <w:t xml:space="preserve">  </w:t>
            </w:r>
            <w:r>
              <w:rPr>
                <w:rFonts w:hAnsi="宋体" w:eastAsia="宋体" w:cs="宋体"/>
                <w:bCs/>
                <w:sz w:val="24"/>
                <w:szCs w:val="24"/>
                <w:highlight w:val="yellow"/>
                <w:u w:val="single"/>
              </w:rPr>
              <w:t>150</w:t>
            </w:r>
            <w:r>
              <w:rPr>
                <w:rFonts w:hint="eastAsia" w:hAnsi="宋体" w:eastAsia="宋体" w:cs="宋体"/>
                <w:bCs/>
                <w:sz w:val="24"/>
                <w:szCs w:val="24"/>
                <w:highlight w:val="yellow"/>
                <w:u w:val="single"/>
              </w:rPr>
              <w:t xml:space="preserve">  </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40F4EC43">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2.接续2</w:t>
            </w:r>
            <w:r>
              <w:rPr>
                <w:rFonts w:hAnsi="宋体" w:eastAsia="宋体" w:cs="宋体"/>
                <w:color w:val="000000"/>
                <w:sz w:val="24"/>
                <w:szCs w:val="24"/>
              </w:rPr>
              <w:t>0</w:t>
            </w:r>
            <w:r>
              <w:rPr>
                <w:rFonts w:hint="eastAsia" w:hAnsi="宋体" w:eastAsia="宋体" w:cs="宋体"/>
                <w:color w:val="000000"/>
                <w:sz w:val="24"/>
                <w:szCs w:val="24"/>
              </w:rPr>
              <w:t>个日历日之内安装调试完毕。</w:t>
            </w:r>
          </w:p>
          <w:p w14:paraId="56DEA04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F3AA68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交货地点：</w:t>
            </w:r>
            <w:r>
              <w:rPr>
                <w:rFonts w:hint="eastAsia" w:hAnsi="宋体" w:eastAsia="宋体" w:cs="宋体"/>
                <w:color w:val="000000"/>
                <w:sz w:val="24"/>
                <w:szCs w:val="24"/>
                <w:u w:val="single"/>
              </w:rPr>
              <w:t>济南市章丘区世纪大道7777号中国重汽集团济南动力有限公司济南发动机厂</w:t>
            </w:r>
            <w:r>
              <w:rPr>
                <w:rFonts w:hint="eastAsia" w:hAnsi="宋体" w:eastAsia="宋体" w:cs="宋体"/>
                <w:color w:val="000000"/>
                <w:sz w:val="24"/>
                <w:szCs w:val="24"/>
              </w:rPr>
              <w:t>。</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hint="eastAsia" w:ascii="宋体" w:hAnsi="宋体" w:eastAsia="宋体" w:cs="宋体"/>
                <w:sz w:val="24"/>
                <w:szCs w:val="24"/>
                <w:highlight w:val="none"/>
                <w:lang w:eastAsia="zh-CN"/>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rPr>
              <w:t>：</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9696D34">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1.合同生效后，卖方开具金额为该合同设备价格30%的增值税专用发票带</w:t>
            </w:r>
            <w:r>
              <w:rPr>
                <w:rFonts w:ascii="宋体" w:hAnsi="宋体" w:cs="宋体"/>
                <w:sz w:val="24"/>
                <w:szCs w:val="24"/>
              </w:rPr>
              <w:t>6</w:t>
            </w:r>
            <w:r>
              <w:rPr>
                <w:rFonts w:hint="eastAsia" w:ascii="宋体" w:hAnsi="宋体" w:cs="宋体"/>
                <w:sz w:val="24"/>
                <w:szCs w:val="24"/>
              </w:rPr>
              <w:t>0%的收据（含复印件二份），经买方依照财务制度审核无误后30个工作日支付合同价款的6</w:t>
            </w:r>
            <w:r>
              <w:rPr>
                <w:rFonts w:hint="eastAsia" w:ascii="宋体" w:hAnsi="宋体" w:cs="宋体"/>
                <w:sz w:val="24"/>
                <w:szCs w:val="24"/>
                <w:highlight w:val="yellow"/>
              </w:rPr>
              <w:t>0%</w:t>
            </w:r>
            <w:r>
              <w:rPr>
                <w:rFonts w:hint="eastAsia" w:ascii="宋体" w:hAnsi="宋体" w:cs="宋体"/>
                <w:sz w:val="24"/>
                <w:szCs w:val="24"/>
              </w:rPr>
              <w:t>。</w:t>
            </w:r>
          </w:p>
          <w:p w14:paraId="1412EA85">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2.设备全部到齐且无质量问题，卖方提交金额为合同价款0%的增值税专用发票带0%的收据（含复印件二份），经买方依照财务制度审核无误后30个工作日支付合同价款的</w:t>
            </w:r>
            <w:r>
              <w:rPr>
                <w:rFonts w:hint="eastAsia" w:ascii="宋体" w:hAnsi="宋体" w:cs="宋体"/>
                <w:sz w:val="24"/>
                <w:szCs w:val="24"/>
                <w:highlight w:val="yellow"/>
              </w:rPr>
              <w:t>0%</w:t>
            </w:r>
            <w:r>
              <w:rPr>
                <w:rFonts w:hint="eastAsia" w:ascii="宋体" w:hAnsi="宋体" w:cs="宋体"/>
                <w:sz w:val="24"/>
                <w:szCs w:val="24"/>
              </w:rPr>
              <w:t>。</w:t>
            </w:r>
          </w:p>
          <w:p w14:paraId="5E08690A">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3.设备经现场安装、调试、终验收合格交付使用后，卖方提交金额为合同价款</w:t>
            </w:r>
            <w:r>
              <w:rPr>
                <w:rFonts w:ascii="宋体" w:hAnsi="宋体" w:cs="宋体"/>
                <w:sz w:val="24"/>
                <w:szCs w:val="24"/>
              </w:rPr>
              <w:t>4</w:t>
            </w:r>
            <w:r>
              <w:rPr>
                <w:rFonts w:hint="eastAsia" w:ascii="宋体" w:hAnsi="宋体" w:cs="宋体"/>
                <w:sz w:val="24"/>
                <w:szCs w:val="24"/>
              </w:rPr>
              <w:t>0%的收据并附带下列单据，经买方依照财务制度审核无误后30个工作日支付合同价款的</w:t>
            </w:r>
            <w:r>
              <w:rPr>
                <w:rFonts w:hint="eastAsia" w:ascii="宋体" w:hAnsi="宋体" w:cs="宋体"/>
                <w:sz w:val="24"/>
                <w:szCs w:val="24"/>
                <w:highlight w:val="yellow"/>
                <w:u w:val="single"/>
              </w:rPr>
              <w:t xml:space="preserve"> </w:t>
            </w:r>
            <w:r>
              <w:rPr>
                <w:rFonts w:ascii="宋体" w:hAnsi="宋体" w:cs="宋体"/>
                <w:sz w:val="24"/>
                <w:szCs w:val="24"/>
                <w:highlight w:val="yellow"/>
                <w:u w:val="single"/>
              </w:rPr>
              <w:t>3</w:t>
            </w:r>
            <w:r>
              <w:rPr>
                <w:rFonts w:hint="eastAsia" w:ascii="宋体" w:hAnsi="宋体" w:cs="宋体"/>
                <w:sz w:val="24"/>
                <w:szCs w:val="24"/>
                <w:highlight w:val="yellow"/>
                <w:u w:val="single"/>
              </w:rPr>
              <w:t xml:space="preserve">0% </w:t>
            </w:r>
            <w:r>
              <w:rPr>
                <w:rFonts w:hint="eastAsia" w:ascii="宋体" w:hAnsi="宋体" w:cs="宋体"/>
                <w:sz w:val="24"/>
                <w:szCs w:val="24"/>
              </w:rPr>
              <w:t>。</w:t>
            </w:r>
          </w:p>
          <w:p w14:paraId="515E2269">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a.金额为该合同设备价格40%的增值税专用发票（含复印件二份），具体开票信息详见发票信息表，根据表中所列分别开具增值税发票。</w:t>
            </w:r>
          </w:p>
          <w:p w14:paraId="74DB9567">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b.该套设备最终验收报告的原件及其复印件两份。</w:t>
            </w:r>
          </w:p>
          <w:p w14:paraId="1D706690">
            <w:pPr>
              <w:pStyle w:val="34"/>
              <w:adjustRightInd w:val="0"/>
              <w:spacing w:after="0" w:line="240" w:lineRule="auto"/>
              <w:ind w:firstLine="0" w:firstLineChars="0"/>
              <w:rPr>
                <w:rFonts w:hint="eastAsia" w:ascii="宋体" w:hAnsi="宋体" w:eastAsia="宋体" w:cs="宋体"/>
                <w:sz w:val="24"/>
                <w:szCs w:val="24"/>
                <w:highlight w:val="cyan"/>
                <w:lang w:eastAsia="zh-CN"/>
              </w:rPr>
            </w:pPr>
            <w:r>
              <w:rPr>
                <w:rFonts w:hint="eastAsia" w:ascii="宋体" w:hAnsi="宋体" w:cs="宋体"/>
                <w:sz w:val="24"/>
                <w:szCs w:val="24"/>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中标方应在合同签订后</w:t>
            </w:r>
            <w:r>
              <w:rPr>
                <w:rFonts w:ascii="宋体" w:hAnsi="宋体" w:eastAsia="宋体" w:cs="宋体"/>
                <w:sz w:val="24"/>
                <w:szCs w:val="24"/>
                <w:highlight w:val="yellow"/>
              </w:rPr>
              <w:t>3</w:t>
            </w:r>
            <w:r>
              <w:rPr>
                <w:rFonts w:hint="eastAsia" w:ascii="宋体" w:hAnsi="宋体" w:eastAsia="宋体" w:cs="宋体"/>
                <w:sz w:val="24"/>
                <w:szCs w:val="24"/>
                <w:highlight w:val="yellow"/>
              </w:rPr>
              <w:t>0</w:t>
            </w:r>
            <w:r>
              <w:rPr>
                <w:rFonts w:hint="eastAsia" w:ascii="宋体" w:hAnsi="宋体" w:eastAsia="宋体" w:cs="宋体"/>
                <w:sz w:val="24"/>
                <w:szCs w:val="24"/>
              </w:rPr>
              <w:t>日内需根据设计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FB626DB">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B113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none"/>
        </w:rPr>
        <w:t>（附件）”</w:t>
      </w:r>
      <w:r>
        <w:rPr>
          <w:rFonts w:hint="eastAsia" w:ascii="宋体" w:hAnsi="宋体" w:eastAsia="宋体" w:cs="宋体"/>
          <w:color w:val="000000"/>
          <w:sz w:val="24"/>
          <w:szCs w:val="24"/>
        </w:rPr>
        <w:t>进行注册</w:t>
      </w:r>
      <w:r>
        <w:rPr>
          <w:rFonts w:hint="eastAsia" w:ascii="宋体" w:hAnsi="宋体" w:eastAsia="宋体" w:cs="宋体"/>
          <w:color w:val="000000"/>
          <w:sz w:val="24"/>
          <w:szCs w:val="24"/>
          <w:lang w:eastAsia="zh-CN"/>
        </w:rPr>
        <w:t>。</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w:t>
      </w:r>
      <w:r>
        <w:rPr>
          <w:rFonts w:hint="eastAsia" w:ascii="宋体" w:hAnsi="宋体" w:eastAsia="宋体" w:cs="宋体"/>
          <w:b/>
          <w:color w:val="000000"/>
          <w:sz w:val="24"/>
          <w:szCs w:val="24"/>
          <w:highlight w:val="none"/>
        </w:rPr>
        <w:t>册（附件）”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w:t>
      </w:r>
      <w:r>
        <w:rPr>
          <w:rFonts w:hint="eastAsia" w:ascii="宋体" w:hAnsi="宋体" w:eastAsia="宋体" w:cs="宋体"/>
          <w:color w:val="000000"/>
          <w:sz w:val="24"/>
          <w:szCs w:val="24"/>
          <w:highlight w:val="none"/>
        </w:rPr>
        <w:t>文件中的</w:t>
      </w:r>
      <w:r>
        <w:rPr>
          <w:rFonts w:hint="eastAsia" w:ascii="宋体" w:hAnsi="宋体" w:eastAsia="宋体" w:cs="宋体"/>
          <w:color w:val="000000"/>
          <w:sz w:val="24"/>
          <w:szCs w:val="24"/>
          <w:highlight w:val="none"/>
          <w:lang w:val="en-US" w:eastAsia="zh-CN"/>
        </w:rPr>
        <w:t>要求</w:t>
      </w:r>
      <w:r>
        <w:rPr>
          <w:rFonts w:hint="eastAsia" w:ascii="宋体" w:hAnsi="宋体" w:eastAsia="宋体" w:cs="宋体"/>
          <w:color w:val="000000"/>
          <w:sz w:val="24"/>
          <w:szCs w:val="24"/>
          <w:highlight w:val="none"/>
        </w:rPr>
        <w:t>准备</w:t>
      </w:r>
      <w:r>
        <w:rPr>
          <w:rFonts w:hint="eastAsia" w:ascii="宋体" w:hAnsi="宋体" w:eastAsia="宋体" w:cs="宋体"/>
          <w:color w:val="000000"/>
          <w:sz w:val="24"/>
          <w:szCs w:val="24"/>
        </w:rPr>
        <w:t>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highlight w:val="none"/>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none"/>
        </w:rPr>
        <w:t>我公司企业标准《设备设施颜色标识》（Q/ZZ30070</w:t>
      </w:r>
    </w:p>
    <w:p w14:paraId="665C6043">
      <w:pPr>
        <w:pStyle w:val="17"/>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30个工作日内</w:t>
      </w:r>
      <w:r>
        <w:rPr>
          <w:rFonts w:hint="eastAsia" w:eastAsia="宋体" w:cs="宋体"/>
          <w:highlight w:val="none"/>
        </w:rPr>
        <w:t>予以原路返还（无息）；对于中标方，投标保证金将在签订合同后</w:t>
      </w:r>
      <w:r>
        <w:rPr>
          <w:rFonts w:hint="eastAsia" w:eastAsia="宋体" w:cs="宋体"/>
          <w:highlight w:val="none"/>
          <w:lang w:val="en-US" w:eastAsia="zh-CN"/>
        </w:rPr>
        <w:t>30个工作日内</w:t>
      </w:r>
      <w:r>
        <w:rPr>
          <w:rFonts w:hint="eastAsia" w:eastAsia="宋体" w:cs="宋体"/>
          <w:highlight w:val="none"/>
        </w:rPr>
        <w:t>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 xml:space="preserve">4.3.1 </w:t>
      </w:r>
      <w:r>
        <w:rPr>
          <w:rFonts w:hint="eastAsia" w:eastAsia="宋体" w:cs="宋体"/>
          <w:highlight w:val="none"/>
        </w:rPr>
        <w:t>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3A8FF88B">
      <w:pPr>
        <w:spacing w:line="360" w:lineRule="auto"/>
        <w:ind w:firstLine="480" w:firstLineChars="200"/>
        <w:rPr>
          <w:rFonts w:hint="eastAsia" w:ascii="宋体" w:hAnsi="宋体" w:eastAsia="宋体" w:cs="宋体"/>
          <w:color w:val="000000"/>
          <w:sz w:val="24"/>
          <w:szCs w:val="24"/>
          <w:highlight w:val="cyan"/>
          <w:lang w:val="en-US" w:eastAsia="zh-CN"/>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rPr>
      </w:pPr>
      <w:bookmarkStart w:id="6" w:name="_Toc33267001"/>
      <w:bookmarkStart w:id="7" w:name="_Toc33265653"/>
      <w:bookmarkStart w:id="8" w:name="_Toc33285487"/>
      <w:bookmarkStart w:id="9" w:name="_Toc33265752"/>
      <w:bookmarkStart w:id="10" w:name="_Toc33266627"/>
      <w:bookmarkStart w:id="11" w:name="_Toc33266914"/>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DE06CBF">
      <w:pPr>
        <w:spacing w:line="360" w:lineRule="auto"/>
        <w:ind w:firstLine="480" w:firstLineChars="200"/>
        <w:rPr>
          <w:rFonts w:hint="eastAsia" w:ascii="宋体" w:hAnsi="宋体" w:eastAsia="宋体" w:cs="宋体"/>
          <w:b/>
          <w:color w:val="000000"/>
          <w:sz w:val="24"/>
          <w:szCs w:val="24"/>
          <w:highlight w:val="cyan"/>
        </w:rPr>
      </w:pPr>
      <w:bookmarkStart w:id="14" w:name="_Toc33267002"/>
      <w:bookmarkStart w:id="15" w:name="_Toc395116634"/>
      <w:bookmarkStart w:id="16" w:name="_Toc33265753"/>
      <w:bookmarkStart w:id="17" w:name="_Toc33266628"/>
      <w:bookmarkStart w:id="18" w:name="_Toc33285489"/>
      <w:bookmarkStart w:id="19" w:name="_Toc33266915"/>
      <w:bookmarkStart w:id="20" w:name="_Toc33266951"/>
      <w:bookmarkStart w:id="21" w:name="_Toc33265654"/>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w:t>
      </w:r>
      <w:r>
        <w:rPr>
          <w:rFonts w:hint="eastAsia" w:ascii="宋体" w:hAnsi="宋体" w:eastAsia="宋体" w:cs="宋体"/>
          <w:b/>
          <w:bCs/>
          <w:color w:val="000000"/>
          <w:sz w:val="24"/>
          <w:szCs w:val="24"/>
          <w:highlight w:val="none"/>
          <w:lang w:val="en-US" w:eastAsia="zh-CN"/>
        </w:rPr>
        <w:t>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963A6C">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见附件1</w:t>
      </w:r>
      <w:r>
        <w:rPr>
          <w:rFonts w:hint="eastAsia" w:ascii="宋体" w:hAnsi="宋体" w:eastAsia="宋体" w:cs="宋体"/>
          <w:b/>
          <w:sz w:val="24"/>
          <w:szCs w:val="24"/>
          <w:highlight w:val="none"/>
          <w:lang w:val="en-US" w:eastAsia="zh-CN"/>
        </w:rPr>
        <w:t>3</w:t>
      </w:r>
      <w:r>
        <w:rPr>
          <w:rFonts w:hint="eastAsia" w:ascii="宋体" w:hAnsi="宋体" w:eastAsia="宋体" w:cs="宋体"/>
          <w:b/>
          <w:sz w:val="24"/>
          <w:szCs w:val="24"/>
          <w:highlight w:val="none"/>
        </w:rPr>
        <w:t>；</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highlight w:val="magenta"/>
        </w:rPr>
        <w:t>技术标入围后，原则上合理最低价中标。</w:t>
      </w: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rPr>
        <w:t>2.</w:t>
      </w:r>
      <w:r>
        <w:rPr>
          <w:rFonts w:hint="eastAsia" w:ascii="宋体" w:hAnsi="宋体" w:eastAsia="宋体" w:cs="宋体"/>
          <w:sz w:val="24"/>
          <w:szCs w:val="24"/>
          <w:highlight w:val="none"/>
        </w:rPr>
        <w:t>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5"/>
      <w:bookmarkStart w:id="25" w:name="OLE_LINK29"/>
      <w:bookmarkStart w:id="26" w:name="OLE_LINK27"/>
      <w:r>
        <w:rPr>
          <w:rFonts w:hint="eastAsia" w:ascii="宋体" w:hAnsi="宋体" w:eastAsia="宋体" w:cs="宋体"/>
          <w:bCs/>
          <w:sz w:val="24"/>
          <w:szCs w:val="24"/>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w:t>
      </w:r>
      <w:r>
        <w:rPr>
          <w:rFonts w:hint="eastAsia" w:ascii="宋体" w:hAnsi="宋体" w:eastAsia="宋体" w:cs="宋体"/>
          <w:b/>
          <w:color w:val="000000"/>
          <w:sz w:val="24"/>
          <w:szCs w:val="24"/>
          <w:highlight w:val="none"/>
          <w:lang w:val="en-US" w:eastAsia="zh-CN"/>
        </w:rPr>
        <w:t>济南动力有限</w:t>
      </w:r>
      <w:r>
        <w:rPr>
          <w:rFonts w:hint="eastAsia" w:ascii="宋体" w:hAnsi="宋体" w:eastAsia="宋体" w:cs="宋体"/>
          <w:b/>
          <w:color w:val="000000"/>
          <w:sz w:val="24"/>
          <w:szCs w:val="24"/>
          <w:highlight w:val="none"/>
          <w:lang w:eastAsia="zh-CN"/>
        </w:rPr>
        <w:t>公司</w:t>
      </w:r>
      <w:r>
        <w:rPr>
          <w:rFonts w:hint="eastAsia" w:ascii="宋体" w:hAnsi="宋体" w:eastAsia="宋体" w:cs="宋体"/>
          <w:b/>
          <w:color w:val="000000"/>
          <w:sz w:val="24"/>
          <w:szCs w:val="24"/>
        </w:rPr>
        <w:t>。</w:t>
      </w:r>
    </w:p>
    <w:p w14:paraId="14B08B69">
      <w:pPr>
        <w:pStyle w:val="17"/>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hint="eastAsia" w:ascii="宋体" w:hAnsi="宋体" w:eastAsia="宋体" w:cs="宋体"/>
          <w:color w:val="000000"/>
          <w:sz w:val="24"/>
          <w:szCs w:val="24"/>
          <w:highlight w:val="none"/>
          <w:lang w:eastAsia="zh-CN"/>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2FF8C7E1">
      <w:pPr>
        <w:spacing w:line="360" w:lineRule="auto"/>
        <w:ind w:firstLine="480" w:firstLineChars="200"/>
        <w:rPr>
          <w:rFonts w:ascii="宋体" w:hAnsi="宋体" w:eastAsia="宋体" w:cs="宋体"/>
          <w:color w:val="000000"/>
          <w:sz w:val="24"/>
          <w:szCs w:val="24"/>
        </w:rPr>
      </w:pPr>
      <w:bookmarkStart w:id="28" w:name="_Toc212369515"/>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6384FA6D">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14:paraId="1832042C">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38CAB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4302DD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ascii="宋体" w:hAnsi="宋体" w:eastAsia="宋体" w:cs="宋体"/>
          <w:color w:val="000000"/>
          <w:sz w:val="24"/>
          <w:szCs w:val="24"/>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1218A4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1475EEA1">
      <w:pPr>
        <w:spacing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0466812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w:t>
      </w:r>
      <w:r>
        <w:rPr>
          <w:rFonts w:ascii="宋体" w:hAnsi="宋体" w:eastAsia="宋体" w:cs="宋体"/>
          <w:color w:val="000000"/>
          <w:sz w:val="24"/>
          <w:szCs w:val="24"/>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3BF913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5351A92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72B40E1">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387E81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rPr>
        <w:t>：</w:t>
      </w:r>
    </w:p>
    <w:p w14:paraId="22F7383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356A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79308D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6A383A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9FF9B4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303BC4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eastAsia="zh-CN"/>
        </w:rPr>
        <w:t>。</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77525105">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D9385C8">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6F80012D">
      <w:pPr>
        <w:pStyle w:val="17"/>
      </w:pPr>
    </w:p>
    <w:p w14:paraId="1D0BFBEC">
      <w:pPr>
        <w:spacing w:line="276" w:lineRule="auto"/>
        <w:jc w:val="center"/>
        <w:rPr>
          <w:rFonts w:ascii="Calibri" w:hAnsi="Calibri" w:eastAsia="宋体" w:cs="Times New Roman"/>
          <w:b/>
          <w:bCs/>
          <w:color w:val="000000"/>
          <w:spacing w:val="-8"/>
          <w:sz w:val="48"/>
          <w:szCs w:val="44"/>
          <w:highlight w:val="none"/>
        </w:rPr>
      </w:pPr>
      <w:bookmarkStart w:id="33" w:name="_Toc465187648"/>
      <w:bookmarkStart w:id="34" w:name="_Toc169605877"/>
      <w:bookmarkStart w:id="35" w:name="_Toc169605884"/>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rPr>
        <w:t>济南</w:t>
      </w:r>
      <w:r>
        <w:rPr>
          <w:rFonts w:hint="eastAsia" w:ascii="Calibri" w:hAnsi="宋体" w:eastAsia="宋体" w:cs="Times New Roman"/>
          <w:b/>
          <w:bCs/>
          <w:color w:val="000000"/>
          <w:spacing w:val="-8"/>
          <w:sz w:val="48"/>
          <w:szCs w:val="44"/>
          <w:highlight w:val="none"/>
          <w:lang w:val="en-US" w:eastAsia="zh-CN"/>
        </w:rPr>
        <w:t>动力有限</w:t>
      </w:r>
      <w:r>
        <w:rPr>
          <w:rFonts w:hint="eastAsia" w:ascii="Calibri" w:hAnsi="宋体" w:eastAsia="宋体" w:cs="Times New Roman"/>
          <w:b/>
          <w:bCs/>
          <w:color w:val="000000"/>
          <w:spacing w:val="-8"/>
          <w:sz w:val="48"/>
          <w:szCs w:val="44"/>
          <w:highlight w:val="none"/>
        </w:rPr>
        <w:t>公司</w:t>
      </w:r>
      <w:r>
        <w:rPr>
          <w:rFonts w:hint="eastAsia" w:ascii="Calibri" w:hAnsi="宋体" w:eastAsia="宋体" w:cs="Times New Roman"/>
          <w:b/>
          <w:bCs/>
          <w:color w:val="000000"/>
          <w:spacing w:val="-8"/>
          <w:sz w:val="48"/>
          <w:szCs w:val="44"/>
          <w:highlight w:val="none"/>
          <w:lang w:val="en-US" w:eastAsia="zh-CN"/>
        </w:rPr>
        <w:t>发动机厂涨断机激光系统升级改造项目</w:t>
      </w:r>
    </w:p>
    <w:p w14:paraId="0586E4FB">
      <w:pPr>
        <w:jc w:val="right"/>
        <w:rPr>
          <w:rFonts w:ascii="Calibri" w:hAnsi="Calibri" w:eastAsia="宋体" w:cs="Times New Roman"/>
          <w:color w:val="000000"/>
          <w:sz w:val="28"/>
          <w:szCs w:val="28"/>
        </w:rPr>
      </w:pPr>
    </w:p>
    <w:p w14:paraId="2AD2F675">
      <w:pPr>
        <w:pStyle w:val="17"/>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0E9C0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572E60D">
      <w:pPr>
        <w:pStyle w:val="17"/>
      </w:pPr>
    </w:p>
    <w:p w14:paraId="7A487CF2">
      <w:pPr>
        <w:pStyle w:val="17"/>
        <w:rPr>
          <w:rFonts w:ascii="黑体" w:hAnsi="宋体" w:eastAsia="黑体" w:cs="Times New Roman"/>
          <w:color w:val="000000"/>
          <w:sz w:val="72"/>
          <w:szCs w:val="72"/>
        </w:rPr>
      </w:pPr>
    </w:p>
    <w:p w14:paraId="697F9C5C">
      <w:pPr>
        <w:pStyle w:val="17"/>
        <w:rPr>
          <w:rFonts w:ascii="黑体" w:hAnsi="宋体" w:eastAsia="黑体" w:cs="Times New Roman"/>
          <w:color w:val="000000"/>
          <w:sz w:val="72"/>
          <w:szCs w:val="72"/>
        </w:rPr>
      </w:pPr>
    </w:p>
    <w:p w14:paraId="4D231187">
      <w:pPr>
        <w:spacing w:line="860" w:lineRule="exact"/>
        <w:rPr>
          <w:rFonts w:ascii="华文仿宋" w:hAnsi="华文仿宋" w:eastAsia="华文仿宋"/>
          <w:sz w:val="32"/>
          <w:szCs w:val="28"/>
        </w:rPr>
      </w:pPr>
    </w:p>
    <w:p w14:paraId="3A782835">
      <w:pPr>
        <w:spacing w:line="860" w:lineRule="exact"/>
        <w:rPr>
          <w:rFonts w:ascii="华文仿宋" w:hAnsi="华文仿宋" w:eastAsia="华文仿宋"/>
          <w:sz w:val="32"/>
          <w:szCs w:val="28"/>
        </w:rPr>
      </w:pPr>
    </w:p>
    <w:p w14:paraId="3E87C2A9">
      <w:pPr>
        <w:spacing w:line="860" w:lineRule="exact"/>
        <w:rPr>
          <w:rFonts w:ascii="华文仿宋" w:hAnsi="华文仿宋" w:eastAsia="华文仿宋"/>
          <w:sz w:val="32"/>
          <w:szCs w:val="28"/>
        </w:rPr>
      </w:pPr>
    </w:p>
    <w:p w14:paraId="6CBB6578">
      <w:pPr>
        <w:spacing w:line="860" w:lineRule="exact"/>
        <w:rPr>
          <w:rFonts w:ascii="华文仿宋" w:hAnsi="华文仿宋" w:eastAsia="华文仿宋"/>
          <w:b/>
          <w:bCs/>
          <w:sz w:val="32"/>
          <w:szCs w:val="28"/>
        </w:rPr>
      </w:pPr>
    </w:p>
    <w:p w14:paraId="3645AEF0">
      <w:pPr>
        <w:pStyle w:val="17"/>
        <w:rPr>
          <w:b/>
          <w:bCs/>
        </w:rPr>
      </w:pPr>
    </w:p>
    <w:p w14:paraId="68828B14">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招标人：</w:t>
      </w:r>
      <w:r>
        <w:rPr>
          <w:rFonts w:hint="eastAsia" w:ascii="宋体" w:hAnsi="宋体" w:eastAsia="宋体" w:cs="Times New Roman"/>
          <w:color w:val="000000"/>
          <w:sz w:val="28"/>
          <w:szCs w:val="28"/>
          <w:highlight w:val="none"/>
          <w:lang w:eastAsia="zh-CN"/>
        </w:rPr>
        <w:t>中国重汽集团济南</w:t>
      </w:r>
      <w:r>
        <w:rPr>
          <w:rFonts w:hint="eastAsia" w:ascii="宋体" w:hAnsi="宋体" w:eastAsia="宋体" w:cs="Times New Roman"/>
          <w:color w:val="000000"/>
          <w:sz w:val="28"/>
          <w:szCs w:val="28"/>
          <w:highlight w:val="none"/>
          <w:lang w:val="en-US" w:eastAsia="zh-CN"/>
        </w:rPr>
        <w:t>动力</w:t>
      </w:r>
      <w:r>
        <w:rPr>
          <w:rFonts w:hint="eastAsia" w:ascii="宋体" w:hAnsi="宋体" w:eastAsia="宋体" w:cs="Times New Roman"/>
          <w:color w:val="000000"/>
          <w:sz w:val="28"/>
          <w:szCs w:val="28"/>
          <w:highlight w:val="none"/>
          <w:lang w:eastAsia="zh-CN"/>
        </w:rPr>
        <w:t>有限公司</w:t>
      </w:r>
    </w:p>
    <w:p w14:paraId="6AC6B9CA">
      <w:pPr>
        <w:jc w:val="center"/>
        <w:rPr>
          <w:rFonts w:ascii="Calibri" w:hAnsi="Calibri" w:eastAsia="宋体" w:cs="Times New Roman"/>
          <w:color w:val="000000"/>
          <w:sz w:val="28"/>
          <w:szCs w:val="28"/>
        </w:rPr>
      </w:pPr>
    </w:p>
    <w:p w14:paraId="76446F7A">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11</w:t>
      </w:r>
      <w:r>
        <w:rPr>
          <w:rFonts w:hint="eastAsia" w:ascii="Calibri" w:hAnsi="Calibri" w:eastAsia="宋体" w:cs="Times New Roman"/>
          <w:color w:val="000000"/>
          <w:sz w:val="28"/>
          <w:szCs w:val="28"/>
          <w:highlight w:val="none"/>
        </w:rPr>
        <w:t>月</w:t>
      </w:r>
    </w:p>
    <w:p w14:paraId="1B7B1311">
      <w:pPr>
        <w:spacing w:line="360" w:lineRule="auto"/>
        <w:rPr>
          <w:rFonts w:ascii="宋体" w:hAnsi="宋体" w:eastAsia="宋体" w:cs="Times New Roman"/>
          <w:b/>
          <w:sz w:val="36"/>
          <w:szCs w:val="36"/>
        </w:rPr>
        <w:sectPr>
          <w:footerReference r:id="rId10" w:type="default"/>
          <w:pgSz w:w="11907" w:h="16840"/>
          <w:pgMar w:top="1304" w:right="1418" w:bottom="1304" w:left="1418" w:header="724" w:footer="851" w:gutter="0"/>
          <w:cols w:space="720" w:num="1"/>
          <w:docGrid w:linePitch="290" w:charSpace="-3931"/>
        </w:sectPr>
      </w:pPr>
    </w:p>
    <w:p w14:paraId="4D7039D4">
      <w:pPr>
        <w:keepNext/>
        <w:keepLines/>
        <w:spacing w:before="120" w:after="120" w:line="480" w:lineRule="exact"/>
        <w:jc w:val="center"/>
        <w:outlineLvl w:val="1"/>
        <w:rPr>
          <w:rFonts w:ascii="宋体" w:hAnsi="Calibri" w:eastAsia="宋体" w:cs="Times New Roman"/>
          <w:b/>
          <w:bCs/>
          <w:kern w:val="44"/>
          <w:sz w:val="28"/>
          <w:szCs w:val="28"/>
          <w14:ligatures w14:val="none"/>
        </w:rPr>
      </w:pPr>
      <w:bookmarkStart w:id="36" w:name="_Toc22764"/>
      <w:bookmarkStart w:id="37" w:name="_Toc26357117"/>
      <w:bookmarkStart w:id="38" w:name="_Toc27758106"/>
      <w:bookmarkStart w:id="39" w:name="_Toc18103"/>
      <w:r>
        <w:rPr>
          <w:rFonts w:hint="eastAsia" w:ascii="宋体" w:hAnsi="宋体" w:eastAsia="宋体" w:cs="Times New Roman"/>
          <w:b/>
          <w:bCs/>
          <w:kern w:val="44"/>
          <w:sz w:val="28"/>
          <w:szCs w:val="28"/>
          <w14:ligatures w14:val="none"/>
        </w:rPr>
        <w:t>第一章</w:t>
      </w:r>
      <w:r>
        <w:rPr>
          <w:rFonts w:ascii="宋体" w:hAnsi="宋体" w:eastAsia="宋体" w:cs="Times New Roman"/>
          <w:b/>
          <w:bCs/>
          <w:kern w:val="44"/>
          <w:sz w:val="28"/>
          <w:szCs w:val="28"/>
          <w14:ligatures w14:val="none"/>
        </w:rPr>
        <w:t xml:space="preserve">  </w:t>
      </w:r>
      <w:r>
        <w:rPr>
          <w:rFonts w:hint="eastAsia" w:ascii="宋体" w:hAnsi="宋体" w:eastAsia="宋体" w:cs="Times New Roman"/>
          <w:b/>
          <w:bCs/>
          <w:kern w:val="44"/>
          <w:sz w:val="28"/>
          <w:szCs w:val="28"/>
          <w14:ligatures w14:val="none"/>
        </w:rPr>
        <w:t>采购货物概况</w:t>
      </w:r>
    </w:p>
    <w:p w14:paraId="65674AB6">
      <w:pPr>
        <w:keepNext/>
        <w:keepLines/>
        <w:spacing w:before="120" w:after="120" w:line="480" w:lineRule="exact"/>
        <w:jc w:val="center"/>
        <w:outlineLvl w:val="2"/>
        <w:rPr>
          <w:rFonts w:ascii="Arial" w:hAnsi="Arial" w:eastAsia="宋体" w:cs="Times New Roman"/>
          <w:b/>
          <w:bCs/>
          <w:sz w:val="24"/>
          <w14:ligatures w14:val="none"/>
        </w:rPr>
      </w:pPr>
      <w:bookmarkStart w:id="40" w:name="_Toc169605878"/>
      <w:r>
        <w:rPr>
          <w:rFonts w:hint="eastAsia" w:ascii="Arial" w:hAnsi="Arial" w:eastAsia="宋体" w:cs="Times New Roman"/>
          <w:b/>
          <w:bCs/>
          <w:sz w:val="24"/>
          <w14:ligatures w14:val="none"/>
        </w:rPr>
        <w:t>第一节</w:t>
      </w:r>
      <w:r>
        <w:rPr>
          <w:rFonts w:ascii="Arial" w:hAnsi="Arial" w:eastAsia="宋体" w:cs="Times New Roman"/>
          <w:b/>
          <w:bCs/>
          <w:sz w:val="24"/>
          <w14:ligatures w14:val="none"/>
        </w:rPr>
        <w:t xml:space="preserve">  </w:t>
      </w:r>
      <w:r>
        <w:rPr>
          <w:rFonts w:hint="eastAsia" w:ascii="Arial" w:hAnsi="Arial" w:eastAsia="宋体" w:cs="Times New Roman"/>
          <w:b/>
          <w:bCs/>
          <w:sz w:val="24"/>
          <w14:ligatures w14:val="none"/>
        </w:rPr>
        <w:t>使用环境</w:t>
      </w:r>
      <w:bookmarkEnd w:id="40"/>
    </w:p>
    <w:p w14:paraId="46AA1A02">
      <w:pPr>
        <w:spacing w:after="0" w:line="360" w:lineRule="auto"/>
        <w:jc w:val="both"/>
        <w:outlineLvl w:val="3"/>
        <w:rPr>
          <w:rFonts w:hint="eastAsia" w:ascii="宋体" w:hAnsi="宋体" w:eastAsia="宋体" w:cs="宋体"/>
          <w:sz w:val="24"/>
          <w:u w:val="single"/>
          <w:shd w:val="pct10" w:color="auto" w:fill="FFFFFF"/>
          <w14:ligatures w14:val="none"/>
        </w:rPr>
      </w:pPr>
      <w:r>
        <w:rPr>
          <w:rFonts w:hint="eastAsia" w:ascii="宋体" w:hAnsi="宋体" w:eastAsia="宋体" w:cs="宋体"/>
          <w:sz w:val="24"/>
          <w14:ligatures w14:val="none"/>
        </w:rPr>
        <w:t>一、项目名称：</w:t>
      </w:r>
      <w:r>
        <w:rPr>
          <w:rFonts w:hint="eastAsia" w:ascii="宋体" w:hAnsi="宋体" w:eastAsia="宋体" w:cs="宋体"/>
          <w:sz w:val="24"/>
          <w:szCs w:val="22"/>
          <w:u w:val="single"/>
          <w14:ligatures w14:val="none"/>
        </w:rPr>
        <w:t>涨断机激光系统升级改造</w:t>
      </w:r>
    </w:p>
    <w:p w14:paraId="06B49C2A">
      <w:pPr>
        <w:spacing w:after="0" w:line="360" w:lineRule="auto"/>
        <w:jc w:val="both"/>
        <w:outlineLvl w:val="3"/>
        <w:rPr>
          <w:rFonts w:hint="eastAsia" w:ascii="宋体" w:hAnsi="宋体" w:eastAsia="宋体" w:cs="宋体"/>
          <w:sz w:val="24"/>
          <w:szCs w:val="22"/>
          <w:u w:val="single"/>
          <w14:ligatures w14:val="none"/>
        </w:rPr>
      </w:pPr>
      <w:r>
        <w:rPr>
          <w:rFonts w:hint="eastAsia" w:ascii="宋体" w:hAnsi="宋体" w:eastAsia="宋体" w:cs="宋体"/>
          <w:sz w:val="24"/>
          <w14:ligatures w14:val="none"/>
        </w:rPr>
        <w:t>二、建设地点：</w:t>
      </w:r>
      <w:r>
        <w:rPr>
          <w:rFonts w:hint="eastAsia" w:ascii="宋体" w:hAnsi="宋体" w:eastAsia="宋体" w:cs="宋体"/>
          <w:color w:val="000000"/>
          <w:sz w:val="24"/>
          <w:u w:val="single"/>
          <w14:ligatures w14:val="none"/>
        </w:rPr>
        <w:t>章丘市圣井镇重汽工业园</w:t>
      </w:r>
    </w:p>
    <w:p w14:paraId="59D7BE24">
      <w:pPr>
        <w:spacing w:after="0" w:line="360" w:lineRule="auto"/>
        <w:jc w:val="both"/>
        <w:outlineLvl w:val="3"/>
        <w:rPr>
          <w:rFonts w:hint="eastAsia" w:ascii="宋体" w:hAnsi="宋体" w:eastAsia="宋体" w:cs="宋体"/>
          <w:color w:val="000000"/>
          <w:sz w:val="24"/>
          <w:highlight w:val="yellow"/>
          <w:u w:val="single"/>
          <w14:ligatures w14:val="none"/>
        </w:rPr>
      </w:pPr>
      <w:r>
        <w:rPr>
          <w:rFonts w:hint="eastAsia" w:ascii="宋体" w:hAnsi="宋体" w:eastAsia="宋体" w:cs="宋体"/>
          <w:sz w:val="24"/>
          <w14:ligatures w14:val="none"/>
        </w:rPr>
        <w:t>三、使用地点：</w:t>
      </w:r>
      <w:r>
        <w:rPr>
          <w:rFonts w:hint="eastAsia" w:ascii="宋体" w:hAnsi="宋体" w:eastAsia="宋体" w:cs="宋体"/>
          <w:color w:val="000000"/>
          <w:sz w:val="24"/>
          <w:u w:val="single"/>
          <w14:ligatures w14:val="none"/>
        </w:rPr>
        <w:t>中国重汽集团济南动力有限公司发动机厂机加工部</w:t>
      </w:r>
    </w:p>
    <w:p w14:paraId="44A63E79">
      <w:pPr>
        <w:spacing w:after="0" w:line="360" w:lineRule="auto"/>
        <w:jc w:val="both"/>
        <w:outlineLvl w:val="3"/>
        <w:rPr>
          <w:rFonts w:hint="eastAsia" w:ascii="宋体" w:hAnsi="宋体" w:eastAsia="宋体" w:cs="宋体"/>
          <w:sz w:val="24"/>
          <w14:ligatures w14:val="none"/>
        </w:rPr>
      </w:pPr>
      <w:r>
        <w:rPr>
          <w:rFonts w:hint="eastAsia" w:ascii="宋体" w:hAnsi="宋体" w:eastAsia="宋体" w:cs="宋体"/>
          <w:sz w:val="24"/>
          <w14:ligatures w14:val="none"/>
        </w:rPr>
        <w:t>四、使用地点区域自然环境：</w:t>
      </w:r>
    </w:p>
    <w:p w14:paraId="38B7882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1.海拔高度：约500m。</w:t>
      </w:r>
    </w:p>
    <w:p w14:paraId="73EF95C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2.环境温度：最高40℃   最低-15℃。</w:t>
      </w:r>
    </w:p>
    <w:p w14:paraId="49523AC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3.相对湿度：40%—95%。</w:t>
      </w:r>
    </w:p>
    <w:p w14:paraId="72A4C5F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4.安装方式：室内。</w:t>
      </w:r>
    </w:p>
    <w:p w14:paraId="364B9C5A">
      <w:pPr>
        <w:spacing w:after="0" w:line="360" w:lineRule="auto"/>
        <w:jc w:val="both"/>
        <w:rPr>
          <w:rFonts w:hint="eastAsia" w:ascii="宋体" w:hAnsi="宋体" w:eastAsia="宋体" w:cs="宋体"/>
          <w:sz w:val="24"/>
          <w14:ligatures w14:val="none"/>
        </w:rPr>
      </w:pPr>
      <w:r>
        <w:rPr>
          <w:rFonts w:hint="eastAsia" w:ascii="宋体" w:hAnsi="宋体" w:eastAsia="宋体" w:cs="宋体"/>
          <w:sz w:val="24"/>
          <w14:ligatures w14:val="none"/>
        </w:rPr>
        <w:t>五、使用地点区域环境条件：</w:t>
      </w:r>
    </w:p>
    <w:p w14:paraId="0DB9F9D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1.动力供给： 三相四线380VAC（+/-10%），50Hz（+/-1Hz）。</w:t>
      </w:r>
    </w:p>
    <w:p w14:paraId="32B2A272">
      <w:pPr>
        <w:keepNext/>
        <w:keepLines/>
        <w:spacing w:before="120" w:after="120" w:line="480" w:lineRule="exact"/>
        <w:jc w:val="center"/>
        <w:outlineLvl w:val="2"/>
        <w:rPr>
          <w:rFonts w:ascii="宋体" w:hAnsi="Arial" w:eastAsia="宋体" w:cs="Times New Roman"/>
          <w:b/>
          <w:bCs/>
          <w:sz w:val="24"/>
          <w14:ligatures w14:val="none"/>
        </w:rPr>
      </w:pPr>
      <w:r>
        <w:rPr>
          <w:rFonts w:hint="eastAsia" w:ascii="宋体" w:hAnsi="宋体" w:eastAsia="宋体" w:cs="Times New Roman"/>
          <w:b/>
          <w:bCs/>
          <w:sz w:val="24"/>
          <w14:ligatures w14:val="none"/>
        </w:rPr>
        <w:t>第二节</w:t>
      </w:r>
      <w:r>
        <w:rPr>
          <w:rFonts w:ascii="宋体" w:hAnsi="宋体" w:eastAsia="宋体" w:cs="Times New Roman"/>
          <w:b/>
          <w:bCs/>
          <w:sz w:val="24"/>
          <w14:ligatures w14:val="none"/>
        </w:rPr>
        <w:t xml:space="preserve">  </w:t>
      </w:r>
      <w:r>
        <w:rPr>
          <w:rFonts w:hint="eastAsia" w:ascii="宋体" w:hAnsi="宋体" w:eastAsia="宋体" w:cs="Times New Roman"/>
          <w:b/>
          <w:bCs/>
          <w:sz w:val="24"/>
          <w14:ligatures w14:val="none"/>
        </w:rPr>
        <w:t>采购货物概况</w:t>
      </w:r>
    </w:p>
    <w:p w14:paraId="0A0EB420">
      <w:pPr>
        <w:spacing w:after="0" w:line="360" w:lineRule="auto"/>
        <w:jc w:val="both"/>
        <w:outlineLvl w:val="3"/>
        <w:rPr>
          <w:rFonts w:hint="eastAsia" w:ascii="等线" w:hAnsi="等线" w:eastAsia="等线" w:cs="Times New Roman"/>
          <w:sz w:val="21"/>
          <w:szCs w:val="22"/>
          <w14:ligatures w14:val="none"/>
        </w:rPr>
      </w:pPr>
      <w:r>
        <w:rPr>
          <w:rFonts w:hint="eastAsia" w:ascii="宋体" w:hAnsi="宋体" w:eastAsia="宋体" w:cs="宋体"/>
          <w:b/>
          <w:sz w:val="24"/>
          <w14:ligatures w14:val="none"/>
        </w:rPr>
        <w:t>一、货物名称：</w:t>
      </w:r>
      <w:r>
        <w:rPr>
          <w:rFonts w:hint="eastAsia" w:ascii="宋体" w:hAnsi="宋体" w:eastAsia="宋体" w:cs="宋体"/>
          <w:sz w:val="24"/>
          <w:szCs w:val="22"/>
          <w:u w:val="single"/>
          <w14:ligatures w14:val="none"/>
        </w:rPr>
        <w:t>涨断机激光系统升级改造</w:t>
      </w:r>
      <w:r>
        <w:rPr>
          <w:rFonts w:hint="eastAsia" w:ascii="宋体" w:hAnsi="宋体" w:eastAsia="宋体" w:cs="宋体"/>
          <w:sz w:val="24"/>
          <w14:ligatures w14:val="none"/>
        </w:rPr>
        <w:t>（详见下表）</w:t>
      </w:r>
    </w:p>
    <w:p w14:paraId="7120F8C1">
      <w:pPr>
        <w:spacing w:after="0" w:line="360" w:lineRule="auto"/>
        <w:jc w:val="both"/>
        <w:outlineLvl w:val="3"/>
        <w:rPr>
          <w:rFonts w:hint="eastAsia" w:ascii="宋体" w:hAnsi="宋体" w:eastAsia="宋体" w:cs="宋体"/>
          <w:sz w:val="24"/>
          <w14:ligatures w14:val="none"/>
        </w:rPr>
      </w:pPr>
      <w:r>
        <w:rPr>
          <w:rFonts w:hint="eastAsia" w:ascii="宋体" w:hAnsi="宋体" w:eastAsia="宋体" w:cs="宋体"/>
          <w:b/>
          <w:sz w:val="24"/>
          <w14:ligatures w14:val="none"/>
        </w:rPr>
        <w:t>二、货物数量：</w:t>
      </w:r>
      <w:r>
        <w:rPr>
          <w:rFonts w:hint="eastAsia" w:ascii="宋体" w:hAnsi="宋体" w:eastAsia="宋体" w:cs="宋体"/>
          <w:b/>
          <w:sz w:val="24"/>
          <w:u w:val="single"/>
          <w14:ligatures w14:val="none"/>
        </w:rPr>
        <w:t xml:space="preserve"> </w:t>
      </w:r>
      <w:r>
        <w:rPr>
          <w:rFonts w:ascii="宋体" w:hAnsi="宋体" w:eastAsia="宋体" w:cs="宋体"/>
          <w:b/>
          <w:sz w:val="24"/>
          <w:u w:val="single"/>
          <w14:ligatures w14:val="none"/>
        </w:rPr>
        <w:t>1</w:t>
      </w:r>
      <w:r>
        <w:rPr>
          <w:rFonts w:hint="eastAsia" w:ascii="宋体" w:hAnsi="宋体" w:eastAsia="宋体" w:cs="宋体"/>
          <w:b/>
          <w:sz w:val="24"/>
          <w:u w:val="single"/>
          <w14:ligatures w14:val="none"/>
        </w:rPr>
        <w:t xml:space="preserve">套 </w:t>
      </w:r>
    </w:p>
    <w:p w14:paraId="18F3E8BF">
      <w:pPr>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三、分投分中：不允许</w:t>
      </w:r>
    </w:p>
    <w:p w14:paraId="603498C3">
      <w:pPr>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四、涨断机激光系统升级改造主要构成一览表：</w:t>
      </w:r>
    </w:p>
    <w:p w14:paraId="5CD56594">
      <w:pPr>
        <w:spacing w:after="0" w:line="240" w:lineRule="auto"/>
        <w:jc w:val="center"/>
        <w:rPr>
          <w:rFonts w:hint="eastAsia" w:ascii="宋体" w:hAnsi="宋体" w:eastAsia="宋体" w:cs="宋体"/>
          <w:sz w:val="24"/>
          <w14:ligatures w14:val="none"/>
        </w:rPr>
      </w:pPr>
      <w:r>
        <w:rPr>
          <w:rFonts w:hint="eastAsia" w:ascii="宋体" w:hAnsi="宋体" w:eastAsia="宋体" w:cs="宋体"/>
          <w:color w:val="000000"/>
          <w:sz w:val="24"/>
          <w14:ligatures w14:val="none"/>
        </w:rPr>
        <w:t>采购货物主要构成</w:t>
      </w:r>
      <w:r>
        <w:rPr>
          <w:rFonts w:hint="eastAsia" w:ascii="宋体" w:hAnsi="宋体" w:eastAsia="宋体" w:cs="宋体"/>
          <w:sz w:val="24"/>
          <w14:ligatures w14:val="none"/>
        </w:rPr>
        <w:t>一览表：</w:t>
      </w:r>
    </w:p>
    <w:p w14:paraId="01A6B875">
      <w:pPr>
        <w:spacing w:after="0" w:line="240" w:lineRule="auto"/>
        <w:jc w:val="center"/>
        <w:rPr>
          <w:rFonts w:hint="eastAsia" w:ascii="宋体" w:hAnsi="宋体" w:eastAsia="宋体" w:cs="宋体"/>
          <w:sz w:val="24"/>
          <w14:ligatures w14:val="none"/>
        </w:rPr>
      </w:pPr>
      <w:r>
        <w:rPr>
          <w:rFonts w:hint="eastAsia" w:ascii="宋体" w:hAnsi="宋体" w:eastAsia="宋体" w:cs="宋体"/>
          <w:sz w:val="24"/>
          <w14:ligatures w14:val="none"/>
        </w:rPr>
        <w:t>（注：投标时需注明各部分为本地供货或原装进口）</w:t>
      </w:r>
    </w:p>
    <w:tbl>
      <w:tblPr>
        <w:tblStyle w:val="35"/>
        <w:tblW w:w="4997" w:type="pct"/>
        <w:tblInd w:w="0" w:type="dxa"/>
        <w:tblLayout w:type="autofit"/>
        <w:tblCellMar>
          <w:top w:w="0" w:type="dxa"/>
          <w:left w:w="51" w:type="dxa"/>
          <w:bottom w:w="0" w:type="dxa"/>
          <w:right w:w="51" w:type="dxa"/>
        </w:tblCellMar>
      </w:tblPr>
      <w:tblGrid>
        <w:gridCol w:w="608"/>
        <w:gridCol w:w="1322"/>
        <w:gridCol w:w="1100"/>
        <w:gridCol w:w="842"/>
        <w:gridCol w:w="842"/>
        <w:gridCol w:w="2644"/>
        <w:gridCol w:w="1131"/>
        <w:gridCol w:w="678"/>
      </w:tblGrid>
      <w:tr w14:paraId="21308FA1">
        <w:tblPrEx>
          <w:tblCellMar>
            <w:top w:w="0" w:type="dxa"/>
            <w:left w:w="51" w:type="dxa"/>
            <w:bottom w:w="0" w:type="dxa"/>
            <w:right w:w="51" w:type="dxa"/>
          </w:tblCellMar>
        </w:tblPrEx>
        <w:trPr>
          <w:trHeight w:val="525" w:hRule="atLeast"/>
        </w:trPr>
        <w:tc>
          <w:tcPr>
            <w:tcW w:w="332" w:type="pct"/>
            <w:tcBorders>
              <w:top w:val="single" w:color="000000" w:sz="8" w:space="0"/>
              <w:left w:val="single" w:color="000000" w:sz="8" w:space="0"/>
              <w:bottom w:val="single" w:color="auto" w:sz="4" w:space="0"/>
              <w:right w:val="single" w:color="000000" w:sz="8" w:space="0"/>
            </w:tcBorders>
            <w:vAlign w:val="center"/>
          </w:tcPr>
          <w:p w14:paraId="73FF243C">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序号</w:t>
            </w:r>
          </w:p>
        </w:tc>
        <w:tc>
          <w:tcPr>
            <w:tcW w:w="721" w:type="pct"/>
            <w:tcBorders>
              <w:top w:val="single" w:color="000000" w:sz="8" w:space="0"/>
              <w:left w:val="nil"/>
              <w:bottom w:val="single" w:color="auto" w:sz="4" w:space="0"/>
              <w:right w:val="single" w:color="000000" w:sz="8" w:space="0"/>
            </w:tcBorders>
            <w:vAlign w:val="center"/>
          </w:tcPr>
          <w:p w14:paraId="1E1E19CC">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名称</w:t>
            </w:r>
          </w:p>
        </w:tc>
        <w:tc>
          <w:tcPr>
            <w:tcW w:w="600" w:type="pct"/>
            <w:tcBorders>
              <w:top w:val="single" w:color="000000" w:sz="8" w:space="0"/>
              <w:left w:val="nil"/>
              <w:bottom w:val="single" w:color="auto" w:sz="4" w:space="0"/>
              <w:right w:val="single" w:color="000000" w:sz="8" w:space="0"/>
            </w:tcBorders>
            <w:vAlign w:val="center"/>
          </w:tcPr>
          <w:p w14:paraId="03D059D7">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型号规格</w:t>
            </w:r>
          </w:p>
        </w:tc>
        <w:tc>
          <w:tcPr>
            <w:tcW w:w="459" w:type="pct"/>
            <w:tcBorders>
              <w:top w:val="single" w:color="000000" w:sz="8" w:space="0"/>
              <w:left w:val="nil"/>
              <w:bottom w:val="single" w:color="auto" w:sz="4" w:space="0"/>
              <w:right w:val="single" w:color="000000" w:sz="8" w:space="0"/>
            </w:tcBorders>
            <w:vAlign w:val="center"/>
          </w:tcPr>
          <w:p w14:paraId="6B133F74">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单位</w:t>
            </w:r>
          </w:p>
        </w:tc>
        <w:tc>
          <w:tcPr>
            <w:tcW w:w="459" w:type="pct"/>
            <w:tcBorders>
              <w:top w:val="single" w:color="000000" w:sz="8" w:space="0"/>
              <w:left w:val="nil"/>
              <w:bottom w:val="single" w:color="auto" w:sz="4" w:space="0"/>
              <w:right w:val="single" w:color="000000" w:sz="8" w:space="0"/>
            </w:tcBorders>
            <w:vAlign w:val="center"/>
          </w:tcPr>
          <w:p w14:paraId="5C7647BD">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数量</w:t>
            </w:r>
          </w:p>
        </w:tc>
        <w:tc>
          <w:tcPr>
            <w:tcW w:w="1442" w:type="pct"/>
            <w:tcBorders>
              <w:top w:val="single" w:color="000000" w:sz="8" w:space="0"/>
              <w:left w:val="nil"/>
              <w:bottom w:val="single" w:color="auto" w:sz="4" w:space="0"/>
              <w:right w:val="single" w:color="000000" w:sz="8" w:space="0"/>
            </w:tcBorders>
            <w:vAlign w:val="center"/>
          </w:tcPr>
          <w:p w14:paraId="40AB0E94">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安装地点/服务对象</w:t>
            </w:r>
          </w:p>
        </w:tc>
        <w:tc>
          <w:tcPr>
            <w:tcW w:w="617" w:type="pct"/>
            <w:tcBorders>
              <w:top w:val="single" w:color="000000" w:sz="8" w:space="0"/>
              <w:left w:val="nil"/>
              <w:bottom w:val="single" w:color="auto" w:sz="4" w:space="0"/>
              <w:right w:val="single" w:color="000000" w:sz="8" w:space="0"/>
            </w:tcBorders>
            <w:vAlign w:val="center"/>
          </w:tcPr>
          <w:p w14:paraId="7D5B1356">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供货方式</w:t>
            </w:r>
          </w:p>
        </w:tc>
        <w:tc>
          <w:tcPr>
            <w:tcW w:w="370" w:type="pct"/>
            <w:tcBorders>
              <w:top w:val="single" w:color="000000" w:sz="8" w:space="0"/>
              <w:left w:val="nil"/>
              <w:bottom w:val="single" w:color="auto" w:sz="4" w:space="0"/>
              <w:right w:val="single" w:color="000000" w:sz="8" w:space="0"/>
            </w:tcBorders>
            <w:vAlign w:val="center"/>
          </w:tcPr>
          <w:p w14:paraId="2A01C6B3">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备注</w:t>
            </w:r>
          </w:p>
        </w:tc>
      </w:tr>
      <w:tr w14:paraId="66545DA7">
        <w:tblPrEx>
          <w:tblCellMar>
            <w:top w:w="0" w:type="dxa"/>
            <w:left w:w="51" w:type="dxa"/>
            <w:bottom w:w="0" w:type="dxa"/>
            <w:right w:w="51" w:type="dxa"/>
          </w:tblCellMar>
        </w:tblPrEx>
        <w:trPr>
          <w:trHeight w:val="540" w:hRule="atLeast"/>
        </w:trPr>
        <w:tc>
          <w:tcPr>
            <w:tcW w:w="332" w:type="pct"/>
            <w:tcBorders>
              <w:top w:val="single" w:color="auto" w:sz="4" w:space="0"/>
              <w:left w:val="single" w:color="auto" w:sz="4" w:space="0"/>
              <w:bottom w:val="single" w:color="auto" w:sz="4" w:space="0"/>
              <w:right w:val="single" w:color="auto" w:sz="4" w:space="0"/>
            </w:tcBorders>
            <w:vAlign w:val="center"/>
          </w:tcPr>
          <w:p w14:paraId="5F02DBB8">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1</w:t>
            </w:r>
          </w:p>
        </w:tc>
        <w:tc>
          <w:tcPr>
            <w:tcW w:w="721" w:type="pct"/>
            <w:tcBorders>
              <w:top w:val="single" w:color="auto" w:sz="4" w:space="0"/>
              <w:left w:val="single" w:color="auto" w:sz="4" w:space="0"/>
              <w:bottom w:val="single" w:color="auto" w:sz="4" w:space="0"/>
              <w:right w:val="single" w:color="auto" w:sz="4" w:space="0"/>
            </w:tcBorders>
            <w:vAlign w:val="center"/>
          </w:tcPr>
          <w:p w14:paraId="0BB3FF95">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涨断机激光系统升级改造</w:t>
            </w:r>
          </w:p>
        </w:tc>
        <w:tc>
          <w:tcPr>
            <w:tcW w:w="600" w:type="pct"/>
            <w:tcBorders>
              <w:top w:val="single" w:color="auto" w:sz="4" w:space="0"/>
              <w:left w:val="single" w:color="auto" w:sz="4" w:space="0"/>
              <w:bottom w:val="single" w:color="auto" w:sz="4" w:space="0"/>
              <w:right w:val="single" w:color="auto" w:sz="4" w:space="0"/>
            </w:tcBorders>
            <w:vAlign w:val="center"/>
          </w:tcPr>
          <w:p w14:paraId="1360B386">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59" w:type="pct"/>
            <w:tcBorders>
              <w:top w:val="single" w:color="auto" w:sz="4" w:space="0"/>
              <w:left w:val="single" w:color="auto" w:sz="4" w:space="0"/>
              <w:bottom w:val="single" w:color="auto" w:sz="4" w:space="0"/>
              <w:right w:val="single" w:color="auto" w:sz="4" w:space="0"/>
            </w:tcBorders>
            <w:vAlign w:val="center"/>
          </w:tcPr>
          <w:p w14:paraId="7FD3DE96">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套</w:t>
            </w:r>
          </w:p>
        </w:tc>
        <w:tc>
          <w:tcPr>
            <w:tcW w:w="459" w:type="pct"/>
            <w:tcBorders>
              <w:top w:val="single" w:color="auto" w:sz="4" w:space="0"/>
              <w:left w:val="single" w:color="auto" w:sz="4" w:space="0"/>
              <w:bottom w:val="single" w:color="auto" w:sz="4" w:space="0"/>
              <w:right w:val="single" w:color="auto" w:sz="4" w:space="0"/>
            </w:tcBorders>
            <w:vAlign w:val="center"/>
          </w:tcPr>
          <w:p w14:paraId="7E0F288F">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1</w:t>
            </w:r>
          </w:p>
        </w:tc>
        <w:tc>
          <w:tcPr>
            <w:tcW w:w="1442" w:type="pct"/>
            <w:tcBorders>
              <w:top w:val="single" w:color="auto" w:sz="4" w:space="0"/>
              <w:left w:val="single" w:color="auto" w:sz="4" w:space="0"/>
              <w:bottom w:val="single" w:color="auto" w:sz="4" w:space="0"/>
              <w:right w:val="single" w:color="auto" w:sz="4" w:space="0"/>
            </w:tcBorders>
            <w:vAlign w:val="center"/>
          </w:tcPr>
          <w:p w14:paraId="2693F0C2">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617" w:type="pct"/>
            <w:tcBorders>
              <w:top w:val="single" w:color="auto" w:sz="4" w:space="0"/>
              <w:left w:val="single" w:color="auto" w:sz="4" w:space="0"/>
              <w:bottom w:val="single" w:color="auto" w:sz="4" w:space="0"/>
              <w:right w:val="single" w:color="auto" w:sz="4" w:space="0"/>
            </w:tcBorders>
            <w:vAlign w:val="center"/>
          </w:tcPr>
          <w:p w14:paraId="1488113B">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交钥匙</w:t>
            </w:r>
          </w:p>
        </w:tc>
        <w:tc>
          <w:tcPr>
            <w:tcW w:w="370" w:type="pct"/>
            <w:tcBorders>
              <w:top w:val="single" w:color="auto" w:sz="4" w:space="0"/>
              <w:left w:val="single" w:color="auto" w:sz="4" w:space="0"/>
              <w:bottom w:val="single" w:color="auto" w:sz="4" w:space="0"/>
              <w:right w:val="single" w:color="auto" w:sz="4" w:space="0"/>
            </w:tcBorders>
            <w:vAlign w:val="center"/>
          </w:tcPr>
          <w:p w14:paraId="4309B43D">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r>
    </w:tbl>
    <w:p w14:paraId="4D99B32C">
      <w:pPr>
        <w:overflowPunct w:val="0"/>
        <w:spacing w:after="0" w:line="360" w:lineRule="auto"/>
        <w:jc w:val="both"/>
        <w:rPr>
          <w:rFonts w:hint="eastAsia" w:ascii="宋体" w:hAnsi="宋体" w:eastAsia="宋体" w:cs="宋体"/>
          <w:sz w:val="21"/>
          <w:szCs w:val="21"/>
          <w14:ligatures w14:val="none"/>
        </w:rPr>
      </w:pPr>
      <w:r>
        <w:rPr>
          <w:rFonts w:hint="eastAsia" w:ascii="宋体" w:hAnsi="宋体" w:eastAsia="宋体" w:cs="宋体"/>
          <w:sz w:val="21"/>
          <w:szCs w:val="21"/>
          <w14:ligatures w14:val="none"/>
        </w:rPr>
        <w:t>备注：</w:t>
      </w:r>
      <w:r>
        <w:rPr>
          <w:rFonts w:ascii="宋体" w:hAnsi="宋体" w:eastAsia="宋体" w:cs="宋体"/>
          <w:sz w:val="21"/>
          <w:szCs w:val="21"/>
          <w14:ligatures w14:val="none"/>
        </w:rPr>
        <w:t>①</w:t>
      </w:r>
      <w:r>
        <w:rPr>
          <w:rFonts w:hint="eastAsia" w:ascii="宋体" w:hAnsi="宋体" w:eastAsia="宋体" w:cs="宋体"/>
          <w:sz w:val="21"/>
          <w:szCs w:val="21"/>
          <w14:ligatures w14:val="none"/>
        </w:rPr>
        <w:t xml:space="preserve"> 本表所列采购货物仅为货物的主要构成部分，应配套供货以及招标方所列其它货物和服务，请投标方认真阅读“供货范围”。若有异议，不管是多么微小，都应在投标文件“商务偏离”章节中予以详细说明。</w:t>
      </w:r>
    </w:p>
    <w:p w14:paraId="1C7B8138">
      <w:pPr>
        <w:overflowPunct w:val="0"/>
        <w:spacing w:after="0" w:line="360" w:lineRule="auto"/>
        <w:ind w:firstLine="525" w:firstLineChars="250"/>
        <w:jc w:val="both"/>
        <w:outlineLvl w:val="3"/>
        <w:rPr>
          <w:rFonts w:hint="eastAsia" w:ascii="宋体" w:hAnsi="宋体" w:eastAsia="宋体" w:cs="宋体"/>
          <w:sz w:val="24"/>
          <w14:ligatures w14:val="none"/>
        </w:rPr>
      </w:pPr>
      <w:r>
        <w:rPr>
          <w:rFonts w:ascii="宋体" w:hAnsi="宋体" w:eastAsia="宋体" w:cs="宋体"/>
          <w:sz w:val="21"/>
          <w:szCs w:val="21"/>
          <w14:ligatures w14:val="none"/>
        </w:rPr>
        <w:t>②</w:t>
      </w:r>
      <w:r>
        <w:rPr>
          <w:rFonts w:hint="eastAsia" w:ascii="宋体" w:hAnsi="宋体" w:eastAsia="宋体" w:cs="宋体"/>
          <w:sz w:val="21"/>
          <w:szCs w:val="21"/>
          <w14:ligatures w14:val="none"/>
        </w:rPr>
        <w:t xml:space="preserve"> 本表“供货方式”指：交钥匙方式——包括制造、运输、定点卸货、安装、调试和协助验收以及约定培训等。</w:t>
      </w:r>
    </w:p>
    <w:p w14:paraId="4918F9D7">
      <w:pPr>
        <w:overflowPunct w:val="0"/>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五、采购货物特别说明</w:t>
      </w:r>
    </w:p>
    <w:p w14:paraId="5E35854B">
      <w:pPr>
        <w:overflowPunct w:val="0"/>
        <w:spacing w:after="0" w:line="360" w:lineRule="auto"/>
        <w:ind w:firstLine="482" w:firstLineChars="200"/>
        <w:jc w:val="both"/>
        <w:outlineLvl w:val="3"/>
        <w:rPr>
          <w:rFonts w:hint="eastAsia" w:ascii="宋体" w:hAnsi="宋体" w:eastAsia="宋体" w:cs="宋体"/>
          <w:b/>
          <w:sz w:val="24"/>
          <w14:ligatures w14:val="none"/>
        </w:rPr>
      </w:pPr>
      <w:bookmarkStart w:id="41" w:name="_Hlk164783987"/>
      <w:r>
        <w:rPr>
          <w:rFonts w:hint="eastAsia" w:ascii="宋体" w:hAnsi="宋体" w:eastAsia="宋体" w:cs="宋体"/>
          <w:b/>
          <w:sz w:val="24"/>
          <w14:ligatures w14:val="none"/>
        </w:rPr>
        <w:t>本项目关键组成部分必须按照买方提供的品牌要求配置，未涉及的零部件要求选用知名品牌，元器件的最终选用由双方协商确认，否则因效用不达标造成的时间、经济损失由卖方承担。详见下表：</w:t>
      </w:r>
    </w:p>
    <w:bookmarkEnd w:id="41"/>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06"/>
        <w:gridCol w:w="2053"/>
        <w:gridCol w:w="6405"/>
      </w:tblGrid>
      <w:tr w14:paraId="08C0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4647866E">
            <w:pPr>
              <w:overflowPunct w:val="0"/>
              <w:snapToGrid w:val="0"/>
              <w:spacing w:after="0" w:line="240" w:lineRule="auto"/>
              <w:jc w:val="center"/>
              <w:rPr>
                <w:rFonts w:hint="eastAsia" w:ascii="宋体" w:hAnsi="宋体" w:eastAsia="宋体" w:cs="宋体"/>
                <w:b/>
                <w:bCs/>
                <w:color w:val="000000"/>
                <w:sz w:val="18"/>
                <w:szCs w:val="18"/>
                <w14:ligatures w14:val="none"/>
              </w:rPr>
            </w:pPr>
            <w:bookmarkStart w:id="42" w:name="_Hlk164783977"/>
            <w:r>
              <w:rPr>
                <w:rFonts w:hint="eastAsia" w:ascii="宋体" w:hAnsi="宋体" w:eastAsia="宋体" w:cs="宋体"/>
                <w:b/>
                <w:bCs/>
                <w:color w:val="000000"/>
                <w:sz w:val="18"/>
                <w:szCs w:val="18"/>
                <w14:ligatures w14:val="none"/>
              </w:rPr>
              <w:t>序号</w:t>
            </w:r>
          </w:p>
        </w:tc>
        <w:tc>
          <w:tcPr>
            <w:tcW w:w="1120" w:type="pct"/>
            <w:vAlign w:val="center"/>
          </w:tcPr>
          <w:p w14:paraId="40FD114A">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名     称</w:t>
            </w:r>
          </w:p>
        </w:tc>
        <w:tc>
          <w:tcPr>
            <w:tcW w:w="3495" w:type="pct"/>
            <w:vAlign w:val="center"/>
          </w:tcPr>
          <w:p w14:paraId="478D09DE">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品牌</w:t>
            </w:r>
          </w:p>
        </w:tc>
      </w:tr>
      <w:tr w14:paraId="77B7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55B5DB1A">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p>
        </w:tc>
        <w:tc>
          <w:tcPr>
            <w:tcW w:w="1120" w:type="pct"/>
            <w:vAlign w:val="center"/>
          </w:tcPr>
          <w:p w14:paraId="3CA3527B">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光纤激光器</w:t>
            </w:r>
          </w:p>
        </w:tc>
        <w:tc>
          <w:tcPr>
            <w:tcW w:w="3495" w:type="pct"/>
            <w:vAlign w:val="center"/>
          </w:tcPr>
          <w:p w14:paraId="60A010F3">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IPG或LASAG</w:t>
            </w:r>
          </w:p>
        </w:tc>
      </w:tr>
      <w:tr w14:paraId="0BD8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45635661">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2</w:t>
            </w:r>
          </w:p>
        </w:tc>
        <w:tc>
          <w:tcPr>
            <w:tcW w:w="1120" w:type="pct"/>
            <w:vAlign w:val="center"/>
          </w:tcPr>
          <w:p w14:paraId="0EF5B3F6">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定制激光头及长杆</w:t>
            </w:r>
          </w:p>
        </w:tc>
        <w:tc>
          <w:tcPr>
            <w:tcW w:w="3495" w:type="pct"/>
            <w:vAlign w:val="center"/>
          </w:tcPr>
          <w:p w14:paraId="0305AD5A">
            <w:pPr>
              <w:overflowPunct w:val="0"/>
              <w:snapToGrid w:val="0"/>
              <w:spacing w:after="0" w:line="240" w:lineRule="auto"/>
              <w:jc w:val="both"/>
              <w:rPr>
                <w:rFonts w:hint="eastAsia" w:ascii="宋体" w:hAnsi="宋体" w:eastAsia="宋体" w:cs="宋体"/>
                <w:color w:val="000000"/>
                <w:sz w:val="18"/>
                <w:szCs w:val="18"/>
                <w:lang w:val="fr-FR"/>
                <w14:ligatures w14:val="none"/>
              </w:rPr>
            </w:pPr>
            <w:r>
              <w:rPr>
                <w:rFonts w:hint="eastAsia" w:ascii="宋体" w:hAnsi="宋体" w:eastAsia="宋体" w:cs="宋体"/>
                <w:color w:val="000000"/>
                <w:sz w:val="18"/>
                <w:szCs w:val="18"/>
                <w14:ligatures w14:val="none"/>
              </w:rPr>
              <w:t>定制件、招标方需提供原始供方</w:t>
            </w:r>
          </w:p>
        </w:tc>
      </w:tr>
      <w:tr w14:paraId="2D2E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796BF41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3</w:t>
            </w:r>
          </w:p>
        </w:tc>
        <w:tc>
          <w:tcPr>
            <w:tcW w:w="1120" w:type="pct"/>
            <w:vAlign w:val="center"/>
          </w:tcPr>
          <w:p w14:paraId="3D7FF402">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激光头旋转机构</w:t>
            </w:r>
          </w:p>
        </w:tc>
        <w:tc>
          <w:tcPr>
            <w:tcW w:w="3495" w:type="pct"/>
            <w:vAlign w:val="center"/>
          </w:tcPr>
          <w:p w14:paraId="70C0BD60">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定制件、招标方需提供原始供方</w:t>
            </w:r>
          </w:p>
        </w:tc>
      </w:tr>
      <w:tr w14:paraId="1472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5986D91D">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4</w:t>
            </w:r>
          </w:p>
        </w:tc>
        <w:tc>
          <w:tcPr>
            <w:tcW w:w="1120" w:type="pct"/>
            <w:vAlign w:val="center"/>
          </w:tcPr>
          <w:p w14:paraId="2544147D">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工控机及显示器</w:t>
            </w:r>
          </w:p>
        </w:tc>
        <w:tc>
          <w:tcPr>
            <w:tcW w:w="3495" w:type="pct"/>
            <w:vAlign w:val="center"/>
          </w:tcPr>
          <w:p w14:paraId="3FD2C8E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西门子等同档次品牌</w:t>
            </w:r>
          </w:p>
        </w:tc>
      </w:tr>
      <w:tr w14:paraId="0D85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0B8F33F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5</w:t>
            </w:r>
          </w:p>
        </w:tc>
        <w:tc>
          <w:tcPr>
            <w:tcW w:w="1120" w:type="pct"/>
            <w:vAlign w:val="center"/>
          </w:tcPr>
          <w:p w14:paraId="0FC92DA6">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控制面板</w:t>
            </w:r>
          </w:p>
        </w:tc>
        <w:tc>
          <w:tcPr>
            <w:tcW w:w="3495" w:type="pct"/>
            <w:vAlign w:val="center"/>
          </w:tcPr>
          <w:p w14:paraId="33E90582">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w:t>
            </w:r>
          </w:p>
        </w:tc>
      </w:tr>
      <w:tr w14:paraId="05A4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46829DD3">
            <w:pPr>
              <w:overflowPunct w:val="0"/>
              <w:snapToGrid w:val="0"/>
              <w:spacing w:after="0" w:line="240" w:lineRule="auto"/>
              <w:jc w:val="center"/>
              <w:rPr>
                <w:rFonts w:hint="eastAsia" w:ascii="宋体" w:hAnsi="宋体" w:eastAsia="宋体" w:cs="宋体"/>
                <w:color w:val="000000"/>
                <w:sz w:val="18"/>
                <w:szCs w:val="18"/>
                <w14:ligatures w14:val="none"/>
              </w:rPr>
            </w:pPr>
            <w:r>
              <w:rPr>
                <w:rFonts w:ascii="宋体" w:hAnsi="宋体" w:eastAsia="宋体" w:cs="宋体"/>
                <w:color w:val="000000"/>
                <w:sz w:val="18"/>
                <w:szCs w:val="18"/>
                <w14:ligatures w14:val="none"/>
              </w:rPr>
              <w:t>6</w:t>
            </w:r>
          </w:p>
        </w:tc>
        <w:tc>
          <w:tcPr>
            <w:tcW w:w="1120" w:type="pct"/>
            <w:vAlign w:val="center"/>
          </w:tcPr>
          <w:p w14:paraId="1BED7E6C">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直线轴运动机构</w:t>
            </w:r>
          </w:p>
        </w:tc>
        <w:tc>
          <w:tcPr>
            <w:tcW w:w="3495" w:type="pct"/>
            <w:vAlign w:val="center"/>
          </w:tcPr>
          <w:p w14:paraId="0117B5C0">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THK、力士乐等同档次品牌</w:t>
            </w:r>
          </w:p>
        </w:tc>
      </w:tr>
      <w:tr w14:paraId="6FB2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0A9C5AC1">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7</w:t>
            </w:r>
          </w:p>
        </w:tc>
        <w:tc>
          <w:tcPr>
            <w:tcW w:w="1120" w:type="pct"/>
            <w:vAlign w:val="center"/>
          </w:tcPr>
          <w:p w14:paraId="2B5245EF">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旋转轴减速机</w:t>
            </w:r>
          </w:p>
        </w:tc>
        <w:tc>
          <w:tcPr>
            <w:tcW w:w="3495" w:type="pct"/>
            <w:vAlign w:val="center"/>
          </w:tcPr>
          <w:p w14:paraId="0E51B5A7">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阿尔法</w:t>
            </w:r>
            <w:r>
              <w:rPr>
                <w:rFonts w:ascii="宋体" w:hAnsi="宋体" w:eastAsia="宋体" w:cs="宋体"/>
                <w:color w:val="000000"/>
                <w:sz w:val="18"/>
                <w:szCs w:val="18"/>
                <w14:ligatures w14:val="none"/>
              </w:rPr>
              <w:t>alpha</w:t>
            </w:r>
            <w:r>
              <w:rPr>
                <w:rFonts w:hint="eastAsia" w:ascii="宋体" w:hAnsi="宋体" w:eastAsia="宋体" w:cs="宋体"/>
                <w:color w:val="000000"/>
                <w:sz w:val="18"/>
                <w:szCs w:val="18"/>
                <w14:ligatures w14:val="none"/>
              </w:rPr>
              <w:t>、VOGEL等同档次品牌</w:t>
            </w:r>
          </w:p>
        </w:tc>
      </w:tr>
      <w:tr w14:paraId="088A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FD16D98">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8</w:t>
            </w:r>
          </w:p>
        </w:tc>
        <w:tc>
          <w:tcPr>
            <w:tcW w:w="1120" w:type="pct"/>
            <w:vAlign w:val="center"/>
          </w:tcPr>
          <w:p w14:paraId="10662C46">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高精度联轴器</w:t>
            </w:r>
          </w:p>
        </w:tc>
        <w:tc>
          <w:tcPr>
            <w:tcW w:w="3495" w:type="pct"/>
            <w:vAlign w:val="center"/>
          </w:tcPr>
          <w:p w14:paraId="3ABD3AEB">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阿尔法</w:t>
            </w:r>
            <w:r>
              <w:rPr>
                <w:rFonts w:ascii="宋体" w:hAnsi="宋体" w:eastAsia="宋体" w:cs="宋体"/>
                <w:color w:val="000000"/>
                <w:sz w:val="18"/>
                <w:szCs w:val="18"/>
                <w14:ligatures w14:val="none"/>
              </w:rPr>
              <w:t>alpha</w:t>
            </w:r>
            <w:r>
              <w:rPr>
                <w:rFonts w:hint="eastAsia" w:ascii="宋体" w:hAnsi="宋体" w:eastAsia="宋体" w:cs="宋体"/>
                <w:color w:val="000000"/>
                <w:sz w:val="18"/>
                <w:szCs w:val="18"/>
                <w14:ligatures w14:val="none"/>
              </w:rPr>
              <w:t>、KTR等同档次品牌</w:t>
            </w:r>
          </w:p>
        </w:tc>
      </w:tr>
      <w:tr w14:paraId="7BDB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350B709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9</w:t>
            </w:r>
          </w:p>
        </w:tc>
        <w:tc>
          <w:tcPr>
            <w:tcW w:w="1120" w:type="pct"/>
            <w:vAlign w:val="center"/>
          </w:tcPr>
          <w:p w14:paraId="12EAF20D">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伺服控制系统</w:t>
            </w:r>
          </w:p>
        </w:tc>
        <w:tc>
          <w:tcPr>
            <w:tcW w:w="3495" w:type="pct"/>
            <w:vAlign w:val="center"/>
          </w:tcPr>
          <w:p w14:paraId="5A54A21B">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西门子S</w:t>
            </w:r>
            <w:r>
              <w:rPr>
                <w:rFonts w:ascii="宋体" w:hAnsi="宋体" w:eastAsia="宋体" w:cs="宋体"/>
                <w:color w:val="000000"/>
                <w:sz w:val="18"/>
                <w:szCs w:val="18"/>
                <w14:ligatures w14:val="none"/>
              </w:rPr>
              <w:t>120</w:t>
            </w:r>
          </w:p>
        </w:tc>
      </w:tr>
      <w:tr w14:paraId="24AD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397947C9">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0</w:t>
            </w:r>
          </w:p>
        </w:tc>
        <w:tc>
          <w:tcPr>
            <w:tcW w:w="1120" w:type="pct"/>
            <w:vAlign w:val="center"/>
          </w:tcPr>
          <w:p w14:paraId="7CC3C50E">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数控系统</w:t>
            </w:r>
          </w:p>
        </w:tc>
        <w:tc>
          <w:tcPr>
            <w:tcW w:w="3495" w:type="pct"/>
            <w:vAlign w:val="center"/>
          </w:tcPr>
          <w:p w14:paraId="7D6B9E85">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西门子S</w:t>
            </w:r>
            <w:r>
              <w:rPr>
                <w:rFonts w:ascii="宋体" w:hAnsi="宋体" w:eastAsia="宋体" w:cs="宋体"/>
                <w:color w:val="000000"/>
                <w:sz w:val="18"/>
                <w:szCs w:val="18"/>
                <w14:ligatures w14:val="none"/>
              </w:rPr>
              <w:t>7-1500</w:t>
            </w:r>
            <w:r>
              <w:rPr>
                <w:rFonts w:hint="eastAsia" w:ascii="宋体" w:hAnsi="宋体" w:eastAsia="宋体" w:cs="宋体"/>
                <w:color w:val="000000"/>
                <w:sz w:val="18"/>
                <w:szCs w:val="18"/>
                <w14:ligatures w14:val="none"/>
              </w:rPr>
              <w:t>、西门子</w:t>
            </w:r>
            <w:r>
              <w:rPr>
                <w:rFonts w:ascii="宋体" w:hAnsi="宋体" w:eastAsia="宋体" w:cs="宋体"/>
                <w:color w:val="000000"/>
                <w:sz w:val="18"/>
                <w:szCs w:val="18"/>
                <w14:ligatures w14:val="none"/>
              </w:rPr>
              <w:t>SINUMERIK ONE系统</w:t>
            </w:r>
          </w:p>
        </w:tc>
      </w:tr>
      <w:tr w14:paraId="3D39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A22B1F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1</w:t>
            </w:r>
          </w:p>
        </w:tc>
        <w:tc>
          <w:tcPr>
            <w:tcW w:w="1120" w:type="pct"/>
            <w:vAlign w:val="center"/>
          </w:tcPr>
          <w:p w14:paraId="1011E2DE">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低压电气元件</w:t>
            </w:r>
          </w:p>
        </w:tc>
        <w:tc>
          <w:tcPr>
            <w:tcW w:w="3495" w:type="pct"/>
            <w:vAlign w:val="center"/>
          </w:tcPr>
          <w:p w14:paraId="1939107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w:t>
            </w:r>
          </w:p>
        </w:tc>
      </w:tr>
      <w:tr w14:paraId="597D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71D84E67">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2</w:t>
            </w:r>
          </w:p>
        </w:tc>
        <w:tc>
          <w:tcPr>
            <w:tcW w:w="1120" w:type="pct"/>
            <w:vAlign w:val="center"/>
          </w:tcPr>
          <w:p w14:paraId="1244B1C4">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气动元件</w:t>
            </w:r>
          </w:p>
        </w:tc>
        <w:tc>
          <w:tcPr>
            <w:tcW w:w="3495" w:type="pct"/>
            <w:vAlign w:val="center"/>
          </w:tcPr>
          <w:p w14:paraId="706478D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SCHUNK、FESTO、</w:t>
            </w:r>
            <w:r>
              <w:rPr>
                <w:rFonts w:ascii="宋体" w:hAnsi="宋体" w:eastAsia="宋体" w:cs="宋体"/>
                <w:color w:val="000000"/>
                <w:sz w:val="18"/>
                <w:szCs w:val="18"/>
                <w14:ligatures w14:val="none"/>
              </w:rPr>
              <w:t>AVENTICS</w:t>
            </w:r>
          </w:p>
        </w:tc>
      </w:tr>
      <w:tr w14:paraId="63A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34841DE8">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3</w:t>
            </w:r>
          </w:p>
        </w:tc>
        <w:tc>
          <w:tcPr>
            <w:tcW w:w="1120" w:type="pct"/>
            <w:vAlign w:val="center"/>
          </w:tcPr>
          <w:p w14:paraId="4B7C0DDE">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压缩过滤元件</w:t>
            </w:r>
          </w:p>
        </w:tc>
        <w:tc>
          <w:tcPr>
            <w:tcW w:w="3495" w:type="pct"/>
            <w:vAlign w:val="center"/>
          </w:tcPr>
          <w:p w14:paraId="712CED84">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BEKO、FESTO</w:t>
            </w:r>
          </w:p>
        </w:tc>
      </w:tr>
      <w:tr w14:paraId="6B86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941A2E0">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4</w:t>
            </w:r>
          </w:p>
        </w:tc>
        <w:tc>
          <w:tcPr>
            <w:tcW w:w="1120" w:type="pct"/>
            <w:vAlign w:val="center"/>
          </w:tcPr>
          <w:p w14:paraId="561234A7">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润滑系统</w:t>
            </w:r>
          </w:p>
        </w:tc>
        <w:tc>
          <w:tcPr>
            <w:tcW w:w="3495" w:type="pct"/>
            <w:vAlign w:val="center"/>
          </w:tcPr>
          <w:p w14:paraId="137ADD3D">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SKF</w:t>
            </w:r>
          </w:p>
        </w:tc>
      </w:tr>
      <w:tr w14:paraId="62C8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120F50DE">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5</w:t>
            </w:r>
          </w:p>
        </w:tc>
        <w:tc>
          <w:tcPr>
            <w:tcW w:w="1120" w:type="pct"/>
            <w:vAlign w:val="center"/>
          </w:tcPr>
          <w:p w14:paraId="709E0520">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电气柜及空调</w:t>
            </w:r>
          </w:p>
        </w:tc>
        <w:tc>
          <w:tcPr>
            <w:tcW w:w="3495" w:type="pct"/>
            <w:vAlign w:val="center"/>
          </w:tcPr>
          <w:p w14:paraId="79378A77">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威图、百能堡等同档次品牌</w:t>
            </w:r>
          </w:p>
        </w:tc>
      </w:tr>
      <w:tr w14:paraId="1FCB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E159BEF">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6</w:t>
            </w:r>
          </w:p>
        </w:tc>
        <w:tc>
          <w:tcPr>
            <w:tcW w:w="1120" w:type="pct"/>
            <w:vAlign w:val="center"/>
          </w:tcPr>
          <w:p w14:paraId="0E0BDDB8">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控制线缆、数据线缆、坦克链</w:t>
            </w:r>
          </w:p>
        </w:tc>
        <w:tc>
          <w:tcPr>
            <w:tcW w:w="3495" w:type="pct"/>
            <w:vAlign w:val="center"/>
          </w:tcPr>
          <w:p w14:paraId="784590A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西门子、易格斯、MURR等同档次品牌</w:t>
            </w:r>
          </w:p>
        </w:tc>
      </w:tr>
      <w:tr w14:paraId="1DEE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68631049">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7</w:t>
            </w:r>
          </w:p>
        </w:tc>
        <w:tc>
          <w:tcPr>
            <w:tcW w:w="1120" w:type="pct"/>
            <w:vAlign w:val="center"/>
          </w:tcPr>
          <w:p w14:paraId="3B74BBD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工业吸尘器</w:t>
            </w:r>
          </w:p>
        </w:tc>
        <w:tc>
          <w:tcPr>
            <w:tcW w:w="3495" w:type="pct"/>
            <w:vAlign w:val="center"/>
          </w:tcPr>
          <w:p w14:paraId="0857734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国产不限品牌</w:t>
            </w:r>
          </w:p>
        </w:tc>
      </w:tr>
      <w:bookmarkEnd w:id="42"/>
    </w:tbl>
    <w:p w14:paraId="64202A08">
      <w:pPr>
        <w:overflowPunct w:val="0"/>
        <w:spacing w:after="0" w:line="240" w:lineRule="auto"/>
        <w:ind w:firstLine="482" w:firstLineChars="200"/>
        <w:jc w:val="both"/>
        <w:outlineLvl w:val="1"/>
        <w:rPr>
          <w:rFonts w:ascii="Arial" w:hAnsi="Arial" w:eastAsia="宋体" w:cs="Times New Roman"/>
          <w:b/>
          <w:bCs/>
          <w:sz w:val="24"/>
          <w:szCs w:val="32"/>
          <w14:ligatures w14:val="none"/>
        </w:rPr>
      </w:pPr>
    </w:p>
    <w:p w14:paraId="40F965C0">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bookmarkStart w:id="43" w:name="_Toc169605880"/>
      <w:r>
        <w:rPr>
          <w:rFonts w:hint="eastAsia" w:ascii="宋体" w:hAnsi="宋体" w:eastAsia="宋体" w:cs="Times New Roman"/>
          <w:b/>
          <w:bCs/>
          <w:kern w:val="44"/>
          <w:sz w:val="28"/>
          <w:szCs w:val="28"/>
          <w14:ligatures w14:val="none"/>
        </w:rPr>
        <w:t>第二章  技术要求</w:t>
      </w:r>
    </w:p>
    <w:bookmarkEnd w:id="43"/>
    <w:p w14:paraId="3AC13F5B">
      <w:pPr>
        <w:keepNext/>
        <w:keepLines/>
        <w:spacing w:after="0" w:line="360" w:lineRule="auto"/>
        <w:ind w:firstLine="482" w:firstLineChars="200"/>
        <w:outlineLvl w:val="2"/>
        <w:rPr>
          <w:rFonts w:hint="eastAsia" w:ascii="宋体" w:hAnsi="宋体" w:eastAsia="宋体" w:cs="宋体"/>
          <w:b/>
          <w:sz w:val="24"/>
          <w14:ligatures w14:val="none"/>
        </w:rPr>
      </w:pPr>
      <w:bookmarkStart w:id="44" w:name="_Toc169605881"/>
      <w:r>
        <w:rPr>
          <w:rFonts w:hint="eastAsia" w:ascii="宋体" w:hAnsi="宋体" w:eastAsia="宋体" w:cs="宋体"/>
          <w:b/>
          <w:sz w:val="24"/>
          <w14:ligatures w14:val="none"/>
        </w:rPr>
        <w:t>一、特别提示</w:t>
      </w:r>
    </w:p>
    <w:p w14:paraId="22A8604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1.本章技术要求，仅对功能、设计、结构、性能、安装和试验检验等方面，提出了最低和一般性的技术要求，并未对一切技术细节作出规定。</w:t>
      </w:r>
    </w:p>
    <w:p w14:paraId="30822B9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2.本技术要求所使用的标准、规范等，如与投标人所执行的标准、规范不一致时，应按高于本技术要求所列的标准、规范执行。</w:t>
      </w:r>
    </w:p>
    <w:p w14:paraId="0CCEB7E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3.投标人认为所供货物必需由招标人配备、解决或提供的其它要求，如设备基础隔振和减振设施、软化水、洁净气源等，均应在投标文件“技术偏离”中予以充分说明。</w:t>
      </w:r>
    </w:p>
    <w:p w14:paraId="71725C1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4B44585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5.无论是否有技术偏离，投标人均应在投标文件“技术偏离”中明确作出有无说明。若有异议，不管是多么微小，投标人必须予以明确和详细的说明或澄清。</w:t>
      </w:r>
    </w:p>
    <w:p w14:paraId="17FCF37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6.为避免投标人优势在招标评审时漏项，质保期超出本技术标书要求的，应当在投标文件“技术偏离”中特别注明。</w:t>
      </w:r>
    </w:p>
    <w:p w14:paraId="5E15067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7.投标文件中，针对“特别提示”条款所做的回应，将作为投标人能否中标的重要依据之一。</w:t>
      </w:r>
    </w:p>
    <w:p w14:paraId="67A665E3">
      <w:pPr>
        <w:keepNext/>
        <w:keepLines/>
        <w:spacing w:after="0" w:line="360" w:lineRule="auto"/>
        <w:ind w:firstLine="482" w:firstLineChars="200"/>
        <w:outlineLvl w:val="2"/>
        <w:rPr>
          <w:rFonts w:hint="eastAsia" w:ascii="宋体" w:hAnsi="宋体" w:eastAsia="宋体" w:cs="宋体"/>
          <w:b/>
          <w:sz w:val="24"/>
          <w14:ligatures w14:val="none"/>
        </w:rPr>
      </w:pPr>
      <w:r>
        <w:rPr>
          <w:rFonts w:hint="eastAsia" w:ascii="宋体" w:hAnsi="宋体" w:eastAsia="宋体" w:cs="宋体"/>
          <w:b/>
          <w:sz w:val="24"/>
          <w14:ligatures w14:val="none"/>
        </w:rPr>
        <w:t>二、基本要求</w:t>
      </w:r>
    </w:p>
    <w:p w14:paraId="759FA10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1.投标方负责本项目相关的备配件运输、卸车，现场调试时的水电气的连接工作，招标方只负责提供接口。</w:t>
      </w:r>
    </w:p>
    <w:p w14:paraId="07F2B65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2.投标方应自行设计、改造该设备，并负责相关备配件的运输、安装、调试等工作，不得将本项目转包给其他单位，并对该设备改造项目的质量负责。</w:t>
      </w:r>
    </w:p>
    <w:p w14:paraId="054AAF4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3.投标方应注明主要零部件的型号、参数和生产厂家。</w:t>
      </w:r>
    </w:p>
    <w:p w14:paraId="1D33180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4.投标人所供的货物，必须符合中国最新版的法律、法规和相关标准、规范的要求，符合项目所在地政府有关特殊要求。</w:t>
      </w:r>
    </w:p>
    <w:p w14:paraId="4C2E7BB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5.投标人所供货物涉及的专利权技术以及知识产权保护的其它技术等，应保证招标人不因此受到任何侵权指控以及实际损失。</w:t>
      </w:r>
    </w:p>
    <w:p w14:paraId="2E4D293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6.投标人应保证所供货物的先进性、可靠性、经济性和实用性，并为全新货物（或设备）。</w:t>
      </w:r>
    </w:p>
    <w:p w14:paraId="613422D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7.投标人应满足招标人提出的各项技术要求，必要时应当免费提供技术承诺或担保。</w:t>
      </w:r>
    </w:p>
    <w:p w14:paraId="28295A7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8.投标人应保证所供货物（或设备）为中国政府指定或规定的主管部门公布的非淘汰货物（或设备），并尽力提供中国政府指定或规定的主管部门认可的环保型和节能型货物（或设备）。</w:t>
      </w:r>
    </w:p>
    <w:p w14:paraId="558132B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9.投标人应保证所供货物的完整性和成套性，能保证货物的正常运行、使用。</w:t>
      </w:r>
    </w:p>
    <w:p w14:paraId="5883975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10.投标人应对招标人采购的货物所涉及的技术、产能等信息负有保密义务，招标人拥有追究投标人泄密责任的权利；招标人如有需要，投标人应无条件签署保密协议。</w:t>
      </w:r>
    </w:p>
    <w:p w14:paraId="4B526815">
      <w:pPr>
        <w:keepNext/>
        <w:keepLines/>
        <w:spacing w:after="0" w:line="360" w:lineRule="auto"/>
        <w:ind w:firstLine="482" w:firstLineChars="200"/>
        <w:outlineLvl w:val="2"/>
        <w:rPr>
          <w:rFonts w:hint="eastAsia" w:ascii="宋体" w:hAnsi="宋体" w:eastAsia="宋体" w:cs="宋体"/>
          <w:b/>
          <w:sz w:val="24"/>
          <w14:ligatures w14:val="none"/>
        </w:rPr>
      </w:pPr>
      <w:r>
        <w:rPr>
          <w:rFonts w:hint="eastAsia" w:ascii="宋体" w:hAnsi="宋体" w:eastAsia="宋体" w:cs="宋体"/>
          <w:b/>
          <w:sz w:val="24"/>
          <w14:ligatures w14:val="none"/>
        </w:rPr>
        <w:t>三、技术要求</w:t>
      </w:r>
    </w:p>
    <w:p w14:paraId="336FC84B">
      <w:pPr>
        <w:spacing w:after="0" w:line="360" w:lineRule="auto"/>
        <w:ind w:firstLine="482" w:firstLineChars="200"/>
        <w:jc w:val="both"/>
        <w:rPr>
          <w:rFonts w:hint="eastAsia" w:ascii="宋体" w:hAnsi="宋体" w:eastAsia="宋体" w:cs="宋体"/>
          <w:b/>
          <w:bCs/>
          <w:sz w:val="24"/>
          <w14:ligatures w14:val="none"/>
        </w:rPr>
      </w:pPr>
      <w:r>
        <w:rPr>
          <w:rFonts w:hint="eastAsia" w:ascii="宋体" w:hAnsi="宋体" w:eastAsia="宋体" w:cs="宋体"/>
          <w:b/>
          <w:bCs/>
          <w:sz w:val="24"/>
          <w14:ligatures w14:val="none"/>
        </w:rPr>
        <w:t>1产品概况</w:t>
      </w:r>
    </w:p>
    <w:p w14:paraId="6263B6D7">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工件名称：MC系列缸体：量产机型以及MC13H提升型。</w:t>
      </w:r>
    </w:p>
    <w:p w14:paraId="266A4EE4">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工件材料：RuT</w:t>
      </w:r>
      <w:r>
        <w:rPr>
          <w:rFonts w:ascii="宋体" w:hAnsi="宋体" w:eastAsia="宋体" w:cs="宋体"/>
          <w:sz w:val="24"/>
          <w14:ligatures w14:val="none"/>
        </w:rPr>
        <w:t>450/RuT500</w:t>
      </w:r>
      <w:r>
        <w:rPr>
          <w:rFonts w:hint="eastAsia" w:ascii="宋体" w:hAnsi="宋体" w:eastAsia="宋体" w:cs="宋体"/>
          <w:sz w:val="24"/>
          <w14:ligatures w14:val="none"/>
        </w:rPr>
        <w:t>。</w:t>
      </w:r>
    </w:p>
    <w:p w14:paraId="5761532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工件单件尺寸：1074 mm×477 mm×521mm（量产）、1104 mm×477 mm×521mm（潜在），曲轴孔该序直径</w:t>
      </w:r>
      <w:r>
        <w:rPr>
          <w:rFonts w:ascii="宋体" w:hAnsi="宋体" w:eastAsia="宋体" w:cs="宋体"/>
          <w:sz w:val="24"/>
          <w14:ligatures w14:val="none"/>
        </w:rPr>
        <w:t>110</w:t>
      </w:r>
      <w:r>
        <w:rPr>
          <w:rFonts w:hint="eastAsia" w:ascii="宋体" w:hAnsi="宋体" w:eastAsia="宋体" w:cs="宋体"/>
          <w:sz w:val="24"/>
          <w14:ligatures w14:val="none"/>
        </w:rPr>
        <w:t>mm。</w:t>
      </w:r>
    </w:p>
    <w:p w14:paraId="4BC0B0BA">
      <w:pPr>
        <w:spacing w:after="0" w:line="360" w:lineRule="auto"/>
        <w:jc w:val="both"/>
        <w:rPr>
          <w:rFonts w:hint="eastAsia" w:ascii="黑体" w:hAnsi="黑体" w:eastAsia="宋体" w:cs="Times New Roman"/>
          <w:b/>
          <w:bCs/>
          <w:sz w:val="28"/>
          <w:szCs w:val="28"/>
          <w:highlight w:val="yellow"/>
        </w:rPr>
      </w:pPr>
      <w:r>
        <w:rPr>
          <w:rFonts w:hint="eastAsia" w:ascii="宋体" w:hAnsi="宋体" w:eastAsia="宋体" w:cs="宋体"/>
          <w:sz w:val="24"/>
          <w14:ligatures w14:val="none"/>
        </w:rPr>
        <w:t xml:space="preserve"> </w:t>
      </w:r>
      <w:r>
        <w:rPr>
          <w:rFonts w:hint="eastAsia" w:ascii="宋体" w:hAnsi="宋体" w:eastAsia="宋体" w:cs="宋体"/>
          <w:b/>
          <w:bCs/>
          <w:sz w:val="24"/>
          <w14:ligatures w14:val="none"/>
        </w:rPr>
        <w:t xml:space="preserve">  2主要升级内容及要求</w:t>
      </w:r>
      <w:bookmarkStart w:id="45" w:name="_Hlk78993199"/>
    </w:p>
    <w:p w14:paraId="3A489F12">
      <w:pPr>
        <w:ind w:firstLine="480" w:firstLineChars="200"/>
        <w:rPr>
          <w:rFonts w:hint="eastAsia" w:ascii="宋体" w:hAnsi="宋体" w:eastAsia="宋体" w:cs="宋体"/>
          <w:sz w:val="24"/>
          <w14:ligatures w14:val="none"/>
        </w:rPr>
      </w:pPr>
      <w:r>
        <w:rPr>
          <w:rFonts w:hint="eastAsia" w:ascii="宋体" w:hAnsi="宋体" w:eastAsia="宋体" w:cs="宋体"/>
          <w:sz w:val="24"/>
        </w:rPr>
        <w:t>2.1需升级设备：</w:t>
      </w:r>
      <w:r>
        <w:rPr>
          <w:rFonts w:hint="eastAsia" w:ascii="宋体" w:hAnsi="宋体" w:eastAsia="宋体" w:cs="宋体"/>
          <w:sz w:val="24"/>
          <w14:ligatures w14:val="none"/>
        </w:rPr>
        <w:t>缸体一车间，OP1</w:t>
      </w:r>
      <w:r>
        <w:rPr>
          <w:rFonts w:ascii="宋体" w:hAnsi="宋体" w:eastAsia="宋体" w:cs="宋体"/>
          <w:sz w:val="24"/>
          <w14:ligatures w14:val="none"/>
        </w:rPr>
        <w:t>0</w:t>
      </w:r>
      <w:r>
        <w:rPr>
          <w:rFonts w:hint="eastAsia" w:ascii="宋体" w:hAnsi="宋体" w:eastAsia="宋体" w:cs="宋体"/>
          <w:sz w:val="24"/>
          <w14:ligatures w14:val="none"/>
        </w:rPr>
        <w:t>0</w:t>
      </w:r>
      <w:r>
        <w:rPr>
          <w:rFonts w:ascii="宋体" w:hAnsi="宋体" w:eastAsia="宋体" w:cs="宋体"/>
          <w:sz w:val="24"/>
          <w14:ligatures w14:val="none"/>
        </w:rPr>
        <w:t>/140</w:t>
      </w:r>
      <w:r>
        <w:rPr>
          <w:rFonts w:hint="eastAsia" w:ascii="宋体" w:hAnsi="宋体" w:eastAsia="宋体" w:cs="宋体"/>
          <w:sz w:val="24"/>
          <w14:ligatures w14:val="none"/>
        </w:rPr>
        <w:t>激光工位（2010年进厂）。</w:t>
      </w:r>
    </w:p>
    <w:p w14:paraId="5C6544B3">
      <w:pPr>
        <w:pStyle w:val="2"/>
        <w:tabs>
          <w:tab w:val="right" w:leader="dot" w:pos="8729"/>
        </w:tabs>
        <w:jc w:val="center"/>
        <w:rPr>
          <w:rFonts w:hint="eastAsia"/>
        </w:rPr>
      </w:pPr>
      <w:r>
        <w:rPr>
          <w14:ligatures w14:val="none"/>
        </w:rPr>
        <mc:AlternateContent>
          <mc:Choice Requires="wpg">
            <w:drawing>
              <wp:anchor distT="0" distB="0" distL="114300" distR="114300" simplePos="0" relativeHeight="251659264" behindDoc="0" locked="0" layoutInCell="1" allowOverlap="1">
                <wp:simplePos x="0" y="0"/>
                <wp:positionH relativeFrom="column">
                  <wp:posOffset>1191895</wp:posOffset>
                </wp:positionH>
                <wp:positionV relativeFrom="paragraph">
                  <wp:posOffset>217805</wp:posOffset>
                </wp:positionV>
                <wp:extent cx="1380490" cy="2132330"/>
                <wp:effectExtent l="6350" t="6350" r="10160" b="7620"/>
                <wp:wrapNone/>
                <wp:docPr id="13" name="组合 13"/>
                <wp:cNvGraphicFramePr/>
                <a:graphic xmlns:a="http://schemas.openxmlformats.org/drawingml/2006/main">
                  <a:graphicData uri="http://schemas.microsoft.com/office/word/2010/wordprocessingGroup">
                    <wpg:wgp>
                      <wpg:cNvGrpSpPr/>
                      <wpg:grpSpPr>
                        <a:xfrm>
                          <a:off x="0" y="0"/>
                          <a:ext cx="1380490" cy="2132330"/>
                          <a:chOff x="0" y="0"/>
                          <a:chExt cx="1380444" cy="2132239"/>
                        </a:xfrm>
                      </wpg:grpSpPr>
                      <wps:wsp>
                        <wps:cNvPr id="17" name="矩形 3"/>
                        <wps:cNvSpPr/>
                        <wps:spPr>
                          <a:xfrm>
                            <a:off x="0" y="636814"/>
                            <a:ext cx="581025" cy="149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矩形 4"/>
                        <wps:cNvSpPr/>
                        <wps:spPr>
                          <a:xfrm>
                            <a:off x="947057" y="0"/>
                            <a:ext cx="433387"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3.85pt;margin-top:17.15pt;height:167.9pt;width:108.7pt;z-index:251659264;mso-width-relative:page;mso-height-relative:page;" coordsize="1380444,2132239" o:gfxdata="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0yeRzdkAAAAKAQAADwAAAAAAAAABACAAAAAiAAAAZHJzL2Rvd25yZXYu&#10;eG1sUEsBAhQAFAAAAAgAh07iQHOhxQUXAwAA9ggAAA4AAAAAAAAAAQAgAAAAKAEAAGRycy9lMm9E&#10;b2MueG1sUEsFBgAAAAAGAAYAWQEAALEGAAAAAA==&#10;">
                <o:lock v:ext="edit" aspectratio="f"/>
                <v:rect id="矩形 3" o:spid="_x0000_s1026" o:spt="1" style="position:absolute;left:0;top:636814;height:1495425;width:581025;v-text-anchor:middle;" filled="f" stroked="t" coordsize="21600,21600" o:gfxdata="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mLHS8AAAA&#10;2w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rect>
                <v:rect id="矩形 4" o:spid="_x0000_s1026" o:spt="1" style="position:absolute;left:947057;top:0;height:476250;width:433387;v-text-anchor:middle;" filled="f" stroked="t" coordsize="21600,21600" o:gfxdata="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m4Br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rect>
              </v:group>
            </w:pict>
          </mc:Fallback>
        </mc:AlternateContent>
      </w:r>
      <w:r>
        <w:drawing>
          <wp:inline distT="0" distB="0" distL="0" distR="0">
            <wp:extent cx="5274310" cy="3731260"/>
            <wp:effectExtent l="0" t="0" r="889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3731260"/>
                    </a:xfrm>
                    <a:prstGeom prst="rect">
                      <a:avLst/>
                    </a:prstGeom>
                    <a:noFill/>
                    <a:ln>
                      <a:noFill/>
                    </a:ln>
                  </pic:spPr>
                </pic:pic>
              </a:graphicData>
            </a:graphic>
          </wp:inline>
        </w:drawing>
      </w:r>
    </w:p>
    <w:p w14:paraId="3E560067">
      <w:pPr>
        <w:jc w:val="center"/>
        <w:rPr>
          <w:rFonts w:hint="eastAsia"/>
        </w:rPr>
      </w:pPr>
      <w:r>
        <w:rPr>
          <w:rFonts w:hint="eastAsia"/>
        </w:rPr>
        <w:t>机床平面图</w:t>
      </w:r>
    </w:p>
    <w:p w14:paraId="045A56AC">
      <w:pPr>
        <w:jc w:val="center"/>
        <w:rPr>
          <w:rFonts w:hint="eastAsia"/>
        </w:rPr>
      </w:pPr>
      <w:r>
        <w:drawing>
          <wp:inline distT="0" distB="0" distL="0" distR="0">
            <wp:extent cx="5274310" cy="3729355"/>
            <wp:effectExtent l="0" t="0" r="889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729355"/>
                    </a:xfrm>
                    <a:prstGeom prst="rect">
                      <a:avLst/>
                    </a:prstGeom>
                    <a:noFill/>
                    <a:ln>
                      <a:noFill/>
                    </a:ln>
                  </pic:spPr>
                </pic:pic>
              </a:graphicData>
            </a:graphic>
          </wp:inline>
        </w:drawing>
      </w:r>
    </w:p>
    <w:p w14:paraId="18BBC380">
      <w:pPr>
        <w:pStyle w:val="2"/>
        <w:tabs>
          <w:tab w:val="right" w:leader="dot" w:pos="8729"/>
        </w:tabs>
        <w:jc w:val="center"/>
        <w:rPr>
          <w:rFonts w:hint="eastAsia" w:asciiTheme="minorHAnsi" w:hAnsiTheme="minorHAnsi"/>
          <w:b w:val="0"/>
          <w:caps w:val="0"/>
          <w:sz w:val="22"/>
          <w:szCs w:val="24"/>
        </w:rPr>
      </w:pPr>
      <w:r>
        <w:rPr>
          <w:rFonts w:hint="eastAsia" w:asciiTheme="minorHAnsi" w:hAnsiTheme="minorHAnsi"/>
          <w:b w:val="0"/>
          <w:caps w:val="0"/>
          <w:sz w:val="22"/>
          <w:szCs w:val="24"/>
        </w:rPr>
        <w:t>激光工位</w:t>
      </w:r>
    </w:p>
    <w:p w14:paraId="7647D61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w:t>
      </w:r>
      <w:r>
        <w:rPr>
          <w:rFonts w:hint="eastAsia" w:ascii="宋体" w:hAnsi="宋体" w:eastAsia="宋体" w:cs="宋体"/>
          <w:sz w:val="24"/>
          <w14:ligatures w14:val="none"/>
        </w:rPr>
        <w:t>机械部分升级改造：</w:t>
      </w:r>
    </w:p>
    <w:p w14:paraId="3CEE4E2F">
      <w:pPr>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2.2.1</w:t>
      </w:r>
      <w:r>
        <w:rPr>
          <w:rFonts w:hint="eastAsia" w:ascii="宋体" w:hAnsi="宋体" w:eastAsia="宋体" w:cs="宋体"/>
          <w:sz w:val="24"/>
          <w14:ligatures w14:val="none"/>
        </w:rPr>
        <w:t>将激光系统升级为光纤激光系统（激光器只能LASAG和IPG二选一），能够稳定的替代现有固体激光，同时大幅降低故障率，故障控制在0.1%以内，将现有激光妥善拆卸，确保可以随时启用。</w:t>
      </w:r>
    </w:p>
    <w:p w14:paraId="1D3A42B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w:t>
      </w:r>
      <w:r>
        <w:rPr>
          <w:rFonts w:hint="eastAsia" w:ascii="宋体" w:hAnsi="宋体" w:eastAsia="宋体" w:cs="宋体"/>
          <w:sz w:val="24"/>
          <w14:ligatures w14:val="none"/>
        </w:rPr>
        <w:t>.2定制激光棒固定装置：</w:t>
      </w:r>
    </w:p>
    <w:p w14:paraId="5F1DE73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.2.2.1</w:t>
      </w:r>
      <w:r>
        <w:rPr>
          <w:rFonts w:hint="eastAsia" w:ascii="宋体" w:hAnsi="宋体" w:eastAsia="宋体" w:cs="宋体"/>
          <w:sz w:val="24"/>
          <w14:ligatures w14:val="none"/>
        </w:rPr>
        <w:t>旋转机构：用高精密旋转装置替代齿轮齿条结构控制激光棒旋转运动，提高0°和180°刻痕高度控制精度，精度控制在±0.1°以内；</w:t>
      </w:r>
    </w:p>
    <w:p w14:paraId="193C953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.2.2.2</w:t>
      </w:r>
      <w:r>
        <w:rPr>
          <w:rFonts w:hint="eastAsia" w:ascii="宋体" w:hAnsi="宋体" w:eastAsia="宋体" w:cs="宋体"/>
          <w:sz w:val="24"/>
          <w14:ligatures w14:val="none"/>
        </w:rPr>
        <w:t>升降机构：通过伺服系统调整激光和工件的距离，行程60mm，可加工曲轴轴孔直径80-140mm的产品，精度控制在±0.1mm以内。</w:t>
      </w:r>
    </w:p>
    <w:p w14:paraId="4435C742">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.2.3</w:t>
      </w:r>
      <w:r>
        <w:rPr>
          <w:rFonts w:hint="eastAsia" w:ascii="宋体" w:hAnsi="宋体" w:eastAsia="宋体" w:cs="宋体"/>
          <w:sz w:val="24"/>
          <w14:ligatures w14:val="none"/>
        </w:rPr>
        <w:t>将压缩空气净化除湿后供给激光棒，对精密镜片形成气密保护；包含过滤器和干燥器。保障压缩空气的颗粒物大小密度、压力露点、含油量等指标符合ISO8573</w:t>
      </w:r>
      <w:r>
        <w:rPr>
          <w:rFonts w:ascii="宋体" w:hAnsi="宋体" w:eastAsia="宋体" w:cs="宋体"/>
          <w:sz w:val="24"/>
          <w14:ligatures w14:val="none"/>
        </w:rPr>
        <w:t>-1</w:t>
      </w:r>
      <w:r>
        <w:rPr>
          <w:rFonts w:hint="eastAsia" w:ascii="宋体" w:hAnsi="宋体" w:eastAsia="宋体" w:cs="宋体"/>
          <w:sz w:val="24"/>
          <w14:ligatures w14:val="none"/>
        </w:rPr>
        <w:t>标准，等级3；或者符合</w:t>
      </w:r>
      <w:r>
        <w:rPr>
          <w:rFonts w:ascii="宋体" w:hAnsi="宋体" w:eastAsia="宋体" w:cs="宋体"/>
          <w:sz w:val="24"/>
          <w14:ligatures w14:val="none"/>
        </w:rPr>
        <w:t>GB/T13277</w:t>
      </w:r>
      <w:r>
        <w:rPr>
          <w:rFonts w:hint="eastAsia" w:ascii="宋体" w:hAnsi="宋体" w:eastAsia="宋体" w:cs="宋体"/>
          <w:sz w:val="24"/>
          <w14:ligatures w14:val="none"/>
        </w:rPr>
        <w:t>，等级3。</w:t>
      </w:r>
    </w:p>
    <w:p w14:paraId="5E2A0C1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.2.4</w:t>
      </w:r>
      <w:r>
        <w:rPr>
          <w:rFonts w:hint="eastAsia" w:ascii="宋体" w:hAnsi="宋体" w:eastAsia="宋体" w:cs="宋体"/>
          <w:sz w:val="24"/>
          <w14:ligatures w14:val="none"/>
        </w:rPr>
        <w:t>安装工业吸尘器，配合激光工作，能吸走激光刻痕烧下的金属粉末。</w:t>
      </w:r>
    </w:p>
    <w:p w14:paraId="255F66C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2.2.5液压部分：根据潜在产品升级要求，需要对工装夹紧油缸改造，包括相关的电气元件，开关、线缆以及分布式信号模块、气检模组、坦克链、油管等，以上涉及的改造选用的元件俱须与在用品牌保持一直（例如液压系统油缸选用ROEMHELD等）</w:t>
      </w:r>
    </w:p>
    <w:p w14:paraId="43269F4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2.2.6气动部分：改造中涉及的气动部分，包括气动换向阀、气缸、检测开关等全部更换，品牌与在用的保持一致。</w:t>
      </w:r>
    </w:p>
    <w:p w14:paraId="0E1F85E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电气部分升级改造：</w:t>
      </w:r>
    </w:p>
    <w:p w14:paraId="6A60F92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.3.1</w:t>
      </w:r>
      <w:r>
        <w:rPr>
          <w:rFonts w:hint="eastAsia" w:ascii="宋体" w:hAnsi="宋体" w:eastAsia="宋体" w:cs="宋体"/>
          <w:sz w:val="24"/>
          <w14:ligatures w14:val="none"/>
        </w:rPr>
        <w:t>用西门子S120伺服系统控制激光棒的旋转和升降。</w:t>
      </w:r>
    </w:p>
    <w:p w14:paraId="2543789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3.2</w:t>
      </w:r>
      <w:r>
        <w:rPr>
          <w:rFonts w:hint="eastAsia" w:ascii="宋体" w:hAnsi="宋体" w:eastAsia="宋体" w:cs="宋体"/>
          <w:sz w:val="24"/>
          <w14:ligatures w14:val="none"/>
        </w:rPr>
        <w:t>在工控机上安装激光控制软件，可进行手动激光打点、调整激光参数等操作。</w:t>
      </w:r>
    </w:p>
    <w:p w14:paraId="28769C9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3.3</w:t>
      </w:r>
      <w:r>
        <w:rPr>
          <w:rFonts w:hint="eastAsia" w:ascii="宋体" w:hAnsi="宋体" w:eastAsia="宋体" w:cs="宋体"/>
          <w:sz w:val="24"/>
          <w14:ligatures w14:val="none"/>
        </w:rPr>
        <w:t>采用威图工业空调为激光器提供冷却，新增的电气柜也需要选择威图的控制柜与空调。</w:t>
      </w:r>
    </w:p>
    <w:p w14:paraId="69611A6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3.4</w:t>
      </w:r>
      <w:r>
        <w:rPr>
          <w:rFonts w:hint="eastAsia" w:ascii="宋体" w:hAnsi="宋体" w:eastAsia="宋体" w:cs="宋体"/>
          <w:sz w:val="24"/>
          <w14:ligatures w14:val="none"/>
        </w:rPr>
        <w:t>采用S7-1500PLC控制升级后的激光系统与原涨断机840D系统和激光控制器进行交互，也可以用SINUMERIK ONE系统完全替代现有SINUMRIK 840DPL。</w:t>
      </w:r>
    </w:p>
    <w:bookmarkEnd w:id="45"/>
    <w:p w14:paraId="4D3DBB7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3.5</w:t>
      </w:r>
      <w:r>
        <w:rPr>
          <w:rFonts w:hint="eastAsia" w:ascii="宋体" w:hAnsi="宋体" w:eastAsia="宋体" w:cs="宋体"/>
          <w:sz w:val="24"/>
          <w14:ligatures w14:val="none"/>
        </w:rPr>
        <w:t>选用的西门子触摸屏SIMATIC HMI TP1200 Comfort（如使用SINUMERIK ONE系统，可以使用该系统标准配置屏）对新增的伺服电机、激光器、气动部分等进行控制，并可查看激光实时参数、伺服位置等、联动回初始位置。</w:t>
      </w:r>
    </w:p>
    <w:p w14:paraId="544D1E2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.6运行动作程序重新编程，电控部分进行系统整合及调试，细化可操作的颗粒度，确保自动动作都可以有相关的手动操作，例如对某个前进后退动作的控制除自动控制外还需在HMI中配置相应的手动动作。</w:t>
      </w:r>
    </w:p>
    <w:p w14:paraId="2D8B26F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.7为确保激光升级后的稳定性，改造中需要同步升级的电气元件，原则上应与在用件品牌保持一直，包括伺服模块、伺服电机、接触器、安全继电器、信号模块、摄像头等。</w:t>
      </w:r>
    </w:p>
    <w:p w14:paraId="4E62DFA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.8根据工艺要求调试激光划痕参数，保证刻痕深度：0.8-1mm、间距≤0.15mm。</w:t>
      </w:r>
    </w:p>
    <w:p w14:paraId="21928705">
      <w:pPr>
        <w:spacing w:after="0" w:line="360" w:lineRule="auto"/>
        <w:ind w:firstLine="482" w:firstLineChars="200"/>
        <w:jc w:val="both"/>
        <w:rPr>
          <w:rFonts w:hint="eastAsia" w:ascii="宋体" w:hAnsi="宋体" w:eastAsia="宋体" w:cs="宋体"/>
          <w:sz w:val="24"/>
          <w14:ligatures w14:val="none"/>
        </w:rPr>
      </w:pPr>
      <w:bookmarkStart w:id="46" w:name="_Toc53110725"/>
      <w:bookmarkStart w:id="47" w:name="_Toc338936964"/>
      <w:bookmarkStart w:id="48" w:name="_Hlk164784094"/>
      <w:r>
        <w:rPr>
          <w:rFonts w:hint="eastAsia" w:ascii="宋体" w:hAnsi="宋体" w:eastAsia="宋体" w:cs="宋体"/>
          <w:b/>
          <w:bCs/>
          <w:sz w:val="24"/>
          <w14:ligatures w14:val="none"/>
        </w:rPr>
        <w:t>3.安全防护一般性技术要求</w:t>
      </w:r>
      <w:bookmarkEnd w:id="46"/>
      <w:bookmarkEnd w:id="47"/>
    </w:p>
    <w:p w14:paraId="0D527EB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3.1卖方应对设备的安全性负责，在设计时应注意到整体和局部的安全性问题。</w:t>
      </w:r>
    </w:p>
    <w:p w14:paraId="30D5142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3.2旋转轴、联节器、齿轮和其它旋转部件应完全防护，防护罩的设计应能使人容易接近润滑油脂加注点和其他检查点，以便操作人员能够没有危险的或者不需拆除防护体的任何部件情况下，就可进行日常观察、维修。</w:t>
      </w:r>
    </w:p>
    <w:p w14:paraId="7972901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3.3各部安全联锁和限位装置、缓冲器、制动器、安全护栏等齐全，安全可靠。</w:t>
      </w:r>
    </w:p>
    <w:p w14:paraId="3B0F2C4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3.4设备的噪音和振动应符合国家相关标准。</w:t>
      </w:r>
    </w:p>
    <w:bookmarkEnd w:id="48"/>
    <w:p w14:paraId="5022A34B">
      <w:pPr>
        <w:spacing w:after="0" w:line="360" w:lineRule="auto"/>
        <w:ind w:firstLine="482" w:firstLineChars="200"/>
        <w:jc w:val="both"/>
        <w:rPr>
          <w:rFonts w:hint="eastAsia" w:ascii="宋体" w:hAnsi="宋体" w:eastAsia="宋体" w:cs="宋体"/>
          <w:b/>
          <w:bCs/>
          <w:sz w:val="24"/>
          <w14:ligatures w14:val="none"/>
        </w:rPr>
      </w:pPr>
      <w:bookmarkStart w:id="49" w:name="_Toc53110726"/>
      <w:bookmarkStart w:id="50" w:name="_Toc338936966"/>
      <w:r>
        <w:rPr>
          <w:rFonts w:hint="eastAsia" w:ascii="宋体" w:hAnsi="宋体" w:eastAsia="宋体" w:cs="宋体"/>
          <w:b/>
          <w:bCs/>
          <w:sz w:val="24"/>
          <w14:ligatures w14:val="none"/>
        </w:rPr>
        <w:t>4.关于文件及技术资料</w:t>
      </w:r>
      <w:bookmarkEnd w:id="49"/>
      <w:r>
        <w:rPr>
          <w:rFonts w:hint="eastAsia" w:ascii="宋体" w:hAnsi="宋体" w:eastAsia="宋体" w:cs="宋体"/>
          <w:b/>
          <w:bCs/>
          <w:sz w:val="24"/>
          <w14:ligatures w14:val="none"/>
        </w:rPr>
        <w:t>一般性要求</w:t>
      </w:r>
      <w:bookmarkEnd w:id="50"/>
    </w:p>
    <w:p w14:paraId="5BDF459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4.1提供合同设备的所有技术文件和图纸资料。</w:t>
      </w:r>
    </w:p>
    <w:p w14:paraId="1F7EA24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4.2每套机械设备图纸应满足下列要求：</w:t>
      </w:r>
    </w:p>
    <w:p w14:paraId="58245C8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4.2.1标明详细的结构尺寸、材料以及其它辅助设备的重量、外形、必要的剖面图；</w:t>
      </w:r>
    </w:p>
    <w:p w14:paraId="05FD8B1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4.2.2主要部件、产品的材料、名称、型号、数量、性能等详细资料；</w:t>
      </w:r>
    </w:p>
    <w:p w14:paraId="6ACED7F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4.2.3配套显示压力、流量表的合格证、质量检验报告等相关资料。</w:t>
      </w:r>
    </w:p>
    <w:p w14:paraId="1C3FDEF2">
      <w:pPr>
        <w:spacing w:after="0" w:line="360" w:lineRule="auto"/>
        <w:ind w:firstLine="482" w:firstLineChars="200"/>
        <w:jc w:val="both"/>
        <w:rPr>
          <w:rFonts w:hint="eastAsia" w:ascii="宋体" w:hAnsi="宋体" w:eastAsia="宋体" w:cs="宋体"/>
          <w:b/>
          <w:bCs/>
          <w:sz w:val="24"/>
          <w14:ligatures w14:val="none"/>
        </w:rPr>
      </w:pPr>
      <w:bookmarkStart w:id="51" w:name="_Toc535375595"/>
      <w:bookmarkStart w:id="52" w:name="_Toc535382137"/>
      <w:bookmarkStart w:id="53" w:name="_Toc535381441"/>
      <w:bookmarkStart w:id="54" w:name="_Toc535394334"/>
      <w:bookmarkStart w:id="55" w:name="_Toc535382301"/>
      <w:bookmarkStart w:id="56" w:name="_Toc535381333"/>
      <w:bookmarkStart w:id="57" w:name="_Toc2479125"/>
      <w:bookmarkStart w:id="58" w:name="_Toc15175272"/>
      <w:bookmarkStart w:id="59" w:name="_Toc338936969"/>
      <w:r>
        <w:rPr>
          <w:rFonts w:hint="eastAsia" w:ascii="宋体" w:hAnsi="宋体" w:eastAsia="宋体" w:cs="宋体"/>
          <w:b/>
          <w:bCs/>
          <w:sz w:val="24"/>
          <w14:ligatures w14:val="none"/>
        </w:rPr>
        <w:t>5.质量保证</w:t>
      </w:r>
      <w:bookmarkEnd w:id="51"/>
      <w:bookmarkEnd w:id="52"/>
      <w:bookmarkEnd w:id="53"/>
      <w:bookmarkEnd w:id="54"/>
      <w:bookmarkEnd w:id="55"/>
      <w:bookmarkEnd w:id="56"/>
      <w:r>
        <w:rPr>
          <w:rFonts w:hint="eastAsia" w:ascii="宋体" w:hAnsi="宋体" w:eastAsia="宋体" w:cs="宋体"/>
          <w:b/>
          <w:bCs/>
          <w:sz w:val="24"/>
          <w14:ligatures w14:val="none"/>
        </w:rPr>
        <w:t>及售后服务</w:t>
      </w:r>
      <w:bookmarkEnd w:id="57"/>
      <w:bookmarkEnd w:id="58"/>
      <w:r>
        <w:rPr>
          <w:rFonts w:hint="eastAsia" w:ascii="宋体" w:hAnsi="宋体" w:eastAsia="宋体" w:cs="宋体"/>
          <w:b/>
          <w:bCs/>
          <w:sz w:val="24"/>
          <w14:ligatures w14:val="none"/>
        </w:rPr>
        <w:t>要求</w:t>
      </w:r>
      <w:bookmarkEnd w:id="59"/>
    </w:p>
    <w:p w14:paraId="5958B70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5.1质量保证体系：供货方应建立贯穿整个建造过程的全面质量管理体系，用户有权要求供货方对其质量管理体系进行改进。</w:t>
      </w:r>
    </w:p>
    <w:p w14:paraId="3B71EAC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5.2项目管理方案：供货方对本项目要有一个完整的项目管理方案，在投标或签订技术协议时，应提供项目管理文件供用户认可，用户有权要求供货方对其项目管理方案进行改进，为双方在项目管理方面的密切配合建立良好的基础。</w:t>
      </w:r>
    </w:p>
    <w:p w14:paraId="1C486B0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5.3交工验收完成后质量保证期为12个月。</w:t>
      </w:r>
    </w:p>
    <w:p w14:paraId="213D93E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5.4设备改造所选的机械、电器元件和部件质量要有充分保证。供应商需要在国内拥有完整的售后服务体系，以便为快速服务提供充分的保障。做到有问题8小时内到达现场，主要零部件或及备件能够在24小时内立即供应。</w:t>
      </w:r>
    </w:p>
    <w:p w14:paraId="525FC18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5.5在质量保证期外，制造厂家能够继续提供良好的售后服务和维修保养方案。</w:t>
      </w:r>
    </w:p>
    <w:p w14:paraId="3E907C9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5.6本项目交工验收后供货方应有定期回访，回访时间间隔不超过一年。</w:t>
      </w:r>
    </w:p>
    <w:p w14:paraId="48085BD6">
      <w:pPr>
        <w:spacing w:after="0" w:line="360" w:lineRule="auto"/>
        <w:ind w:firstLine="482" w:firstLineChars="200"/>
        <w:jc w:val="both"/>
        <w:rPr>
          <w:rFonts w:hint="eastAsia" w:ascii="宋体" w:hAnsi="宋体" w:eastAsia="宋体" w:cs="宋体"/>
          <w:b/>
          <w:bCs/>
          <w:sz w:val="24"/>
          <w14:ligatures w14:val="none"/>
        </w:rPr>
      </w:pPr>
      <w:bookmarkStart w:id="60" w:name="_Toc338936970"/>
      <w:bookmarkStart w:id="61" w:name="_Toc53110728"/>
      <w:r>
        <w:rPr>
          <w:rFonts w:hint="eastAsia" w:ascii="宋体" w:hAnsi="宋体" w:eastAsia="宋体" w:cs="宋体"/>
          <w:b/>
          <w:bCs/>
          <w:sz w:val="24"/>
          <w14:ligatures w14:val="none"/>
        </w:rPr>
        <w:t>6.备品备件和专用工具</w:t>
      </w:r>
      <w:bookmarkEnd w:id="60"/>
      <w:bookmarkEnd w:id="61"/>
    </w:p>
    <w:p w14:paraId="03B7F65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由供货方随机提供所有专用工具。</w:t>
      </w:r>
    </w:p>
    <w:p w14:paraId="43711F2C">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四、执行标准</w:t>
      </w:r>
    </w:p>
    <w:p w14:paraId="65C5B91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1.招标人此处所列标准仅为涉及的主要标准，而且不保证其为最新版执行标准；投标人应当在投标文件中认真予以填写、补充和修改完善。</w:t>
      </w:r>
    </w:p>
    <w:p w14:paraId="6D5AACF3">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2.投标人需要执行的标准，应当采用所供货物通过买方组织的最终验收之日已经开始执行的最新标准。</w:t>
      </w:r>
    </w:p>
    <w:p w14:paraId="4AA9E14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3.采购货物的产品质量、技术标准如在招投标文件中无相应说明，则按中华人民共和国有关部门颁发的最新的国标或专业（部）标准执行及相应的国际标准。</w:t>
      </w:r>
    </w:p>
    <w:p w14:paraId="7235776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4.采购货物没有国家或专业（部）标准的，按企业标准执行时，卖方应在合同签署之前，将所涉及的企业标准提供给买方确认。</w:t>
      </w:r>
    </w:p>
    <w:p w14:paraId="083387B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5.采购货物如果采用国际标准，其执行标准由投标人提供、招标人确认。</w:t>
      </w:r>
    </w:p>
    <w:p w14:paraId="3BEB09F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6.采购货物所涉及的标准不统一时，原则上按照最严格标准执行。</w:t>
      </w:r>
    </w:p>
    <w:p w14:paraId="42E949CD">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第三章  供货范围及供货方式</w:t>
      </w:r>
      <w:bookmarkEnd w:id="44"/>
    </w:p>
    <w:p w14:paraId="0AC122DB">
      <w:pPr>
        <w:spacing w:after="0" w:line="240" w:lineRule="auto"/>
        <w:jc w:val="both"/>
        <w:rPr>
          <w:rFonts w:hint="eastAsia" w:ascii="等线" w:hAnsi="等线" w:eastAsia="等线" w:cs="Times New Roman"/>
          <w:sz w:val="21"/>
          <w:szCs w:val="22"/>
          <w14:ligatures w14:val="none"/>
        </w:rPr>
      </w:pPr>
    </w:p>
    <w:p w14:paraId="2E62D5D2">
      <w:pPr>
        <w:keepNext/>
        <w:keepLines/>
        <w:spacing w:after="0" w:line="360" w:lineRule="auto"/>
        <w:jc w:val="center"/>
        <w:outlineLvl w:val="2"/>
        <w:rPr>
          <w:rFonts w:hint="eastAsia" w:ascii="宋体" w:hAnsi="宋体" w:eastAsia="宋体" w:cs="宋体"/>
          <w:b/>
          <w:bCs/>
          <w:sz w:val="24"/>
          <w:szCs w:val="32"/>
          <w14:ligatures w14:val="none"/>
        </w:rPr>
      </w:pPr>
      <w:bookmarkStart w:id="62" w:name="_Toc169605882"/>
      <w:r>
        <w:rPr>
          <w:rFonts w:hint="eastAsia" w:ascii="宋体" w:hAnsi="宋体" w:eastAsia="宋体" w:cs="宋体"/>
          <w:b/>
          <w:bCs/>
          <w:sz w:val="24"/>
          <w:szCs w:val="32"/>
          <w14:ligatures w14:val="none"/>
        </w:rPr>
        <w:t>第一节  供货范围</w:t>
      </w:r>
      <w:bookmarkEnd w:id="62"/>
    </w:p>
    <w:p w14:paraId="20B19DDA">
      <w:pPr>
        <w:spacing w:after="0" w:line="360" w:lineRule="auto"/>
        <w:ind w:firstLine="482" w:firstLineChars="200"/>
        <w:jc w:val="both"/>
        <w:outlineLvl w:val="3"/>
        <w:rPr>
          <w:rFonts w:hint="eastAsia" w:ascii="宋体" w:hAnsi="宋体" w:eastAsia="宋体" w:cs="宋体"/>
          <w:b/>
          <w:bCs/>
          <w:sz w:val="24"/>
          <w:highlight w:val="yellow"/>
          <w14:ligatures w14:val="none"/>
        </w:rPr>
      </w:pPr>
      <w:r>
        <w:rPr>
          <w:rFonts w:hint="eastAsia" w:ascii="宋体" w:hAnsi="宋体" w:eastAsia="宋体" w:cs="宋体"/>
          <w:b/>
          <w:bCs/>
          <w:sz w:val="24"/>
          <w14:ligatures w14:val="none"/>
        </w:rPr>
        <w:t>一、供货范围</w:t>
      </w:r>
    </w:p>
    <w:tbl>
      <w:tblPr>
        <w:tblStyle w:val="35"/>
        <w:tblW w:w="4997" w:type="pct"/>
        <w:tblInd w:w="0" w:type="dxa"/>
        <w:tblLayout w:type="autofit"/>
        <w:tblCellMar>
          <w:top w:w="0" w:type="dxa"/>
          <w:left w:w="51" w:type="dxa"/>
          <w:bottom w:w="0" w:type="dxa"/>
          <w:right w:w="51" w:type="dxa"/>
        </w:tblCellMar>
      </w:tblPr>
      <w:tblGrid>
        <w:gridCol w:w="553"/>
        <w:gridCol w:w="1475"/>
        <w:gridCol w:w="1276"/>
        <w:gridCol w:w="787"/>
        <w:gridCol w:w="787"/>
        <w:gridCol w:w="2591"/>
        <w:gridCol w:w="1076"/>
        <w:gridCol w:w="622"/>
      </w:tblGrid>
      <w:tr w14:paraId="0203895C">
        <w:tblPrEx>
          <w:tblCellMar>
            <w:top w:w="0" w:type="dxa"/>
            <w:left w:w="51" w:type="dxa"/>
            <w:bottom w:w="0" w:type="dxa"/>
            <w:right w:w="51" w:type="dxa"/>
          </w:tblCellMar>
        </w:tblPrEx>
        <w:trPr>
          <w:trHeight w:val="525" w:hRule="atLeast"/>
        </w:trPr>
        <w:tc>
          <w:tcPr>
            <w:tcW w:w="302" w:type="pct"/>
            <w:tcBorders>
              <w:top w:val="single" w:color="000000" w:sz="8" w:space="0"/>
              <w:left w:val="single" w:color="000000" w:sz="8" w:space="0"/>
              <w:bottom w:val="single" w:color="000000" w:sz="8" w:space="0"/>
              <w:right w:val="single" w:color="000000" w:sz="8" w:space="0"/>
            </w:tcBorders>
            <w:vAlign w:val="center"/>
          </w:tcPr>
          <w:p w14:paraId="59016F63">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序号</w:t>
            </w:r>
          </w:p>
        </w:tc>
        <w:tc>
          <w:tcPr>
            <w:tcW w:w="805" w:type="pct"/>
            <w:tcBorders>
              <w:top w:val="single" w:color="000000" w:sz="8" w:space="0"/>
              <w:left w:val="nil"/>
              <w:bottom w:val="single" w:color="000000" w:sz="8" w:space="0"/>
              <w:right w:val="single" w:color="000000" w:sz="8" w:space="0"/>
            </w:tcBorders>
            <w:vAlign w:val="center"/>
          </w:tcPr>
          <w:p w14:paraId="271B15D6">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名称</w:t>
            </w:r>
          </w:p>
        </w:tc>
        <w:tc>
          <w:tcPr>
            <w:tcW w:w="696" w:type="pct"/>
            <w:tcBorders>
              <w:top w:val="single" w:color="000000" w:sz="8" w:space="0"/>
              <w:left w:val="nil"/>
              <w:bottom w:val="single" w:color="000000" w:sz="8" w:space="0"/>
              <w:right w:val="single" w:color="000000" w:sz="8" w:space="0"/>
            </w:tcBorders>
            <w:vAlign w:val="center"/>
          </w:tcPr>
          <w:p w14:paraId="552189A8">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型号规格</w:t>
            </w:r>
          </w:p>
        </w:tc>
        <w:tc>
          <w:tcPr>
            <w:tcW w:w="429" w:type="pct"/>
            <w:tcBorders>
              <w:top w:val="single" w:color="000000" w:sz="8" w:space="0"/>
              <w:left w:val="nil"/>
              <w:bottom w:val="single" w:color="000000" w:sz="8" w:space="0"/>
              <w:right w:val="single" w:color="000000" w:sz="8" w:space="0"/>
            </w:tcBorders>
            <w:vAlign w:val="center"/>
          </w:tcPr>
          <w:p w14:paraId="02AAE6D9">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单位</w:t>
            </w:r>
          </w:p>
        </w:tc>
        <w:tc>
          <w:tcPr>
            <w:tcW w:w="429" w:type="pct"/>
            <w:tcBorders>
              <w:top w:val="single" w:color="000000" w:sz="8" w:space="0"/>
              <w:left w:val="nil"/>
              <w:bottom w:val="single" w:color="000000" w:sz="8" w:space="0"/>
              <w:right w:val="single" w:color="000000" w:sz="8" w:space="0"/>
            </w:tcBorders>
            <w:vAlign w:val="center"/>
          </w:tcPr>
          <w:p w14:paraId="7166CD20">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数量</w:t>
            </w:r>
          </w:p>
        </w:tc>
        <w:tc>
          <w:tcPr>
            <w:tcW w:w="1413" w:type="pct"/>
            <w:tcBorders>
              <w:top w:val="single" w:color="000000" w:sz="8" w:space="0"/>
              <w:left w:val="nil"/>
              <w:bottom w:val="single" w:color="000000" w:sz="8" w:space="0"/>
              <w:right w:val="single" w:color="000000" w:sz="8" w:space="0"/>
            </w:tcBorders>
            <w:vAlign w:val="center"/>
          </w:tcPr>
          <w:p w14:paraId="0FD82A9C">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安装地点/服务对象</w:t>
            </w:r>
          </w:p>
        </w:tc>
        <w:tc>
          <w:tcPr>
            <w:tcW w:w="587" w:type="pct"/>
            <w:tcBorders>
              <w:top w:val="single" w:color="000000" w:sz="8" w:space="0"/>
              <w:left w:val="nil"/>
              <w:bottom w:val="single" w:color="000000" w:sz="8" w:space="0"/>
              <w:right w:val="single" w:color="000000" w:sz="8" w:space="0"/>
            </w:tcBorders>
            <w:vAlign w:val="center"/>
          </w:tcPr>
          <w:p w14:paraId="72E74EF4">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供货方式</w:t>
            </w:r>
          </w:p>
        </w:tc>
        <w:tc>
          <w:tcPr>
            <w:tcW w:w="339" w:type="pct"/>
            <w:tcBorders>
              <w:top w:val="single" w:color="000000" w:sz="8" w:space="0"/>
              <w:left w:val="nil"/>
              <w:bottom w:val="single" w:color="000000" w:sz="8" w:space="0"/>
              <w:right w:val="single" w:color="000000" w:sz="8" w:space="0"/>
            </w:tcBorders>
            <w:vAlign w:val="center"/>
          </w:tcPr>
          <w:p w14:paraId="2ECCCDE5">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备注</w:t>
            </w:r>
          </w:p>
        </w:tc>
      </w:tr>
      <w:tr w14:paraId="69DC42C1">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5CB9469E">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805" w:type="pct"/>
            <w:tcBorders>
              <w:top w:val="nil"/>
              <w:left w:val="nil"/>
              <w:bottom w:val="single" w:color="auto" w:sz="4" w:space="0"/>
              <w:right w:val="single" w:color="000000" w:sz="8" w:space="0"/>
            </w:tcBorders>
            <w:vAlign w:val="center"/>
          </w:tcPr>
          <w:p w14:paraId="4AD6FE15">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多模QCW光纤激光器</w:t>
            </w:r>
          </w:p>
        </w:tc>
        <w:tc>
          <w:tcPr>
            <w:tcW w:w="696" w:type="pct"/>
            <w:tcBorders>
              <w:top w:val="nil"/>
              <w:left w:val="nil"/>
              <w:bottom w:val="single" w:color="auto" w:sz="4" w:space="0"/>
              <w:right w:val="single" w:color="000000" w:sz="8" w:space="0"/>
            </w:tcBorders>
            <w:vAlign w:val="center"/>
          </w:tcPr>
          <w:p w14:paraId="34DE3E93">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nil"/>
              <w:left w:val="nil"/>
              <w:bottom w:val="single" w:color="auto" w:sz="4" w:space="0"/>
              <w:right w:val="single" w:color="000000" w:sz="8" w:space="0"/>
            </w:tcBorders>
            <w:vAlign w:val="center"/>
          </w:tcPr>
          <w:p w14:paraId="4D136A2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台</w:t>
            </w:r>
          </w:p>
        </w:tc>
        <w:tc>
          <w:tcPr>
            <w:tcW w:w="429" w:type="pct"/>
            <w:tcBorders>
              <w:top w:val="nil"/>
              <w:left w:val="nil"/>
              <w:bottom w:val="single" w:color="auto" w:sz="4" w:space="0"/>
              <w:right w:val="single" w:color="000000" w:sz="8" w:space="0"/>
            </w:tcBorders>
            <w:vAlign w:val="center"/>
          </w:tcPr>
          <w:p w14:paraId="7CDCA226">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vAlign w:val="center"/>
          </w:tcPr>
          <w:p w14:paraId="3745844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vAlign w:val="center"/>
          </w:tcPr>
          <w:p w14:paraId="00F0E7B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34F659B5">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含专用工具</w:t>
            </w:r>
          </w:p>
        </w:tc>
      </w:tr>
      <w:tr w14:paraId="60EAE389">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41F9CED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2</w:t>
            </w:r>
          </w:p>
        </w:tc>
        <w:tc>
          <w:tcPr>
            <w:tcW w:w="805" w:type="pct"/>
            <w:tcBorders>
              <w:top w:val="nil"/>
              <w:left w:val="nil"/>
              <w:bottom w:val="single" w:color="auto" w:sz="4" w:space="0"/>
              <w:right w:val="single" w:color="000000" w:sz="8" w:space="0"/>
            </w:tcBorders>
            <w:vAlign w:val="center"/>
          </w:tcPr>
          <w:p w14:paraId="27805B9B">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定制激光头及长杆</w:t>
            </w:r>
          </w:p>
        </w:tc>
        <w:tc>
          <w:tcPr>
            <w:tcW w:w="696" w:type="pct"/>
            <w:tcBorders>
              <w:top w:val="nil"/>
              <w:left w:val="nil"/>
              <w:bottom w:val="single" w:color="auto" w:sz="4" w:space="0"/>
              <w:right w:val="single" w:color="000000" w:sz="8" w:space="0"/>
            </w:tcBorders>
            <w:vAlign w:val="center"/>
          </w:tcPr>
          <w:p w14:paraId="024712D1">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定制</w:t>
            </w:r>
          </w:p>
        </w:tc>
        <w:tc>
          <w:tcPr>
            <w:tcW w:w="429" w:type="pct"/>
            <w:tcBorders>
              <w:top w:val="nil"/>
              <w:left w:val="nil"/>
              <w:bottom w:val="single" w:color="auto" w:sz="4" w:space="0"/>
              <w:right w:val="single" w:color="000000" w:sz="8" w:space="0"/>
            </w:tcBorders>
            <w:vAlign w:val="center"/>
          </w:tcPr>
          <w:p w14:paraId="7BA996AB">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nil"/>
              <w:left w:val="nil"/>
              <w:bottom w:val="single" w:color="auto" w:sz="4" w:space="0"/>
              <w:right w:val="single" w:color="000000" w:sz="8" w:space="0"/>
            </w:tcBorders>
            <w:vAlign w:val="center"/>
          </w:tcPr>
          <w:p w14:paraId="3406078C">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vAlign w:val="center"/>
          </w:tcPr>
          <w:p w14:paraId="665C6624">
            <w:pPr>
              <w:widowControl/>
              <w:spacing w:after="0" w:line="240" w:lineRule="auto"/>
              <w:jc w:val="center"/>
              <w:textAlignment w:val="center"/>
              <w:rPr>
                <w:rFonts w:hint="eastAsia" w:ascii="宋体" w:hAnsi="宋体" w:eastAsia="等线" w:cs="宋体"/>
                <w:b/>
                <w:bCs/>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vAlign w:val="center"/>
          </w:tcPr>
          <w:p w14:paraId="01C75C95">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58376A03">
            <w:pPr>
              <w:spacing w:after="0" w:line="240" w:lineRule="auto"/>
              <w:jc w:val="center"/>
              <w:rPr>
                <w:rFonts w:hint="eastAsia" w:ascii="宋体" w:hAnsi="宋体" w:eastAsia="等线" w:cs="宋体"/>
                <w:color w:val="000000"/>
                <w:sz w:val="21"/>
                <w:szCs w:val="21"/>
                <w14:ligatures w14:val="none"/>
              </w:rPr>
            </w:pPr>
          </w:p>
        </w:tc>
      </w:tr>
      <w:tr w14:paraId="3CE0E98F">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2E27E59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3</w:t>
            </w:r>
          </w:p>
        </w:tc>
        <w:tc>
          <w:tcPr>
            <w:tcW w:w="805" w:type="pct"/>
            <w:tcBorders>
              <w:top w:val="nil"/>
              <w:left w:val="nil"/>
              <w:bottom w:val="single" w:color="auto" w:sz="4" w:space="0"/>
              <w:right w:val="single" w:color="000000" w:sz="8" w:space="0"/>
            </w:tcBorders>
            <w:vAlign w:val="center"/>
          </w:tcPr>
          <w:p w14:paraId="4B9EF3F8">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机械部件、外购件</w:t>
            </w:r>
          </w:p>
        </w:tc>
        <w:tc>
          <w:tcPr>
            <w:tcW w:w="696" w:type="pct"/>
            <w:tcBorders>
              <w:top w:val="nil"/>
              <w:left w:val="nil"/>
              <w:bottom w:val="single" w:color="auto" w:sz="4" w:space="0"/>
              <w:right w:val="single" w:color="000000" w:sz="8" w:space="0"/>
            </w:tcBorders>
            <w:vAlign w:val="center"/>
          </w:tcPr>
          <w:p w14:paraId="2C025A72">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nil"/>
              <w:left w:val="nil"/>
              <w:bottom w:val="single" w:color="auto" w:sz="4" w:space="0"/>
              <w:right w:val="single" w:color="000000" w:sz="8" w:space="0"/>
            </w:tcBorders>
            <w:vAlign w:val="center"/>
          </w:tcPr>
          <w:p w14:paraId="715489B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nil"/>
              <w:left w:val="nil"/>
              <w:bottom w:val="single" w:color="auto" w:sz="4" w:space="0"/>
              <w:right w:val="single" w:color="000000" w:sz="8" w:space="0"/>
            </w:tcBorders>
            <w:vAlign w:val="center"/>
          </w:tcPr>
          <w:p w14:paraId="533474E5">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vAlign w:val="center"/>
          </w:tcPr>
          <w:p w14:paraId="1E75443E">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vAlign w:val="center"/>
          </w:tcPr>
          <w:p w14:paraId="13C7CA34">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72A4F1E6">
            <w:pPr>
              <w:spacing w:after="0" w:line="240" w:lineRule="auto"/>
              <w:jc w:val="center"/>
              <w:rPr>
                <w:rFonts w:hint="eastAsia" w:ascii="宋体" w:hAnsi="宋体" w:eastAsia="等线" w:cs="宋体"/>
                <w:color w:val="000000"/>
                <w:sz w:val="21"/>
                <w:szCs w:val="21"/>
                <w14:ligatures w14:val="none"/>
              </w:rPr>
            </w:pPr>
          </w:p>
        </w:tc>
      </w:tr>
      <w:tr w14:paraId="21FEC6B4">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1B6CE71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4</w:t>
            </w:r>
          </w:p>
        </w:tc>
        <w:tc>
          <w:tcPr>
            <w:tcW w:w="805" w:type="pct"/>
            <w:tcBorders>
              <w:top w:val="nil"/>
              <w:left w:val="nil"/>
              <w:bottom w:val="single" w:color="auto" w:sz="4" w:space="0"/>
              <w:right w:val="single" w:color="000000" w:sz="8" w:space="0"/>
            </w:tcBorders>
            <w:vAlign w:val="center"/>
          </w:tcPr>
          <w:p w14:paraId="3BEA5CE2">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伺服、电气控制系统</w:t>
            </w:r>
          </w:p>
        </w:tc>
        <w:tc>
          <w:tcPr>
            <w:tcW w:w="696" w:type="pct"/>
            <w:tcBorders>
              <w:top w:val="nil"/>
              <w:left w:val="nil"/>
              <w:bottom w:val="single" w:color="auto" w:sz="4" w:space="0"/>
              <w:right w:val="single" w:color="000000" w:sz="8" w:space="0"/>
            </w:tcBorders>
          </w:tcPr>
          <w:p w14:paraId="28FA29C9">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nil"/>
              <w:left w:val="nil"/>
              <w:bottom w:val="single" w:color="auto" w:sz="4" w:space="0"/>
              <w:right w:val="single" w:color="000000" w:sz="8" w:space="0"/>
            </w:tcBorders>
          </w:tcPr>
          <w:p w14:paraId="2021DC2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nil"/>
              <w:left w:val="nil"/>
              <w:bottom w:val="single" w:color="auto" w:sz="4" w:space="0"/>
              <w:right w:val="single" w:color="000000" w:sz="8" w:space="0"/>
            </w:tcBorders>
            <w:vAlign w:val="center"/>
          </w:tcPr>
          <w:p w14:paraId="4E06F591">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tcPr>
          <w:p w14:paraId="7C07A71F">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tcPr>
          <w:p w14:paraId="4CA33C3C">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2D4A99E6">
            <w:pPr>
              <w:spacing w:after="0" w:line="240" w:lineRule="auto"/>
              <w:jc w:val="center"/>
              <w:rPr>
                <w:rFonts w:hint="eastAsia" w:ascii="宋体" w:hAnsi="宋体" w:eastAsia="等线" w:cs="宋体"/>
                <w:color w:val="000000"/>
                <w:sz w:val="21"/>
                <w:szCs w:val="21"/>
                <w14:ligatures w14:val="none"/>
              </w:rPr>
            </w:pPr>
          </w:p>
        </w:tc>
      </w:tr>
      <w:tr w14:paraId="12953F19">
        <w:tblPrEx>
          <w:tblCellMar>
            <w:top w:w="0" w:type="dxa"/>
            <w:left w:w="51" w:type="dxa"/>
            <w:bottom w:w="0" w:type="dxa"/>
            <w:right w:w="51" w:type="dxa"/>
          </w:tblCellMar>
        </w:tblPrEx>
        <w:trPr>
          <w:trHeight w:val="540" w:hRule="atLeast"/>
        </w:trPr>
        <w:tc>
          <w:tcPr>
            <w:tcW w:w="302" w:type="pct"/>
            <w:tcBorders>
              <w:top w:val="single" w:color="auto" w:sz="4" w:space="0"/>
              <w:left w:val="single" w:color="auto" w:sz="4" w:space="0"/>
              <w:bottom w:val="single" w:color="auto" w:sz="4" w:space="0"/>
              <w:right w:val="single" w:color="auto" w:sz="4" w:space="0"/>
            </w:tcBorders>
            <w:vAlign w:val="center"/>
          </w:tcPr>
          <w:p w14:paraId="46199911">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5</w:t>
            </w:r>
          </w:p>
        </w:tc>
        <w:tc>
          <w:tcPr>
            <w:tcW w:w="805" w:type="pct"/>
            <w:tcBorders>
              <w:top w:val="single" w:color="auto" w:sz="4" w:space="0"/>
              <w:left w:val="single" w:color="auto" w:sz="4" w:space="0"/>
              <w:bottom w:val="single" w:color="auto" w:sz="4" w:space="0"/>
              <w:right w:val="single" w:color="auto" w:sz="4" w:space="0"/>
            </w:tcBorders>
            <w:vAlign w:val="center"/>
          </w:tcPr>
          <w:p w14:paraId="5F120B6C">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新增PLC程序及程序修改、集成调试</w:t>
            </w:r>
          </w:p>
        </w:tc>
        <w:tc>
          <w:tcPr>
            <w:tcW w:w="696" w:type="pct"/>
            <w:tcBorders>
              <w:top w:val="single" w:color="auto" w:sz="4" w:space="0"/>
              <w:left w:val="single" w:color="auto" w:sz="4" w:space="0"/>
              <w:bottom w:val="single" w:color="auto" w:sz="4" w:space="0"/>
              <w:right w:val="single" w:color="auto" w:sz="4" w:space="0"/>
            </w:tcBorders>
          </w:tcPr>
          <w:p w14:paraId="524D1DCD">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single" w:color="auto" w:sz="4" w:space="0"/>
              <w:left w:val="single" w:color="auto" w:sz="4" w:space="0"/>
              <w:bottom w:val="single" w:color="auto" w:sz="4" w:space="0"/>
              <w:right w:val="single" w:color="auto" w:sz="4" w:space="0"/>
            </w:tcBorders>
          </w:tcPr>
          <w:p w14:paraId="737D2D11">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single" w:color="auto" w:sz="4" w:space="0"/>
              <w:left w:val="single" w:color="auto" w:sz="4" w:space="0"/>
              <w:bottom w:val="single" w:color="auto" w:sz="4" w:space="0"/>
              <w:right w:val="single" w:color="auto" w:sz="4" w:space="0"/>
            </w:tcBorders>
            <w:vAlign w:val="center"/>
          </w:tcPr>
          <w:p w14:paraId="2436DF16">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single" w:color="auto" w:sz="4" w:space="0"/>
              <w:left w:val="single" w:color="auto" w:sz="4" w:space="0"/>
              <w:bottom w:val="single" w:color="auto" w:sz="4" w:space="0"/>
              <w:right w:val="single" w:color="auto" w:sz="4" w:space="0"/>
            </w:tcBorders>
          </w:tcPr>
          <w:p w14:paraId="681916D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single" w:color="auto" w:sz="4" w:space="0"/>
              <w:left w:val="single" w:color="auto" w:sz="4" w:space="0"/>
              <w:bottom w:val="single" w:color="auto" w:sz="4" w:space="0"/>
              <w:right w:val="single" w:color="auto" w:sz="4" w:space="0"/>
            </w:tcBorders>
          </w:tcPr>
          <w:p w14:paraId="258E6417">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single" w:color="auto" w:sz="4" w:space="0"/>
              <w:left w:val="single" w:color="auto" w:sz="4" w:space="0"/>
              <w:bottom w:val="single" w:color="auto" w:sz="4" w:space="0"/>
              <w:right w:val="single" w:color="auto" w:sz="4" w:space="0"/>
            </w:tcBorders>
            <w:vAlign w:val="center"/>
          </w:tcPr>
          <w:p w14:paraId="62A2975A">
            <w:pPr>
              <w:spacing w:after="0" w:line="240" w:lineRule="auto"/>
              <w:jc w:val="center"/>
              <w:rPr>
                <w:rFonts w:hint="eastAsia" w:ascii="宋体" w:hAnsi="宋体" w:eastAsia="等线" w:cs="宋体"/>
                <w:color w:val="000000"/>
                <w:sz w:val="21"/>
                <w:szCs w:val="21"/>
                <w14:ligatures w14:val="none"/>
              </w:rPr>
            </w:pPr>
          </w:p>
        </w:tc>
      </w:tr>
      <w:tr w14:paraId="4C0DAAE6">
        <w:tblPrEx>
          <w:tblCellMar>
            <w:top w:w="0" w:type="dxa"/>
            <w:left w:w="51" w:type="dxa"/>
            <w:bottom w:w="0" w:type="dxa"/>
            <w:right w:w="51" w:type="dxa"/>
          </w:tblCellMar>
        </w:tblPrEx>
        <w:trPr>
          <w:trHeight w:val="540" w:hRule="atLeast"/>
        </w:trPr>
        <w:tc>
          <w:tcPr>
            <w:tcW w:w="302" w:type="pct"/>
            <w:tcBorders>
              <w:top w:val="single" w:color="auto" w:sz="4" w:space="0"/>
              <w:left w:val="single" w:color="auto" w:sz="4" w:space="0"/>
              <w:bottom w:val="single" w:color="auto" w:sz="4" w:space="0"/>
              <w:right w:val="single" w:color="auto" w:sz="4" w:space="0"/>
            </w:tcBorders>
            <w:vAlign w:val="center"/>
          </w:tcPr>
          <w:p w14:paraId="02A26F0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6</w:t>
            </w:r>
          </w:p>
        </w:tc>
        <w:tc>
          <w:tcPr>
            <w:tcW w:w="805" w:type="pct"/>
            <w:tcBorders>
              <w:top w:val="single" w:color="auto" w:sz="4" w:space="0"/>
              <w:left w:val="single" w:color="auto" w:sz="4" w:space="0"/>
              <w:bottom w:val="single" w:color="auto" w:sz="4" w:space="0"/>
              <w:right w:val="single" w:color="auto" w:sz="4" w:space="0"/>
            </w:tcBorders>
            <w:vAlign w:val="center"/>
          </w:tcPr>
          <w:p w14:paraId="2C8A74A7">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液压气动部分升级</w:t>
            </w:r>
          </w:p>
        </w:tc>
        <w:tc>
          <w:tcPr>
            <w:tcW w:w="696" w:type="pct"/>
            <w:tcBorders>
              <w:top w:val="single" w:color="auto" w:sz="4" w:space="0"/>
              <w:left w:val="single" w:color="auto" w:sz="4" w:space="0"/>
              <w:bottom w:val="single" w:color="auto" w:sz="4" w:space="0"/>
              <w:right w:val="single" w:color="auto" w:sz="4" w:space="0"/>
            </w:tcBorders>
          </w:tcPr>
          <w:p w14:paraId="56A9EFFA">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single" w:color="auto" w:sz="4" w:space="0"/>
              <w:left w:val="single" w:color="auto" w:sz="4" w:space="0"/>
              <w:bottom w:val="single" w:color="auto" w:sz="4" w:space="0"/>
              <w:right w:val="single" w:color="auto" w:sz="4" w:space="0"/>
            </w:tcBorders>
          </w:tcPr>
          <w:p w14:paraId="50683B56">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single" w:color="auto" w:sz="4" w:space="0"/>
              <w:left w:val="single" w:color="auto" w:sz="4" w:space="0"/>
              <w:bottom w:val="single" w:color="auto" w:sz="4" w:space="0"/>
              <w:right w:val="single" w:color="auto" w:sz="4" w:space="0"/>
            </w:tcBorders>
            <w:vAlign w:val="center"/>
          </w:tcPr>
          <w:p w14:paraId="49B9333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single" w:color="auto" w:sz="4" w:space="0"/>
              <w:left w:val="single" w:color="auto" w:sz="4" w:space="0"/>
              <w:bottom w:val="single" w:color="auto" w:sz="4" w:space="0"/>
              <w:right w:val="single" w:color="auto" w:sz="4" w:space="0"/>
            </w:tcBorders>
          </w:tcPr>
          <w:p w14:paraId="60EE070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single" w:color="auto" w:sz="4" w:space="0"/>
              <w:left w:val="single" w:color="auto" w:sz="4" w:space="0"/>
              <w:bottom w:val="single" w:color="auto" w:sz="4" w:space="0"/>
              <w:right w:val="single" w:color="auto" w:sz="4" w:space="0"/>
            </w:tcBorders>
          </w:tcPr>
          <w:p w14:paraId="268FF5F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single" w:color="auto" w:sz="4" w:space="0"/>
              <w:left w:val="single" w:color="auto" w:sz="4" w:space="0"/>
              <w:bottom w:val="single" w:color="auto" w:sz="4" w:space="0"/>
              <w:right w:val="single" w:color="auto" w:sz="4" w:space="0"/>
            </w:tcBorders>
            <w:vAlign w:val="center"/>
          </w:tcPr>
          <w:p w14:paraId="7BDC4345">
            <w:pPr>
              <w:spacing w:after="0" w:line="240" w:lineRule="auto"/>
              <w:jc w:val="center"/>
              <w:rPr>
                <w:rFonts w:hint="eastAsia" w:ascii="宋体" w:hAnsi="宋体" w:eastAsia="等线" w:cs="宋体"/>
                <w:color w:val="000000"/>
                <w:sz w:val="21"/>
                <w:szCs w:val="21"/>
                <w14:ligatures w14:val="none"/>
              </w:rPr>
            </w:pPr>
          </w:p>
        </w:tc>
      </w:tr>
    </w:tbl>
    <w:p w14:paraId="436204B5">
      <w:pPr>
        <w:spacing w:after="0" w:line="360" w:lineRule="auto"/>
        <w:ind w:firstLine="241" w:firstLineChars="100"/>
        <w:jc w:val="both"/>
        <w:rPr>
          <w:rFonts w:hint="eastAsia" w:ascii="宋体" w:hAnsi="宋体" w:eastAsia="宋体" w:cs="宋体"/>
          <w:b/>
          <w:sz w:val="24"/>
          <w14:ligatures w14:val="none"/>
        </w:rPr>
      </w:pPr>
      <w:r>
        <w:rPr>
          <w:rFonts w:hint="eastAsia" w:ascii="宋体" w:hAnsi="宋体" w:eastAsia="宋体" w:cs="宋体"/>
          <w:b/>
          <w:bCs/>
          <w:sz w:val="24"/>
          <w14:ligatures w14:val="none"/>
        </w:rPr>
        <w:t>（一）</w:t>
      </w:r>
      <w:r>
        <w:rPr>
          <w:rFonts w:hint="eastAsia" w:ascii="宋体" w:hAnsi="宋体" w:eastAsia="宋体" w:cs="宋体"/>
          <w:b/>
          <w:sz w:val="24"/>
          <w14:ligatures w14:val="none"/>
        </w:rPr>
        <w:t>一般界定</w:t>
      </w:r>
    </w:p>
    <w:p w14:paraId="225B74B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1.包括本技术标书所列明的主要货物以及货物正常运行所必需的全套连线设备、材料等。</w:t>
      </w:r>
    </w:p>
    <w:p w14:paraId="2999459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2.包括为保证货物正常安装、调试和验收完成及以前所必需的整套配件、附件及材料等。</w:t>
      </w:r>
    </w:p>
    <w:p w14:paraId="78101CD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如果终验收完成后，投标人有需要收回的配件、附件、材料、油料等，应当在投标文件的技术偏离条款中，予以详细说明；否则视同包括在供货范围之内。</w:t>
      </w:r>
    </w:p>
    <w:p w14:paraId="1D2EE2D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3.包括货物维护维修所必需的专用工具。</w:t>
      </w:r>
    </w:p>
    <w:p w14:paraId="2AC0DBE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3C1BEB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包括为保证货物自身正常运行所必需的、满足使用地点环境条件的通风、冷却、降温等必需设施。</w:t>
      </w:r>
    </w:p>
    <w:p w14:paraId="7ABDF4A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如投标人难以提供或无优势提供以及属于选用配置的，则应当在投标文件的技术偏离条款中，予以详细说明并注明投标报价未包含该部分的货值。</w:t>
      </w:r>
    </w:p>
    <w:p w14:paraId="645F8EC5">
      <w:pPr>
        <w:spacing w:after="0" w:line="360" w:lineRule="auto"/>
        <w:ind w:firstLine="482" w:firstLineChars="200"/>
        <w:jc w:val="both"/>
        <w:rPr>
          <w:rFonts w:hint="eastAsia" w:ascii="宋体" w:hAnsi="宋体" w:eastAsia="宋体" w:cs="宋体"/>
          <w:b/>
          <w:sz w:val="24"/>
          <w14:ligatures w14:val="none"/>
        </w:rPr>
      </w:pPr>
      <w:r>
        <w:rPr>
          <w:rFonts w:hint="eastAsia" w:ascii="宋体" w:hAnsi="宋体" w:eastAsia="宋体" w:cs="宋体"/>
          <w:b/>
          <w:sz w:val="24"/>
          <w14:ligatures w14:val="none"/>
        </w:rPr>
        <w:t>（二）供货范围边界界定</w:t>
      </w:r>
    </w:p>
    <w:p w14:paraId="40F50F2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1.买方提供货物所需的建筑物（如厂房等）和构筑物（如混凝土池、砼基础等），包含正常安装施工所需的预埋件（如穿管、预埋螺栓、螺母及垫片）。</w:t>
      </w:r>
    </w:p>
    <w:p w14:paraId="14543BF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7E8D4DE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如果投标人认为能源系统接口地点以及操控地点之间的货物数量不清或难以界定，应当以书面方式询标或以单价方式报价；否则视同满足招标人要求。</w:t>
      </w:r>
    </w:p>
    <w:p w14:paraId="0DF30C63">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402EE78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w:t>
      </w:r>
      <w:r>
        <w:rPr>
          <w:rFonts w:hint="eastAsia" w:ascii="宋体" w:hAnsi="宋体" w:eastAsia="宋体" w:cs="宋体"/>
          <w:color w:val="000000"/>
          <w:sz w:val="24"/>
          <w14:ligatures w14:val="none"/>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14:ligatures w14:val="none"/>
        </w:rPr>
        <w:t>。</w:t>
      </w:r>
    </w:p>
    <w:p w14:paraId="62756E1A">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二、备品备件、易损件和专用耗材供货范围</w:t>
      </w:r>
    </w:p>
    <w:p w14:paraId="4E0DB48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1.备品备件、易损件和专用耗材是招标人为保证货物质保期之后正常运行一年所自备自用的备品备件、易损件和专用耗材。</w:t>
      </w:r>
    </w:p>
    <w:p w14:paraId="7ED3C47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质保期之内正常需要的备品备件、易损件和专用耗材全部包括在供货范围之内而不属于本条款界定的范围（应有明细）。</w:t>
      </w:r>
    </w:p>
    <w:p w14:paraId="1D25A54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2.供货范围包括易损件和专用耗材的制造图纸及其技术要求等资料，如涉及专有技术或无法提供，应在投标文件中予以澄清或说明。</w:t>
      </w:r>
    </w:p>
    <w:p w14:paraId="4842AC13">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三、技术资料供货范围</w:t>
      </w:r>
    </w:p>
    <w:p w14:paraId="40D0247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技术资料供货范围包括：</w:t>
      </w:r>
    </w:p>
    <w:p w14:paraId="0C14326B">
      <w:pPr>
        <w:spacing w:after="0" w:line="360" w:lineRule="auto"/>
        <w:ind w:firstLine="480" w:firstLineChars="200"/>
        <w:jc w:val="both"/>
        <w:rPr>
          <w:rFonts w:hint="eastAsia" w:ascii="宋体" w:hAnsi="宋体" w:eastAsia="宋体" w:cs="宋体"/>
          <w:bCs/>
          <w:sz w:val="24"/>
          <w14:ligatures w14:val="none"/>
        </w:rPr>
      </w:pPr>
      <w:r>
        <w:rPr>
          <w:rFonts w:hint="eastAsia" w:ascii="宋体" w:hAnsi="宋体" w:eastAsia="宋体" w:cs="宋体"/>
          <w:sz w:val="24"/>
          <w14:ligatures w14:val="none"/>
        </w:rPr>
        <w:t>1.在</w:t>
      </w:r>
      <w:r>
        <w:rPr>
          <w:rFonts w:hint="eastAsia" w:ascii="宋体" w:hAnsi="宋体" w:eastAsia="宋体" w:cs="宋体"/>
          <w:bCs/>
          <w:sz w:val="24"/>
          <w14:ligatures w14:val="none"/>
        </w:rPr>
        <w:t>合同签订后</w:t>
      </w:r>
      <w:r>
        <w:rPr>
          <w:rFonts w:hint="eastAsia" w:ascii="宋体" w:hAnsi="宋体" w:eastAsia="宋体" w:cs="宋体"/>
          <w:bCs/>
          <w:sz w:val="24"/>
          <w:u w:val="single"/>
          <w:shd w:val="pct10" w:color="auto" w:fill="FFFFFF"/>
          <w14:ligatures w14:val="none"/>
        </w:rPr>
        <w:t>10</w:t>
      </w:r>
      <w:r>
        <w:rPr>
          <w:rFonts w:hint="eastAsia" w:ascii="宋体" w:hAnsi="宋体" w:eastAsia="宋体" w:cs="宋体"/>
          <w:bCs/>
          <w:sz w:val="24"/>
          <w14:ligatures w14:val="none"/>
        </w:rPr>
        <w:t>个日历日内，提供货物基础及相关的设计、制作所需的纸质及电子版资料；电子版文件应当能够使用常用版本软件可以阅读甚至使用，进口货物、设备应有中外文对照。</w:t>
      </w:r>
    </w:p>
    <w:p w14:paraId="7DDEDB0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2.在终验收前，提供为保证货物后续正常运行所需的工装、吊（挂）具明细及其图纸、具体技术要求等资料（如果供货范围包含该部分实物）。</w:t>
      </w:r>
    </w:p>
    <w:p w14:paraId="6985A98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3.在终验收前，提供确定的维修所需要且买方可以自行采购的外购件、外协件、电气元件及主要原材料的供货厂家明细表。</w:t>
      </w:r>
    </w:p>
    <w:p w14:paraId="47C5A85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4.在终验收后的第一笔货款支付日之前，提供包括货物的备品备件、易损件和专用耗材的图纸及技术参数、技术要求等资料。</w:t>
      </w:r>
    </w:p>
    <w:p w14:paraId="04D7D49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7038D8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E596AB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7.本条款所列要求，如招标人认为投标人提供的资料不能满足要求时，有权要求投标人免费补充或增加。</w:t>
      </w:r>
    </w:p>
    <w:p w14:paraId="176056FC">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四、供货范围特别提示</w:t>
      </w:r>
    </w:p>
    <w:p w14:paraId="65F5CD3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如果投标人认为本节所列的供货范围难以满足，则仍需要按照本要求提供，但该部分货物应当在投标报价中单独列明货物名称及品质、货值。</w:t>
      </w:r>
      <w:bookmarkStart w:id="63" w:name="_Toc169605883"/>
    </w:p>
    <w:p w14:paraId="21CEEF15">
      <w:pPr>
        <w:spacing w:after="0" w:line="360" w:lineRule="auto"/>
        <w:jc w:val="both"/>
        <w:rPr>
          <w:rFonts w:ascii="宋体" w:hAnsi="Courier New" w:eastAsia="等线" w:cs="Times New Roman"/>
          <w:sz w:val="21"/>
          <w:szCs w:val="22"/>
          <w14:ligatures w14:val="none"/>
        </w:rPr>
      </w:pPr>
    </w:p>
    <w:p w14:paraId="1AB6B746">
      <w:pPr>
        <w:keepNext/>
        <w:keepLines/>
        <w:spacing w:after="0" w:line="360" w:lineRule="auto"/>
        <w:jc w:val="center"/>
        <w:outlineLvl w:val="2"/>
        <w:rPr>
          <w:rFonts w:hint="eastAsia" w:ascii="宋体" w:hAnsi="宋体" w:eastAsia="宋体" w:cs="宋体"/>
          <w:b/>
          <w:bCs/>
          <w:sz w:val="24"/>
          <w:szCs w:val="32"/>
          <w14:ligatures w14:val="none"/>
        </w:rPr>
      </w:pPr>
      <w:r>
        <w:rPr>
          <w:rFonts w:hint="eastAsia" w:ascii="宋体" w:hAnsi="宋体" w:eastAsia="宋体" w:cs="宋体"/>
          <w:b/>
          <w:bCs/>
          <w:sz w:val="24"/>
          <w:szCs w:val="32"/>
          <w14:ligatures w14:val="none"/>
        </w:rPr>
        <w:t>第二节  供货方式</w:t>
      </w:r>
      <w:bookmarkEnd w:id="63"/>
    </w:p>
    <w:p w14:paraId="6EA1A635">
      <w:pPr>
        <w:spacing w:after="0" w:line="360" w:lineRule="auto"/>
        <w:ind w:firstLine="482" w:firstLineChars="200"/>
        <w:jc w:val="both"/>
        <w:outlineLvl w:val="3"/>
        <w:rPr>
          <w:rFonts w:hint="eastAsia" w:ascii="宋体" w:hAnsi="宋体" w:eastAsia="宋体" w:cs="宋体"/>
          <w:sz w:val="24"/>
          <w14:ligatures w14:val="none"/>
        </w:rPr>
      </w:pPr>
      <w:r>
        <w:rPr>
          <w:rFonts w:hint="eastAsia" w:ascii="宋体" w:hAnsi="宋体" w:eastAsia="宋体" w:cs="宋体"/>
          <w:b/>
          <w:sz w:val="24"/>
          <w14:ligatures w14:val="none"/>
        </w:rPr>
        <w:t>一、供货方式</w:t>
      </w:r>
    </w:p>
    <w:p w14:paraId="4A723EC8">
      <w:pPr>
        <w:spacing w:after="0" w:line="360" w:lineRule="auto"/>
        <w:ind w:firstLine="480" w:firstLineChars="200"/>
        <w:jc w:val="both"/>
        <w:rPr>
          <w:rFonts w:hint="eastAsia" w:ascii="宋体" w:hAnsi="宋体" w:eastAsia="宋体" w:cs="宋体"/>
          <w:b/>
          <w:i/>
          <w:sz w:val="24"/>
          <w14:ligatures w14:val="none"/>
        </w:rPr>
      </w:pPr>
      <w:r>
        <w:rPr>
          <w:rFonts w:hint="eastAsia" w:ascii="宋体" w:hAnsi="宋体" w:eastAsia="宋体" w:cs="宋体"/>
          <w:sz w:val="24"/>
          <w14:ligatures w14:val="none"/>
        </w:rPr>
        <w:t>完全交钥匙方式，即本次招标货物至少包括以下货物及服务：至交货地点的运输（含定点装卸）、安装、调试、买方安装地竣工验收服务、货物移交、约定培训等全流程范围。</w:t>
      </w:r>
    </w:p>
    <w:p w14:paraId="1BDF5E7E">
      <w:pPr>
        <w:spacing w:after="0" w:line="360" w:lineRule="auto"/>
        <w:jc w:val="both"/>
        <w:outlineLvl w:val="3"/>
        <w:rPr>
          <w:rFonts w:hint="eastAsia" w:ascii="宋体" w:hAnsi="宋体" w:eastAsia="宋体" w:cs="宋体"/>
          <w:sz w:val="24"/>
          <w:u w:val="single"/>
          <w14:ligatures w14:val="none"/>
        </w:rPr>
      </w:pPr>
      <w:r>
        <w:rPr>
          <w:rFonts w:hint="eastAsia" w:ascii="宋体" w:hAnsi="宋体" w:eastAsia="宋体" w:cs="宋体"/>
          <w:b/>
          <w:bCs/>
          <w:sz w:val="24"/>
          <w14:ligatures w14:val="none"/>
        </w:rPr>
        <w:t>二、供货地点：</w:t>
      </w:r>
      <w:r>
        <w:rPr>
          <w:rFonts w:hint="eastAsia" w:ascii="宋体" w:hAnsi="宋体" w:eastAsia="宋体" w:cs="宋体"/>
          <w:color w:val="000000"/>
          <w:sz w:val="24"/>
          <w:u w:val="single"/>
          <w14:ligatures w14:val="none"/>
        </w:rPr>
        <w:t>章丘区世纪大道7777号重汽工业园</w:t>
      </w:r>
    </w:p>
    <w:p w14:paraId="6338C776">
      <w:pPr>
        <w:spacing w:after="0" w:line="360" w:lineRule="auto"/>
        <w:ind w:firstLine="482" w:firstLineChars="200"/>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三、供货时间</w:t>
      </w:r>
    </w:p>
    <w:p w14:paraId="1448E2D8">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1.自中标通知发出之日起</w:t>
      </w:r>
      <w:r>
        <w:rPr>
          <w:rFonts w:ascii="宋体" w:hAnsi="宋体" w:eastAsia="宋体" w:cs="宋体"/>
          <w:sz w:val="24"/>
          <w14:ligatures w14:val="none"/>
        </w:rPr>
        <w:t>150个</w:t>
      </w:r>
      <w:r>
        <w:rPr>
          <w:rFonts w:hint="eastAsia" w:ascii="宋体" w:hAnsi="宋体" w:eastAsia="宋体" w:cs="宋体"/>
          <w:sz w:val="24"/>
          <w14:ligatures w14:val="none"/>
        </w:rPr>
        <w:t>日历日</w:t>
      </w:r>
      <w:r>
        <w:rPr>
          <w:rFonts w:ascii="宋体" w:hAnsi="宋体" w:eastAsia="宋体" w:cs="宋体"/>
          <w:sz w:val="24"/>
          <w14:ligatures w14:val="none"/>
        </w:rPr>
        <w:t>内，中标人须交付设备到招标人指定的安装和使用的现场，并保证整套测试系统正常进入试运行状态。</w:t>
      </w:r>
    </w:p>
    <w:p w14:paraId="4B333E4D">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2.接续</w:t>
      </w:r>
      <w:r>
        <w:rPr>
          <w:rFonts w:ascii="宋体" w:hAnsi="宋体" w:eastAsia="宋体" w:cs="宋体"/>
          <w:sz w:val="24"/>
          <w14:ligatures w14:val="none"/>
        </w:rPr>
        <w:t>20</w:t>
      </w:r>
      <w:r>
        <w:rPr>
          <w:rFonts w:hint="eastAsia" w:ascii="宋体" w:hAnsi="宋体" w:eastAsia="宋体" w:cs="宋体"/>
          <w:sz w:val="24"/>
          <w14:ligatures w14:val="none"/>
        </w:rPr>
        <w:t>个日历日之内安装调试完毕。</w:t>
      </w:r>
    </w:p>
    <w:p w14:paraId="07E9F4E8">
      <w:pPr>
        <w:spacing w:after="0" w:line="360" w:lineRule="auto"/>
        <w:ind w:firstLine="480" w:firstLineChars="200"/>
        <w:rPr>
          <w:rFonts w:hint="eastAsia" w:ascii="等线" w:hAnsi="宋体" w:eastAsia="宋体" w:cs="宋体"/>
          <w:color w:val="000000"/>
          <w:sz w:val="24"/>
          <w14:ligatures w14:val="none"/>
        </w:rPr>
      </w:pPr>
      <w:r>
        <w:rPr>
          <w:rFonts w:hint="eastAsia" w:ascii="等线" w:hAnsi="宋体" w:eastAsia="宋体" w:cs="宋体"/>
          <w:color w:val="000000"/>
          <w:sz w:val="24"/>
          <w14:ligatures w14:val="none"/>
        </w:rPr>
        <w:t>安装调试工期超过</w:t>
      </w:r>
      <w:r>
        <w:rPr>
          <w:rFonts w:hint="eastAsia" w:ascii="宋体" w:hAnsi="宋体" w:eastAsia="宋体" w:cs="宋体"/>
          <w:sz w:val="24"/>
          <w14:ligatures w14:val="none"/>
        </w:rPr>
        <w:t>规定时间</w:t>
      </w:r>
      <w:r>
        <w:rPr>
          <w:rFonts w:hint="eastAsia" w:ascii="等线" w:hAnsi="宋体" w:eastAsia="宋体" w:cs="宋体"/>
          <w:color w:val="000000"/>
          <w:sz w:val="24"/>
          <w14:ligatures w14:val="none"/>
        </w:rPr>
        <w:t>的，投标人应当随标书提供详细的工期计划。</w:t>
      </w:r>
    </w:p>
    <w:p w14:paraId="35650F18">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四、包装</w:t>
      </w:r>
    </w:p>
    <w:p w14:paraId="0100E902">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1.所提供货物（或设备）的包装，应遵照国家标准和有关包装、包皮的技术条件，或按照最好的商业惯例进行包装。</w:t>
      </w:r>
    </w:p>
    <w:p w14:paraId="1AF7AAAD">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2.包装应能满足所需要采取的运输方式（船运、汽运或铁路运输）、多次吊装卸装、卸货以及长期露天堆放要求，应能防止雨淋、受潮、生锈、腐蚀、受振、受磁以及机械和化学因素等引起的损坏。</w:t>
      </w:r>
    </w:p>
    <w:p w14:paraId="2A5B6420">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3.所提供货物（或设备）的包装，应能防止其一般性被窃或受外力破坏；一般不得采用有大缝隙的板条包装。</w:t>
      </w:r>
    </w:p>
    <w:p w14:paraId="0F1CE43A">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4.应对包装件做必要的加固和固定，以防止运输可能造成的损坏。</w:t>
      </w:r>
    </w:p>
    <w:p w14:paraId="626C3090">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5.每个包装件应有装箱单，并至少标明名称、型号规格、数量、净重和毛重、投标人（或供货商）名称和制造日期等相关内容。</w:t>
      </w:r>
    </w:p>
    <w:p w14:paraId="6B90024D">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6.每个包装箱应有明显标志，并具有中文书写的合同号、装运标志、发货和到货地点名称、发货人和收货人名称、货物名称和项目号、箱号和外型尺寸等内容。</w:t>
      </w:r>
    </w:p>
    <w:p w14:paraId="0EB54168">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7.应按照不同的装运要求在包装箱上标明“小心轻放”、“箭头向上”、“防潮”、“防磁”、“不准平放”等标志，以及其它适用的国标通用标志。</w:t>
      </w:r>
    </w:p>
    <w:p w14:paraId="5A9AE8F4">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8.包装箱应连续编号，不应出现重复编号。</w:t>
      </w:r>
    </w:p>
    <w:p w14:paraId="03E7BEFF">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9.在不受到外界破坏情况下，包装应保证自交货日起一年内货物（或设备）完好无损。</w:t>
      </w:r>
    </w:p>
    <w:p w14:paraId="6C96F4C1">
      <w:pPr>
        <w:adjustRightInd w:val="0"/>
        <w:snapToGrid w:val="0"/>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五、运输</w:t>
      </w:r>
    </w:p>
    <w:p w14:paraId="76389230">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1.应负责将货物（或设备）运到目的地，并必须做到货物（或设备）在任何运输过程中不受损坏和遗失。</w:t>
      </w:r>
    </w:p>
    <w:p w14:paraId="734D21DD">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2.同批货物（或设备）应统一包装、编号运输。</w:t>
      </w:r>
    </w:p>
    <w:p w14:paraId="711900CF">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3.一般情况下，经由铁路、公路运输的包装件尺寸和重量不应超过国家所规定的尺寸限制，特殊情况应予以说明。</w:t>
      </w:r>
    </w:p>
    <w:p w14:paraId="67410A32">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4.在每批货物（或设备）发出后，应立即通知买方；通知中应指明：合同号、货运单号、件数、重量和货物（或设备）发出日期等相关内容。</w:t>
      </w:r>
    </w:p>
    <w:p w14:paraId="2FEA457B">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5.货物（或设备）运抵交货地点后，应负责货物（或设备）的卸货、搬运、保管等事宜，或按照合同约定。</w:t>
      </w:r>
    </w:p>
    <w:p w14:paraId="4978509B">
      <w:pPr>
        <w:keepNext/>
        <w:keepLines/>
        <w:spacing w:after="0" w:line="360" w:lineRule="auto"/>
        <w:jc w:val="both"/>
        <w:outlineLvl w:val="1"/>
        <w:rPr>
          <w:rFonts w:ascii="Arial" w:hAnsi="Arial" w:eastAsia="宋体" w:cs="Times New Roman"/>
          <w:b/>
          <w:bCs/>
          <w:sz w:val="24"/>
          <w:szCs w:val="32"/>
          <w14:ligatures w14:val="none"/>
        </w:rPr>
      </w:pPr>
    </w:p>
    <w:p w14:paraId="27B92ABE">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第四章  质保期及售后服务</w:t>
      </w:r>
    </w:p>
    <w:p w14:paraId="05A98C1A">
      <w:pPr>
        <w:keepNext/>
        <w:keepLines/>
        <w:spacing w:after="0" w:line="360" w:lineRule="auto"/>
        <w:ind w:firstLine="482" w:firstLineChars="200"/>
        <w:jc w:val="both"/>
        <w:outlineLvl w:val="2"/>
        <w:rPr>
          <w:rFonts w:ascii="Times New Roman" w:hAnsi="Times New Roman" w:eastAsia="宋体" w:cs="Times New Roman"/>
          <w:b/>
          <w:bCs/>
          <w:color w:val="000000"/>
          <w:sz w:val="24"/>
          <w14:ligatures w14:val="none"/>
        </w:rPr>
      </w:pPr>
      <w:r>
        <w:rPr>
          <w:rFonts w:hint="eastAsia" w:ascii="Times New Roman" w:hAnsi="Times New Roman" w:eastAsia="宋体" w:cs="Times New Roman"/>
          <w:b/>
          <w:bCs/>
          <w:color w:val="000000"/>
          <w:sz w:val="24"/>
          <w14:ligatures w14:val="none"/>
        </w:rPr>
        <w:t>一、质保期及质保要求</w:t>
      </w:r>
    </w:p>
    <w:p w14:paraId="54706316">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1</w:t>
      </w:r>
      <w:r>
        <w:rPr>
          <w:rFonts w:hint="eastAsia" w:ascii="宋体" w:hAnsi="宋体" w:eastAsia="宋体" w:cs="宋体"/>
          <w:sz w:val="24"/>
          <w14:ligatures w14:val="none"/>
        </w:rPr>
        <w:t>.全部供货范围内的设备、材料、零配件和工器具等，除合同特别约定外，其质保期均自终验收签字生效之日起12个月。</w:t>
      </w:r>
    </w:p>
    <w:p w14:paraId="7696322F">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投标货物或涉及的关键总成和零件，如果有更长时间质保期，允许更改并说明，此将有利于投标人。</w:t>
      </w:r>
    </w:p>
    <w:p w14:paraId="7B102431">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设计使用寿命短于质保期的易损件除外，但属于易损件的，应当有明确说明。</w:t>
      </w:r>
    </w:p>
    <w:p w14:paraId="35495407">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2</w:t>
      </w:r>
      <w:r>
        <w:rPr>
          <w:rFonts w:hint="eastAsia" w:ascii="宋体" w:hAnsi="宋体" w:eastAsia="宋体" w:cs="宋体"/>
          <w:sz w:val="24"/>
          <w14:ligatures w14:val="none"/>
        </w:rPr>
        <w:t>.质保期之内，如果货物出现设备、总成、关键零部件或者多处一般零部件的二次以上的更换或维修行为，则质保期自更换或维修行为结束、货物重新正常运行使用之日起重新计算。</w:t>
      </w:r>
    </w:p>
    <w:p w14:paraId="59295D7E">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3</w:t>
      </w:r>
      <w:r>
        <w:rPr>
          <w:rFonts w:hint="eastAsia" w:ascii="宋体" w:hAnsi="宋体" w:eastAsia="宋体" w:cs="宋体"/>
          <w:sz w:val="24"/>
          <w14:ligatures w14:val="none"/>
        </w:rPr>
        <w:t>.质保期内免费提供零部件和及时有效的服务。质保期内因货物本身缺陷造成的各种故障，卖方应负责免费维修和服务。</w:t>
      </w:r>
    </w:p>
    <w:p w14:paraId="22F49985">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4</w:t>
      </w:r>
      <w:r>
        <w:rPr>
          <w:rFonts w:hint="eastAsia" w:ascii="宋体" w:hAnsi="宋体" w:eastAsia="宋体" w:cs="宋体"/>
          <w:sz w:val="24"/>
          <w14:ligatures w14:val="none"/>
        </w:rPr>
        <w:t>.质保期终止之日起</w:t>
      </w:r>
      <w:r>
        <w:rPr>
          <w:rFonts w:hint="eastAsia" w:ascii="宋体" w:hAnsi="宋体" w:eastAsia="宋体" w:cs="宋体"/>
          <w:sz w:val="24"/>
          <w:u w:val="single"/>
          <w14:ligatures w14:val="none"/>
        </w:rPr>
        <w:t>一年内</w:t>
      </w:r>
      <w:r>
        <w:rPr>
          <w:rFonts w:hint="eastAsia" w:ascii="宋体" w:hAnsi="宋体" w:eastAsia="宋体" w:cs="宋体"/>
          <w:sz w:val="24"/>
          <w14:ligatures w14:val="none"/>
        </w:rPr>
        <w:t>重复出现的质保期之内出现的故障，仍属质保范围而且应当免费。</w:t>
      </w:r>
    </w:p>
    <w:p w14:paraId="1CB248A1">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二、技术及培训服务</w:t>
      </w:r>
    </w:p>
    <w:p w14:paraId="7E98FCA3">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1.应负责在买方货物使用现场，对技术、维修和操作人员提供免费的理论、技术和操作、维修等方面的技术指导和培训，并接受买方有关人员的技术咨询。培训工作日不少于</w:t>
      </w:r>
      <w:r>
        <w:rPr>
          <w:rFonts w:ascii="宋体" w:hAnsi="宋体" w:eastAsia="宋体" w:cs="宋体"/>
          <w:color w:val="000000"/>
          <w:sz w:val="24"/>
          <w14:ligatures w14:val="none"/>
        </w:rPr>
        <w:t>5</w:t>
      </w:r>
      <w:r>
        <w:rPr>
          <w:rFonts w:hint="eastAsia" w:ascii="宋体" w:hAnsi="宋体" w:eastAsia="宋体" w:cs="宋体"/>
          <w:color w:val="000000"/>
          <w:sz w:val="24"/>
          <w14:ligatures w14:val="none"/>
        </w:rPr>
        <w:t>个日历日。</w:t>
      </w:r>
    </w:p>
    <w:p w14:paraId="4E20E33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2.应免费提供一定数量的培训资料。</w:t>
      </w:r>
    </w:p>
    <w:p w14:paraId="5EBA75E6">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3.应按要求免费积极协助和提供买方以及买方所委托的工程设计单位有关人员所需要的、与货物有关的工程设计资料、技术咨询等。</w:t>
      </w:r>
    </w:p>
    <w:p w14:paraId="3249D11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4.若卖方提供货物涉及到外购外协货物、而且该货物的技术质量等较为关键时，卖方应能保证得到配套厂家的技术支持，并免费为买方提供技术服务。</w:t>
      </w:r>
    </w:p>
    <w:p w14:paraId="54E8609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1CD4708">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三、安装调试及验收服务</w:t>
      </w:r>
    </w:p>
    <w:p w14:paraId="6B2AEC2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8B168F4">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2.若卖方提供的货物涉及到外购外协货物、而且该货物的技术质量等较为关键时，应保证能得到供应商的技术支持，并免费为买方提供安装使用现场的指导与培训。</w:t>
      </w:r>
    </w:p>
    <w:p w14:paraId="7914570B">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C5C2B3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6F3D93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5.卖方应当向买方提供货物试验、验收的有关标准、规范和方法，同时提供货物涉及并使用的软件合法性证明。</w:t>
      </w:r>
    </w:p>
    <w:p w14:paraId="23E1F2B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6.服务缺陷视同货物缺陷和履约延期。</w:t>
      </w:r>
    </w:p>
    <w:p w14:paraId="2E2861F8">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四、售后服务</w:t>
      </w:r>
    </w:p>
    <w:p w14:paraId="5E432F9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1.卖方提供的货物涉及的所有售后服务均由卖方负责。如果发生问题并且收到通知，卖方应当在2小时内予以答复。</w:t>
      </w:r>
    </w:p>
    <w:p w14:paraId="5286E05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2.如发现所提供的货物存在问题，需要卖方解决或配合解决时：在质保期之内，应在接到通知后24小时内派有关人员到达现场；在质保期之外，应在接到通知后72小时内派有关人员到达现场。</w:t>
      </w:r>
    </w:p>
    <w:p w14:paraId="1B5A6EC9">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3.卖方派往买方使用现场的人员，应具有较高的业务素质；现场解决问题时，不得无故拖延或推迟，应为买方提供最佳的服务。</w:t>
      </w:r>
    </w:p>
    <w:p w14:paraId="7758D96D">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五、其它服务</w:t>
      </w:r>
    </w:p>
    <w:p w14:paraId="269A249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1.若卖方所提供货物有需要进口的，卖方一般应自行、自费办理；必要时，买卖双方共同办理。</w:t>
      </w:r>
    </w:p>
    <w:p w14:paraId="027A36E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2.除招标文件、投标文件、答疑文件、技术标书、合同等约定之外，卖方应免费负责必要的或强制性的货物的检验、试验、化验等直接费用。</w:t>
      </w:r>
    </w:p>
    <w:p w14:paraId="25982BE8">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3.本章节条款所列“免费”，并非指定不可收费，而是指招标文件、投标文件、答疑文件、技术交流文件、技术标书和合同等范围之外，投标人不可另行收取的费用。</w:t>
      </w:r>
    </w:p>
    <w:p w14:paraId="59D938C7">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p>
    <w:p w14:paraId="7D63FE6F">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第五章  终验收</w:t>
      </w:r>
    </w:p>
    <w:p w14:paraId="0024E7DB">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一、验收依据和验收标准</w:t>
      </w:r>
    </w:p>
    <w:p w14:paraId="22DF7608">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1.验收标准一般以技术协议书和合同规定验收。无论技术协议书和合同，是否全部并准确列明验收所涉及的相关标准，均作为验收标准之一。</w:t>
      </w:r>
    </w:p>
    <w:p w14:paraId="71BFD098">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2.如果验收过程中，发现招标文件、投标文件、答疑文件、技术交流文件等与技术标书、合同存在差异，原则上以涉及条款中对招标人最有利条款为验收依据。</w:t>
      </w:r>
    </w:p>
    <w:p w14:paraId="66B24E94">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二、检验</w:t>
      </w:r>
    </w:p>
    <w:p w14:paraId="617D6B3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如果采购货物涉及必要的或必需的检验，卖方应当在投标文件中明确可能涉及的检验费用，并将该费用包含在投标总报价之内；不作针对性澄清或说明的，视同包含在投标总价之内。基本约定如下：</w:t>
      </w:r>
    </w:p>
    <w:p w14:paraId="2387FD7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1.国产货物的检验一般由买卖双方共同进行或按照合同要求进行。</w:t>
      </w:r>
    </w:p>
    <w:p w14:paraId="3312C2A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2.进口货物的检验，中标人需要按照下述要求进行：</w:t>
      </w:r>
    </w:p>
    <w:p w14:paraId="71C32C87">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2.1 进口货物发货前，应对货物的质量、型号、规格、性能和数量/重量作精密、全面的检验，并出具证明书，证明所供货物符合合同规定。</w:t>
      </w:r>
    </w:p>
    <w:p w14:paraId="6790346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 应依据合同规定的要求，提供买卖双方达成一致的货物的验收标准和装箱单，作为招标人检验的依据。</w:t>
      </w:r>
    </w:p>
    <w:p w14:paraId="2237028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14:paraId="3369985E">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三、验收基本条件</w:t>
      </w:r>
    </w:p>
    <w:p w14:paraId="75070A03">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买卖双方按照合同约定执行了合同，同时货物完成了试运行并经检验合格，则具备验收条件。</w:t>
      </w:r>
    </w:p>
    <w:p w14:paraId="2A181A5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1.验收一般条件</w:t>
      </w:r>
    </w:p>
    <w:p w14:paraId="79B64766">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1.1 中标人已经按照“供货范围”要求提供了验收资料，并且资料齐全、完整和有效。</w:t>
      </w:r>
    </w:p>
    <w:p w14:paraId="60DE1A2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1.2 货物安装调试完毕，在正常工况下运行</w:t>
      </w:r>
      <w:r>
        <w:rPr>
          <w:rFonts w:ascii="宋体" w:hAnsi="宋体" w:eastAsia="宋体" w:cs="宋体"/>
          <w:color w:val="000000"/>
          <w:sz w:val="24"/>
          <w14:ligatures w14:val="none"/>
        </w:rPr>
        <w:t>90</w:t>
      </w:r>
      <w:r>
        <w:rPr>
          <w:rFonts w:hint="eastAsia" w:ascii="宋体" w:hAnsi="宋体" w:eastAsia="宋体" w:cs="宋体"/>
          <w:color w:val="000000"/>
          <w:sz w:val="24"/>
          <w14:ligatures w14:val="none"/>
        </w:rPr>
        <w:t>日。</w:t>
      </w:r>
    </w:p>
    <w:p w14:paraId="439F0F9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1.3 货物正常运行时，噪声等环境影响因素满足国家和当地环保主管部门规定，安全措施落实、有效。</w:t>
      </w:r>
    </w:p>
    <w:p w14:paraId="48259BCC">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1.4 试运行期间或之后无维修、调整等行为（特殊情况除外）。</w:t>
      </w:r>
    </w:p>
    <w:p w14:paraId="65D6C4B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 xml:space="preserve">1.5 货物规格型号、技术性能等，达到签定的技术协议书和合同规定的终验收标准。 </w:t>
      </w:r>
      <w:r>
        <w:rPr>
          <w:rFonts w:ascii="宋体" w:hAnsi="宋体" w:eastAsia="宋体" w:cs="宋体"/>
          <w:color w:val="000000"/>
          <w:sz w:val="24"/>
          <w14:ligatures w14:val="none"/>
        </w:rPr>
        <w:t xml:space="preserve"> </w:t>
      </w:r>
    </w:p>
    <w:p w14:paraId="7B447D22">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2.验收基本要求</w:t>
      </w:r>
    </w:p>
    <w:p w14:paraId="0D81827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2.1 货物允许情况下，一般先进行行车无载荷运行3次，然后再进行负荷运行3次，验证各个行车最大起重吨数。</w:t>
      </w:r>
    </w:p>
    <w:p w14:paraId="3C7674C8">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 出现下列问题之一，视作验收失败：</w:t>
      </w:r>
    </w:p>
    <w:p w14:paraId="276AF1E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2.2.1 在整个验收过程中发生关键零部件损坏或重大故障；</w:t>
      </w:r>
    </w:p>
    <w:p w14:paraId="4CCFDFB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2.2.2 一般性故障超过</w:t>
      </w:r>
      <w:r>
        <w:rPr>
          <w:rFonts w:hint="eastAsia" w:ascii="宋体" w:hAnsi="宋体" w:eastAsia="宋体" w:cs="宋体"/>
          <w:color w:val="000000"/>
          <w:sz w:val="24"/>
          <w:u w:val="single"/>
          <w:shd w:val="pct10" w:color="auto" w:fill="FFFFFF"/>
          <w14:ligatures w14:val="none"/>
        </w:rPr>
        <w:t>2</w:t>
      </w:r>
      <w:r>
        <w:rPr>
          <w:rFonts w:hint="eastAsia" w:ascii="宋体" w:hAnsi="宋体" w:eastAsia="宋体" w:cs="宋体"/>
          <w:color w:val="000000"/>
          <w:sz w:val="24"/>
          <w14:ligatures w14:val="none"/>
        </w:rPr>
        <w:t>次；</w:t>
      </w:r>
    </w:p>
    <w:p w14:paraId="5DC59E4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2.2.3 更换的零部件货值超过总货值的3%；</w:t>
      </w:r>
    </w:p>
    <w:p w14:paraId="015527B7">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2.2.4所有出现的维修调整，每次时间均超过90分钟；所有维修调整时间的总和超过总运行时间的 5%。</w:t>
      </w:r>
    </w:p>
    <w:p w14:paraId="3AE153E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2.3 累计负载运行实际性能（或生产率）达到合同规定；</w:t>
      </w:r>
    </w:p>
    <w:p w14:paraId="715B7B49">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2.4 验收原则上要求一次完成。若一次验收不成功，最多允许两次；</w:t>
      </w:r>
    </w:p>
    <w:p w14:paraId="5D958CB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2.5特种设备的首次注册检定由厂家完成，招标方可以协助提供相关材料，特种设备注册检定证书等相关文件作为验收的必要材料；</w:t>
      </w:r>
    </w:p>
    <w:p w14:paraId="4D432EC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2.6 验收通过后买卖双方共同签署终验收报告，并移交、核对全部供货范围内物品。</w:t>
      </w:r>
      <w:bookmarkStart w:id="64" w:name="_Toc465187647"/>
    </w:p>
    <w:p w14:paraId="256759C6">
      <w:pPr>
        <w:keepNext/>
        <w:keepLines/>
        <w:spacing w:after="0" w:line="360" w:lineRule="auto"/>
        <w:jc w:val="both"/>
        <w:outlineLvl w:val="1"/>
        <w:rPr>
          <w:rFonts w:hint="eastAsia" w:ascii="等线" w:hAnsi="等线" w:eastAsia="宋体" w:cs="Times New Roman"/>
          <w:b/>
          <w:iCs/>
          <w:kern w:val="44"/>
          <w:sz w:val="28"/>
          <w14:ligatures w14:val="none"/>
        </w:rPr>
      </w:pPr>
    </w:p>
    <w:p w14:paraId="08EBB89B">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第六章  投标技术文件一般要求</w:t>
      </w:r>
    </w:p>
    <w:p w14:paraId="5615C436">
      <w:pPr>
        <w:keepNext/>
        <w:keepLines/>
        <w:spacing w:after="0" w:line="360" w:lineRule="auto"/>
        <w:ind w:firstLine="482" w:firstLineChars="200"/>
        <w:jc w:val="both"/>
        <w:outlineLvl w:val="2"/>
        <w:rPr>
          <w:rFonts w:ascii="Times New Roman" w:hAnsi="Times New Roman" w:eastAsia="宋体" w:cs="Times New Roman"/>
          <w:b/>
          <w:bCs/>
          <w:sz w:val="24"/>
          <w14:ligatures w14:val="none"/>
        </w:rPr>
      </w:pPr>
      <w:r>
        <w:rPr>
          <w:rFonts w:ascii="Times New Roman" w:hAnsi="Times New Roman" w:eastAsia="宋体" w:cs="Times New Roman"/>
          <w:b/>
          <w:bCs/>
          <w:sz w:val="24"/>
          <w14:ligatures w14:val="none"/>
        </w:rPr>
        <w:t>一、技术文件一般内容要求</w:t>
      </w:r>
    </w:p>
    <w:p w14:paraId="1C152469">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1.投标人应认真阅读招标文件和本技术标书，并按要求编写投标技术文件。</w:t>
      </w:r>
    </w:p>
    <w:p w14:paraId="72228CFC">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2.投标技术文件至少应对投标货物的功能用途、技术性能、质量标准、技术参数等作出详细说明。</w:t>
      </w:r>
    </w:p>
    <w:p w14:paraId="32878C45">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3.投标技术文件至少应根据投标货物的关键设备、总成、零部件或系统作出满足或优于招标文件要求的详细说明。</w:t>
      </w:r>
    </w:p>
    <w:p w14:paraId="151CFC2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4.投标技术文件至少应按照招标文件要求（或投标人建议）列明备品备件、易损件和专用耗材明细。</w:t>
      </w:r>
    </w:p>
    <w:p w14:paraId="14010EE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5.投标人应当而且必须分别说明所列备品备件、易损件和专用耗材的使用寿命（以有效工作小时数说明）。</w:t>
      </w:r>
    </w:p>
    <w:p w14:paraId="07A64F86">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6.投标的货物，应当根据其配置和备品备件、易损件、专用耗材情况，尽可能详细且分类填入下表：</w:t>
      </w:r>
    </w:p>
    <w:p w14:paraId="12458EB7">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6.1备品备件、易损件和专用耗材明细表：</w:t>
      </w:r>
    </w:p>
    <w:p w14:paraId="1180BD74">
      <w:pPr>
        <w:adjustRightInd w:val="0"/>
        <w:snapToGrid w:val="0"/>
        <w:spacing w:after="0" w:line="420" w:lineRule="exact"/>
        <w:ind w:firstLine="1890" w:firstLineChars="900"/>
        <w:jc w:val="both"/>
        <w:rPr>
          <w:rFonts w:hint="eastAsia" w:ascii="宋体" w:hAnsi="宋体" w:eastAsia="宋体" w:cs="宋体"/>
          <w:sz w:val="21"/>
          <w:szCs w:val="22"/>
          <w14:ligatures w14:val="none"/>
        </w:rPr>
      </w:pPr>
      <w:r>
        <w:rPr>
          <w:rFonts w:hint="eastAsia" w:ascii="宋体" w:hAnsi="宋体" w:eastAsia="宋体" w:cs="宋体"/>
          <w:sz w:val="21"/>
          <w:szCs w:val="22"/>
          <w14:ligatures w14: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810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2F0BCBF">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序号</w:t>
            </w:r>
          </w:p>
        </w:tc>
        <w:tc>
          <w:tcPr>
            <w:tcW w:w="1924" w:type="dxa"/>
          </w:tcPr>
          <w:p w14:paraId="3885A84E">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名称</w:t>
            </w:r>
          </w:p>
        </w:tc>
        <w:tc>
          <w:tcPr>
            <w:tcW w:w="1236" w:type="dxa"/>
          </w:tcPr>
          <w:p w14:paraId="7A9685A9">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型号规格</w:t>
            </w:r>
          </w:p>
        </w:tc>
        <w:tc>
          <w:tcPr>
            <w:tcW w:w="720" w:type="dxa"/>
          </w:tcPr>
          <w:p w14:paraId="7B928F9D">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单位</w:t>
            </w:r>
          </w:p>
        </w:tc>
        <w:tc>
          <w:tcPr>
            <w:tcW w:w="720" w:type="dxa"/>
          </w:tcPr>
          <w:p w14:paraId="409C778A">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数量</w:t>
            </w:r>
          </w:p>
        </w:tc>
        <w:tc>
          <w:tcPr>
            <w:tcW w:w="720" w:type="dxa"/>
          </w:tcPr>
          <w:p w14:paraId="4DA2CC90">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单价</w:t>
            </w:r>
          </w:p>
        </w:tc>
        <w:tc>
          <w:tcPr>
            <w:tcW w:w="720" w:type="dxa"/>
          </w:tcPr>
          <w:p w14:paraId="798E8B92">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总价</w:t>
            </w:r>
          </w:p>
        </w:tc>
        <w:tc>
          <w:tcPr>
            <w:tcW w:w="2235" w:type="dxa"/>
          </w:tcPr>
          <w:p w14:paraId="6C8D6961">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制造商</w:t>
            </w:r>
          </w:p>
        </w:tc>
      </w:tr>
      <w:tr w14:paraId="491D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B63A2A">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1</w:t>
            </w:r>
          </w:p>
        </w:tc>
        <w:tc>
          <w:tcPr>
            <w:tcW w:w="1924" w:type="dxa"/>
          </w:tcPr>
          <w:p w14:paraId="23E20F50">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3272306E">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61B8B790">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0666F3B8">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6A09C9B">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4AA4BA14">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2C836DF4">
            <w:pPr>
              <w:adjustRightInd w:val="0"/>
              <w:snapToGrid w:val="0"/>
              <w:spacing w:after="0" w:line="360" w:lineRule="exact"/>
              <w:jc w:val="both"/>
              <w:rPr>
                <w:rFonts w:hint="eastAsia" w:ascii="宋体" w:hAnsi="宋体" w:eastAsia="宋体" w:cs="宋体"/>
                <w:sz w:val="21"/>
                <w:szCs w:val="22"/>
                <w14:ligatures w14:val="none"/>
              </w:rPr>
            </w:pPr>
          </w:p>
        </w:tc>
      </w:tr>
      <w:tr w14:paraId="1728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AF4BEC">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2</w:t>
            </w:r>
          </w:p>
        </w:tc>
        <w:tc>
          <w:tcPr>
            <w:tcW w:w="1924" w:type="dxa"/>
          </w:tcPr>
          <w:p w14:paraId="690052D5">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4C7694C3">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7C35DF71">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9C9F3C1">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1398F6C7">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E3FE497">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24316CD1">
            <w:pPr>
              <w:adjustRightInd w:val="0"/>
              <w:snapToGrid w:val="0"/>
              <w:spacing w:after="0" w:line="360" w:lineRule="exact"/>
              <w:jc w:val="both"/>
              <w:rPr>
                <w:rFonts w:hint="eastAsia" w:ascii="宋体" w:hAnsi="宋体" w:eastAsia="宋体" w:cs="宋体"/>
                <w:sz w:val="21"/>
                <w:szCs w:val="22"/>
                <w14:ligatures w14:val="none"/>
              </w:rPr>
            </w:pPr>
          </w:p>
        </w:tc>
      </w:tr>
      <w:tr w14:paraId="02B1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07E88E">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3</w:t>
            </w:r>
          </w:p>
        </w:tc>
        <w:tc>
          <w:tcPr>
            <w:tcW w:w="1924" w:type="dxa"/>
          </w:tcPr>
          <w:p w14:paraId="6171307A">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4E5DAE8F">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7AFE868D">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117CD0ED">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7C67D7C1">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6CD0824">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72BE1ED2">
            <w:pPr>
              <w:adjustRightInd w:val="0"/>
              <w:snapToGrid w:val="0"/>
              <w:spacing w:after="0" w:line="360" w:lineRule="exact"/>
              <w:jc w:val="both"/>
              <w:rPr>
                <w:rFonts w:hint="eastAsia" w:ascii="宋体" w:hAnsi="宋体" w:eastAsia="宋体" w:cs="宋体"/>
                <w:sz w:val="21"/>
                <w:szCs w:val="22"/>
                <w14:ligatures w14:val="none"/>
              </w:rPr>
            </w:pPr>
          </w:p>
        </w:tc>
      </w:tr>
      <w:tr w14:paraId="450D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A7CEE57">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4</w:t>
            </w:r>
          </w:p>
        </w:tc>
        <w:tc>
          <w:tcPr>
            <w:tcW w:w="1924" w:type="dxa"/>
          </w:tcPr>
          <w:p w14:paraId="55D08009">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3ACCB07D">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599B6F5E">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B0C5FB0">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4BFA40C">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27055AA5">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13733034">
            <w:pPr>
              <w:adjustRightInd w:val="0"/>
              <w:snapToGrid w:val="0"/>
              <w:spacing w:after="0" w:line="360" w:lineRule="exact"/>
              <w:jc w:val="both"/>
              <w:rPr>
                <w:rFonts w:hint="eastAsia" w:ascii="宋体" w:hAnsi="宋体" w:eastAsia="宋体" w:cs="宋体"/>
                <w:sz w:val="21"/>
                <w:szCs w:val="22"/>
                <w14:ligatures w14:val="none"/>
              </w:rPr>
            </w:pPr>
          </w:p>
        </w:tc>
      </w:tr>
      <w:tr w14:paraId="5789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EDBDE65">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5</w:t>
            </w:r>
          </w:p>
        </w:tc>
        <w:tc>
          <w:tcPr>
            <w:tcW w:w="1924" w:type="dxa"/>
          </w:tcPr>
          <w:p w14:paraId="73EF9E1B">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4A9174B5">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49372A2E">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45A0C29">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D917ED9">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01BC31A3">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2BC8F5C9">
            <w:pPr>
              <w:adjustRightInd w:val="0"/>
              <w:snapToGrid w:val="0"/>
              <w:spacing w:after="0" w:line="360" w:lineRule="exact"/>
              <w:jc w:val="both"/>
              <w:rPr>
                <w:rFonts w:hint="eastAsia" w:ascii="宋体" w:hAnsi="宋体" w:eastAsia="宋体" w:cs="宋体"/>
                <w:sz w:val="21"/>
                <w:szCs w:val="22"/>
                <w14:ligatures w14:val="none"/>
              </w:rPr>
            </w:pPr>
          </w:p>
        </w:tc>
      </w:tr>
      <w:tr w14:paraId="74D4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D69D0A">
            <w:pPr>
              <w:adjustRightInd w:val="0"/>
              <w:snapToGrid w:val="0"/>
              <w:spacing w:after="0" w:line="360" w:lineRule="exact"/>
              <w:jc w:val="center"/>
              <w:rPr>
                <w:rFonts w:hint="eastAsia" w:ascii="宋体" w:hAnsi="宋体" w:eastAsia="宋体" w:cs="宋体"/>
                <w:sz w:val="21"/>
                <w:szCs w:val="22"/>
                <w14:ligatures w14:val="none"/>
              </w:rPr>
            </w:pPr>
          </w:p>
        </w:tc>
        <w:tc>
          <w:tcPr>
            <w:tcW w:w="1924" w:type="dxa"/>
          </w:tcPr>
          <w:p w14:paraId="47537641">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67EC6B7C">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73E46603">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1C2A657F">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21847BE6">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7291FA52">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653D1ED6">
            <w:pPr>
              <w:adjustRightInd w:val="0"/>
              <w:snapToGrid w:val="0"/>
              <w:spacing w:after="0" w:line="360" w:lineRule="exact"/>
              <w:jc w:val="both"/>
              <w:rPr>
                <w:rFonts w:hint="eastAsia" w:ascii="宋体" w:hAnsi="宋体" w:eastAsia="宋体" w:cs="宋体"/>
                <w:sz w:val="21"/>
                <w:szCs w:val="22"/>
                <w14:ligatures w14:val="none"/>
              </w:rPr>
            </w:pPr>
          </w:p>
        </w:tc>
      </w:tr>
    </w:tbl>
    <w:p w14:paraId="2772A50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6.2“开标一览表”和“明细表”仅作为投标人编制投标技术文件的一般格式。其中序号编写应当便于招标人了解分类或分项货物之间的所属关系，如1、1.1、1.2；</w:t>
      </w:r>
    </w:p>
    <w:p w14:paraId="7431892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6.3应当尽可能将货物的配置列全、列细，这将有助于投标人胜出；</w:t>
      </w:r>
    </w:p>
    <w:p w14:paraId="2B67A34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6.4单价与总价之间、总价与分类小计价之间、分类小计价与合计价之间数据应当齐全而且准确；</w:t>
      </w:r>
    </w:p>
    <w:p w14:paraId="41F02D1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6.5本条款表格中的制造商，应当为全称或公认的简称。</w:t>
      </w:r>
    </w:p>
    <w:p w14:paraId="35FFAC91">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二、技术文件中货物报价格式要求</w:t>
      </w:r>
    </w:p>
    <w:p w14:paraId="2C8C1A42">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5D818D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2.如果投标总报价与其它价格出现错误或不一致，将有可能导致废标。</w:t>
      </w:r>
    </w:p>
    <w:p w14:paraId="1E3CBE4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3.投标总报价为自合同签定生效至合同无异议执行完毕涉及的买方需要支付的全部费用。如投标人认为本招标及投标货物涉及特需或专门的设计，应当单独列明设计费。</w:t>
      </w:r>
    </w:p>
    <w:p w14:paraId="1B5D688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4.备品备件、易损件和专用耗材，招标人将可能与投标人按照投标价格另行签署供货合同。</w:t>
      </w:r>
    </w:p>
    <w:p w14:paraId="6980446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5.要求投标总报价、分项报价、明细报价之间应当具有相互间对应关系以及填报分项和明细报价，仅为便于评标而不妨碍投标人以最合适的形式签署合同。</w:t>
      </w:r>
    </w:p>
    <w:p w14:paraId="78CE290B">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三、验收标准及内容要求</w:t>
      </w:r>
    </w:p>
    <w:p w14:paraId="18097938">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除招标文件明确的验收标准或内容之外，投标人应当在投标文件中提供终验收的标准以及规程；在合同签定之前，经投标人和招标人双方洽谈确认并签署，以作为验收标准执行。</w:t>
      </w:r>
    </w:p>
    <w:p w14:paraId="3E7C1450">
      <w:pPr>
        <w:adjustRightInd w:val="0"/>
        <w:snapToGrid w:val="0"/>
        <w:spacing w:after="0" w:line="360" w:lineRule="auto"/>
        <w:jc w:val="both"/>
        <w:rPr>
          <w:rFonts w:hint="eastAsia" w:ascii="宋体" w:hAnsi="宋体" w:eastAsia="宋体" w:cs="宋体"/>
          <w:sz w:val="24"/>
          <w14:ligatures w14:val="none"/>
        </w:rPr>
      </w:pPr>
    </w:p>
    <w:bookmarkEnd w:id="64"/>
    <w:p w14:paraId="39241907">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第七章  其它要求及说明</w:t>
      </w:r>
    </w:p>
    <w:p w14:paraId="38E104D3">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一、要求</w:t>
      </w:r>
    </w:p>
    <w:p w14:paraId="2B82DFF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为保证本技术标书所列采购货物的质量以及先进性、可靠性、经济性和实用性，要求投标人在投标文件中，至少应具备以下资格证明文件或资料：</w:t>
      </w:r>
    </w:p>
    <w:p w14:paraId="56D7650B">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1.投标方应是独立法人。应当在投标文件中提供法人营业执照（国外供应商参考该要求提供有效证明文件），并保证其真实性和有效性。</w:t>
      </w:r>
    </w:p>
    <w:p w14:paraId="204C2E11">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2.投标人应当是通过有关资格认证的法人。应当在投标文件中提供有效期内的资格认证证书，如：ISO9001、QS9000等。</w:t>
      </w:r>
    </w:p>
    <w:p w14:paraId="258FF833">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3.应附有其它与投标人、采购货物有关的荣誉证书或资料。</w:t>
      </w:r>
    </w:p>
    <w:p w14:paraId="1F3194F2">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4.必须附有投标货物涉及产品要求的、国家或行业管理规定要求的、或者投标人认为能够体现其投标货物合法性及先进性的最高级别的证明材料（投标货物不涉及的除外）：</w:t>
      </w:r>
    </w:p>
    <w:p w14:paraId="4C2BC847">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5.1国家相关机构颁发的有效期之内所必需的《生产许可证》；</w:t>
      </w:r>
    </w:p>
    <w:p w14:paraId="46AF26C1">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5.2产品（或技术）鉴定报告/证书、专利证书或专利许可证书、新技术成果证书等；</w:t>
      </w:r>
    </w:p>
    <w:p w14:paraId="486EA795">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5.3产品相关检验、试验报告，如：型式试验检验报告、安全试验检验报告、电弧效应试验报告、噪声检测报告等；</w:t>
      </w:r>
    </w:p>
    <w:p w14:paraId="581FE76E">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5.4其它能够证明所供货物的质量水平、技术水平、安全性水平、节能性水平、环保性水平等相关的其它证明文件或资料、报告等；</w:t>
      </w:r>
    </w:p>
    <w:p w14:paraId="5AFE3ACE">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5.5该类报告或证明材料对于投标人胜出乃至中标极为重要！</w:t>
      </w:r>
    </w:p>
    <w:p w14:paraId="6622D47D">
      <w:pPr>
        <w:numPr>
          <w:ilvl w:val="0"/>
          <w:numId w:val="10"/>
        </w:numPr>
        <w:spacing w:after="0" w:line="360" w:lineRule="auto"/>
        <w:ind w:firstLine="482" w:firstLineChars="200"/>
        <w:jc w:val="both"/>
        <w:rPr>
          <w:rFonts w:hint="eastAsia" w:ascii="宋体" w:hAnsi="宋体" w:eastAsia="宋体" w:cs="宋体"/>
          <w:sz w:val="24"/>
          <w14:ligatures w14:val="none"/>
        </w:rPr>
      </w:pPr>
      <w:r>
        <w:rPr>
          <w:rFonts w:hint="eastAsia" w:ascii="宋体" w:hAnsi="宋体" w:eastAsia="宋体" w:cs="宋体"/>
          <w:b/>
          <w:sz w:val="24"/>
          <w14:ligatures w14:val="none"/>
        </w:rPr>
        <w:t>必须附有：</w:t>
      </w:r>
      <w:r>
        <w:rPr>
          <w:rFonts w:hint="eastAsia" w:ascii="宋体" w:hAnsi="宋体" w:eastAsia="宋体" w:cs="宋体"/>
          <w:sz w:val="24"/>
          <w14:ligatures w14: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13EAF93">
      <w:pPr>
        <w:spacing w:after="0" w:line="360" w:lineRule="auto"/>
        <w:ind w:firstLine="479" w:firstLineChars="199"/>
        <w:jc w:val="both"/>
        <w:rPr>
          <w:rFonts w:hint="eastAsia" w:ascii="宋体" w:hAnsi="宋体" w:eastAsia="宋体" w:cs="宋体"/>
          <w:b/>
          <w:bCs/>
          <w:sz w:val="24"/>
          <w14:ligatures w14:val="none"/>
        </w:rPr>
      </w:pPr>
      <w:r>
        <w:rPr>
          <w:rFonts w:hint="eastAsia" w:ascii="宋体" w:hAnsi="宋体" w:eastAsia="宋体" w:cs="宋体"/>
          <w:b/>
          <w:bCs/>
          <w:sz w:val="24"/>
          <w14:ligatures w14:val="none"/>
        </w:rPr>
        <w:t>7.设备外观不能存在供应商名称和品牌LOGO等标识。</w:t>
      </w:r>
    </w:p>
    <w:p w14:paraId="3CE29762">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8.</w:t>
      </w:r>
      <w:r>
        <w:rPr>
          <w:rFonts w:ascii="宋体" w:hAnsi="宋体" w:eastAsia="宋体" w:cs="宋体"/>
          <w:sz w:val="24"/>
          <w14:ligatures w14:val="none"/>
        </w:rPr>
        <w:t>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9.</w:t>
      </w:r>
      <w:r>
        <w:rPr>
          <w:rFonts w:ascii="宋体" w:hAnsi="宋体" w:eastAsia="宋体" w:cs="宋体"/>
          <w:sz w:val="24"/>
          <w14:ligatures w14:val="none"/>
        </w:rPr>
        <w:t>程序图纸要求：</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①供方必须提供所有设备程序的源代码，包括但不限于PLC程序、HMI程序、机器人程序、视觉程序、伺服等。</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②供方所提供的程序不得设置任何密码、保护等限制手段，PLC不得设置修改下载权限，功能块不得设置密码保护。</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③HMI界面等需要密码保护的程序，供方必须提供所有级别的用户名、密码。</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④供方需在设备入场前提供设备程序源码，HMI界面各级用户名和密码，并保证与现场程序一致。</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⑤供方需在终验收前提供最新的设备程序源码和电气图纸，图纸要求为可编辑原格式（EPLAN、CAD格式）且与实际接线一致。</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10.</w:t>
      </w:r>
      <w:r>
        <w:rPr>
          <w:rFonts w:ascii="宋体" w:hAnsi="宋体" w:eastAsia="宋体" w:cs="宋体"/>
          <w:sz w:val="24"/>
          <w14:ligatures w14:val="none"/>
        </w:rPr>
        <w:t>接口协议要求：</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①供方免费开放所有通讯接口，包括但不限于以太网、RS232、RS485、PROFIBUS、PROFINET、MODBUS 等常见接口，以及设备特有的专用接口。</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②供方免费提供数据交互功能，交互数据包括但不限于实时数据、历史数据、报警信息等。</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③供方在设备入场前提供接口的技术文档和参数说明，包括 但不限于接口协议、通讯速率、数据格式等。</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④设备使用周期内，供方免费派遣技术人员与甲方调试团队共同进行设备通讯接口的调试工作。</w:t>
      </w:r>
    </w:p>
    <w:p w14:paraId="5BD6638A">
      <w:pPr>
        <w:numPr>
          <w:ilvl w:val="255"/>
          <w:numId w:val="0"/>
        </w:numPr>
        <w:spacing w:after="0" w:line="240" w:lineRule="auto"/>
        <w:jc w:val="both"/>
        <w:rPr>
          <w:rFonts w:ascii="宋体" w:hAnsi="Courier New" w:eastAsia="等线" w:cs="Times New Roman"/>
          <w:sz w:val="21"/>
          <w:szCs w:val="22"/>
          <w14:ligatures w14:val="none"/>
        </w:rPr>
      </w:pPr>
    </w:p>
    <w:p w14:paraId="4AB59646">
      <w:pPr>
        <w:keepNext/>
        <w:keepLines/>
        <w:spacing w:after="0" w:line="360" w:lineRule="auto"/>
        <w:ind w:firstLine="482" w:firstLineChars="200"/>
        <w:jc w:val="both"/>
        <w:outlineLvl w:val="2"/>
        <w:rPr>
          <w:rFonts w:ascii="Times New Roman" w:hAnsi="Times New Roman" w:eastAsia="宋体" w:cs="Times New Roman"/>
          <w:b/>
          <w:bCs/>
          <w:color w:val="000000"/>
          <w:sz w:val="24"/>
          <w14:ligatures w14:val="none"/>
        </w:rPr>
      </w:pPr>
      <w:r>
        <w:rPr>
          <w:rFonts w:hint="eastAsia" w:ascii="宋体" w:hAnsi="宋体" w:eastAsia="宋体" w:cs="宋体"/>
          <w:b/>
          <w:bCs/>
          <w:sz w:val="24"/>
          <w14:ligatures w14:val="none"/>
        </w:rPr>
        <w:t>二、其他</w:t>
      </w:r>
    </w:p>
    <w:p w14:paraId="3352DFE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0D64B76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2.即使有建议意见或建议方案，仍应依据招标文件和本技术标书要求，编写符合要求的投标文件。建议方案或建议意见，应以单独篇章或文件，予以说明和报价。</w:t>
      </w:r>
    </w:p>
    <w:p w14:paraId="6BDBAD8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659CCAB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4.招标文件、投标文件、答疑文件、技术交流文件、技术标书等，在采购过程全部为有效文件，如有差异，以对招标人最有利的条款为准。</w:t>
      </w:r>
    </w:p>
    <w:p w14:paraId="4B1AA59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46234FCC">
      <w:pPr>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6</w:t>
      </w:r>
      <w:r>
        <w:rPr>
          <w:rFonts w:hint="eastAsia" w:ascii="宋体" w:hAnsi="宋体" w:eastAsia="宋体" w:cs="宋体"/>
          <w:sz w:val="24"/>
          <w14:ligatures w14:val="none"/>
        </w:rPr>
        <w:t>.投标人必须具备激光刻痕、涨断技术相关设计能力，在发动机行业有成熟案例。</w:t>
      </w:r>
      <w:r>
        <w:rPr>
          <w:rFonts w:ascii="宋体" w:hAnsi="宋体" w:eastAsia="宋体" w:cs="宋体"/>
          <w:sz w:val="24"/>
          <w14:ligatures w14:val="none"/>
        </w:rPr>
        <w:t xml:space="preserve"> </w:t>
      </w:r>
    </w:p>
    <w:p w14:paraId="7F0035F7">
      <w:pPr>
        <w:pStyle w:val="2"/>
        <w:tabs>
          <w:tab w:val="right" w:leader="dot" w:pos="8729"/>
        </w:tabs>
        <w:rPr>
          <w:rFonts w:hint="eastAsia"/>
        </w:rPr>
      </w:pPr>
    </w:p>
    <w:p w14:paraId="584EEE57">
      <w:pPr>
        <w:rPr>
          <w:rFonts w:hint="eastAsia"/>
        </w:rPr>
      </w:pPr>
    </w:p>
    <w:bookmarkEnd w:id="36"/>
    <w:bookmarkEnd w:id="37"/>
    <w:bookmarkEnd w:id="38"/>
    <w:bookmarkEnd w:id="39"/>
    <w:p w14:paraId="4D8155EA">
      <w:pPr>
        <w:spacing w:line="360" w:lineRule="auto"/>
        <w:ind w:firstLine="480"/>
        <w:rPr>
          <w:rFonts w:hint="eastAsia"/>
          <w:highlight w:val="none"/>
        </w:rPr>
      </w:pPr>
      <w:bookmarkStart w:id="65" w:name="_Toc27758110"/>
      <w:bookmarkStart w:id="66" w:name="_Toc23035"/>
      <w:bookmarkStart w:id="67" w:name="_Toc26357121"/>
    </w:p>
    <w:p w14:paraId="2C18E038">
      <w:pPr>
        <w:pStyle w:val="2"/>
        <w:rPr>
          <w:rFonts w:hint="eastAsia"/>
          <w:highlight w:val="none"/>
        </w:rPr>
      </w:pPr>
    </w:p>
    <w:p w14:paraId="13482BD7">
      <w:pPr>
        <w:rPr>
          <w:rFonts w:hint="eastAsia"/>
          <w:highlight w:val="none"/>
        </w:rPr>
      </w:pPr>
    </w:p>
    <w:p w14:paraId="06C266ED">
      <w:pPr>
        <w:pStyle w:val="2"/>
        <w:rPr>
          <w:rFonts w:hint="eastAsia"/>
          <w:highlight w:val="none"/>
        </w:rPr>
      </w:pPr>
    </w:p>
    <w:p w14:paraId="68668C27">
      <w:pPr>
        <w:rPr>
          <w:rFonts w:hint="eastAsia"/>
          <w:highlight w:val="none"/>
        </w:rPr>
      </w:pPr>
    </w:p>
    <w:p w14:paraId="284470F7">
      <w:pPr>
        <w:pStyle w:val="2"/>
        <w:rPr>
          <w:rFonts w:hint="eastAsia"/>
          <w:highlight w:val="none"/>
        </w:rPr>
      </w:pPr>
    </w:p>
    <w:p w14:paraId="5FD01D79">
      <w:pPr>
        <w:rPr>
          <w:rFonts w:hint="eastAsia"/>
          <w:highlight w:val="none"/>
        </w:rPr>
      </w:pPr>
    </w:p>
    <w:p w14:paraId="06624F89">
      <w:pPr>
        <w:pStyle w:val="2"/>
        <w:rPr>
          <w:rFonts w:hint="eastAsia"/>
          <w:highlight w:val="none"/>
        </w:rPr>
      </w:pPr>
    </w:p>
    <w:p w14:paraId="329B227E">
      <w:pPr>
        <w:rPr>
          <w:rFonts w:hint="eastAsia"/>
          <w:highlight w:val="none"/>
        </w:rPr>
      </w:pPr>
    </w:p>
    <w:p w14:paraId="3E5488B4">
      <w:pPr>
        <w:pStyle w:val="2"/>
        <w:rPr>
          <w:rFonts w:hint="eastAsia"/>
          <w:highlight w:val="none"/>
        </w:rPr>
      </w:pPr>
    </w:p>
    <w:p w14:paraId="327A68F7">
      <w:pPr>
        <w:rPr>
          <w:rFonts w:hint="eastAsia"/>
          <w:highlight w:val="none"/>
        </w:rPr>
      </w:pPr>
    </w:p>
    <w:p w14:paraId="2AC88952">
      <w:pPr>
        <w:pStyle w:val="2"/>
        <w:rPr>
          <w:rFonts w:hint="eastAsia"/>
          <w:highlight w:val="none"/>
        </w:rPr>
      </w:pPr>
    </w:p>
    <w:p w14:paraId="6BC366B7">
      <w:pPr>
        <w:rPr>
          <w:rFonts w:hint="eastAsia"/>
          <w:highlight w:val="none"/>
        </w:rPr>
      </w:pPr>
    </w:p>
    <w:p w14:paraId="3BADD10F">
      <w:pPr>
        <w:pStyle w:val="2"/>
        <w:rPr>
          <w:rFonts w:hint="eastAsia"/>
          <w:highlight w:val="none"/>
        </w:rPr>
      </w:pPr>
    </w:p>
    <w:p w14:paraId="75FA6179">
      <w:pPr>
        <w:rPr>
          <w:rFonts w:hint="eastAsia"/>
          <w:highlight w:val="none"/>
        </w:rPr>
      </w:pPr>
    </w:p>
    <w:p w14:paraId="09932E94">
      <w:pPr>
        <w:pStyle w:val="2"/>
        <w:rPr>
          <w:rFonts w:hint="eastAsia"/>
          <w:highlight w:val="none"/>
        </w:rPr>
      </w:pPr>
    </w:p>
    <w:p w14:paraId="581C74E7">
      <w:pPr>
        <w:rPr>
          <w:rFonts w:hint="eastAsia"/>
          <w:highlight w:val="none"/>
        </w:rPr>
      </w:pPr>
    </w:p>
    <w:p w14:paraId="6C3FF0FC">
      <w:pPr>
        <w:pStyle w:val="2"/>
        <w:rPr>
          <w:rFonts w:hint="eastAsia"/>
          <w:highlight w:val="none"/>
        </w:rPr>
      </w:pPr>
    </w:p>
    <w:p w14:paraId="676CF8BD">
      <w:pPr>
        <w:rPr>
          <w:rFonts w:hint="eastAsia"/>
          <w:highlight w:val="none"/>
        </w:rPr>
      </w:pPr>
    </w:p>
    <w:p w14:paraId="6D8FF1AC">
      <w:pPr>
        <w:pStyle w:val="2"/>
        <w:rPr>
          <w:rFonts w:hint="eastAsia"/>
          <w:highlight w:val="none"/>
        </w:rPr>
      </w:pPr>
    </w:p>
    <w:p w14:paraId="2F0A4647">
      <w:pPr>
        <w:rPr>
          <w:rFonts w:hint="eastAsia"/>
          <w:highlight w:val="none"/>
        </w:rPr>
      </w:pPr>
    </w:p>
    <w:p w14:paraId="2F074F6D">
      <w:pPr>
        <w:pStyle w:val="2"/>
        <w:rPr>
          <w:rFonts w:hint="eastAsia"/>
          <w:highlight w:val="none"/>
        </w:rPr>
      </w:pPr>
    </w:p>
    <w:p w14:paraId="7907C4CF">
      <w:pPr>
        <w:rPr>
          <w:rFonts w:hint="eastAsia"/>
          <w:highlight w:val="none"/>
        </w:rPr>
      </w:pPr>
    </w:p>
    <w:p w14:paraId="4C977D82">
      <w:pPr>
        <w:pStyle w:val="2"/>
        <w:rPr>
          <w:rFonts w:hint="eastAsia"/>
          <w:highlight w:val="none"/>
        </w:rPr>
      </w:pPr>
    </w:p>
    <w:p w14:paraId="4C8474D3">
      <w:pPr>
        <w:rPr>
          <w:rFonts w:hint="eastAsia"/>
          <w:highlight w:val="none"/>
        </w:rPr>
      </w:pPr>
    </w:p>
    <w:p w14:paraId="4BD52F45">
      <w:pPr>
        <w:pStyle w:val="2"/>
        <w:rPr>
          <w:rFonts w:hint="eastAsia"/>
          <w:highlight w:val="none"/>
        </w:rPr>
      </w:pPr>
    </w:p>
    <w:p w14:paraId="0A3EE389">
      <w:pPr>
        <w:rPr>
          <w:rFonts w:hint="eastAsia"/>
          <w:highlight w:val="none"/>
        </w:rPr>
      </w:pPr>
    </w:p>
    <w:p w14:paraId="38B841C7">
      <w:pPr>
        <w:pStyle w:val="2"/>
        <w:rPr>
          <w:rFonts w:hint="eastAsia"/>
          <w:highlight w:val="none"/>
        </w:rPr>
      </w:pPr>
    </w:p>
    <w:p w14:paraId="360AC17D">
      <w:pPr>
        <w:rPr>
          <w:rFonts w:hint="eastAsia"/>
          <w:highlight w:val="none"/>
        </w:rPr>
      </w:pPr>
    </w:p>
    <w:p w14:paraId="1432B291">
      <w:pPr>
        <w:pStyle w:val="2"/>
        <w:rPr>
          <w:rFonts w:hint="eastAsia"/>
        </w:rPr>
      </w:pPr>
    </w:p>
    <w:bookmarkEnd w:id="33"/>
    <w:bookmarkEnd w:id="34"/>
    <w:bookmarkEnd w:id="35"/>
    <w:bookmarkEnd w:id="65"/>
    <w:bookmarkEnd w:id="66"/>
    <w:bookmarkEnd w:id="67"/>
    <w:p w14:paraId="7C407044">
      <w:pPr>
        <w:spacing w:line="360" w:lineRule="auto"/>
        <w:jc w:val="center"/>
        <w:outlineLvl w:val="0"/>
        <w:rPr>
          <w:rFonts w:hint="eastAsia" w:ascii="宋体" w:hAnsi="宋体" w:eastAsia="宋体" w:cs="Times New Roman"/>
          <w:b/>
          <w:sz w:val="36"/>
          <w:szCs w:val="36"/>
        </w:rPr>
      </w:pPr>
      <w:bookmarkStart w:id="68" w:name="_Toc28859"/>
    </w:p>
    <w:p w14:paraId="74A6644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8"/>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69"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7"/>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D605B4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DD018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3"/>
        <w:tabs>
          <w:tab w:val="right" w:leader="dot" w:pos="9061"/>
        </w:tabs>
        <w:ind w:left="0" w:firstLine="480" w:firstLineChars="200"/>
        <w:jc w:val="both"/>
        <w:rPr>
          <w:rFonts w:ascii="黑体" w:hAnsi="黑体" w:eastAsia="黑体" w:cs="黑体"/>
          <w:b w:val="0"/>
          <w:sz w:val="24"/>
          <w:szCs w:val="24"/>
        </w:rPr>
      </w:pPr>
      <w:bookmarkStart w:id="70" w:name="_Toc16330018"/>
      <w:bookmarkStart w:id="71" w:name="_Toc17619"/>
      <w:bookmarkStart w:id="72" w:name="_Toc11823"/>
      <w:bookmarkStart w:id="73" w:name="_Toc11930"/>
      <w:r>
        <w:rPr>
          <w:rFonts w:hint="eastAsia" w:ascii="黑体" w:hAnsi="黑体" w:eastAsia="黑体" w:cs="黑体"/>
          <w:b w:val="0"/>
          <w:sz w:val="24"/>
          <w:szCs w:val="24"/>
        </w:rPr>
        <w:t>1 合同设备</w:t>
      </w:r>
      <w:bookmarkEnd w:id="70"/>
      <w:bookmarkEnd w:id="71"/>
      <w:bookmarkEnd w:id="72"/>
      <w:bookmarkEnd w:id="73"/>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74" w:name="_Toc22800"/>
      <w:bookmarkStart w:id="75" w:name="_Toc29026"/>
      <w:bookmarkStart w:id="76" w:name="_Toc32510"/>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3"/>
        <w:tabs>
          <w:tab w:val="right" w:leader="dot" w:pos="9061"/>
        </w:tabs>
        <w:ind w:left="0" w:firstLine="480" w:firstLineChars="200"/>
        <w:jc w:val="both"/>
        <w:rPr>
          <w:rFonts w:ascii="黑体" w:hAnsi="黑体" w:eastAsia="黑体" w:cs="黑体"/>
          <w:b w:val="0"/>
          <w:sz w:val="24"/>
          <w:szCs w:val="24"/>
        </w:rPr>
      </w:pPr>
      <w:bookmarkStart w:id="77" w:name="_Toc16330019"/>
      <w:r>
        <w:rPr>
          <w:rFonts w:hint="eastAsia" w:ascii="黑体" w:hAnsi="黑体" w:eastAsia="黑体" w:cs="黑体"/>
          <w:b w:val="0"/>
          <w:sz w:val="24"/>
          <w:szCs w:val="24"/>
        </w:rPr>
        <w:t>2 包装</w:t>
      </w:r>
      <w:bookmarkEnd w:id="74"/>
      <w:bookmarkEnd w:id="75"/>
      <w:bookmarkEnd w:id="76"/>
      <w:bookmarkEnd w:id="77"/>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3"/>
        <w:tabs>
          <w:tab w:val="right" w:leader="dot" w:pos="9061"/>
        </w:tabs>
        <w:ind w:left="0" w:firstLine="480" w:firstLineChars="200"/>
        <w:jc w:val="both"/>
        <w:rPr>
          <w:rFonts w:ascii="黑体" w:hAnsi="黑体" w:eastAsia="黑体" w:cs="黑体"/>
          <w:b w:val="0"/>
          <w:sz w:val="24"/>
          <w:szCs w:val="24"/>
        </w:rPr>
      </w:pPr>
      <w:bookmarkStart w:id="78" w:name="_Toc27453"/>
      <w:bookmarkStart w:id="79" w:name="_Toc27144"/>
      <w:bookmarkStart w:id="80" w:name="_Toc16330020"/>
      <w:bookmarkStart w:id="81" w:name="_Toc2833"/>
      <w:r>
        <w:rPr>
          <w:rFonts w:hint="eastAsia" w:ascii="黑体" w:hAnsi="黑体" w:eastAsia="黑体" w:cs="黑体"/>
          <w:b w:val="0"/>
          <w:sz w:val="24"/>
          <w:szCs w:val="24"/>
        </w:rPr>
        <w:t>3 运输标记</w:t>
      </w:r>
      <w:bookmarkEnd w:id="78"/>
      <w:bookmarkEnd w:id="79"/>
      <w:bookmarkEnd w:id="80"/>
      <w:bookmarkEnd w:id="81"/>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3"/>
        <w:tabs>
          <w:tab w:val="right" w:leader="dot" w:pos="9061"/>
        </w:tabs>
        <w:ind w:left="0" w:firstLine="480" w:firstLineChars="200"/>
        <w:jc w:val="both"/>
        <w:rPr>
          <w:rFonts w:ascii="黑体" w:hAnsi="黑体" w:eastAsia="黑体" w:cs="黑体"/>
          <w:b w:val="0"/>
          <w:sz w:val="24"/>
          <w:szCs w:val="24"/>
        </w:rPr>
      </w:pPr>
      <w:bookmarkStart w:id="82" w:name="_Toc16330021"/>
      <w:bookmarkStart w:id="83" w:name="_Toc16133"/>
      <w:bookmarkStart w:id="84" w:name="_Toc10630"/>
      <w:bookmarkStart w:id="85" w:name="_Toc7431"/>
      <w:r>
        <w:rPr>
          <w:rFonts w:hint="eastAsia" w:ascii="黑体" w:hAnsi="黑体" w:eastAsia="黑体" w:cs="黑体"/>
          <w:b w:val="0"/>
          <w:sz w:val="24"/>
          <w:szCs w:val="24"/>
        </w:rPr>
        <w:t>4 检验</w:t>
      </w:r>
      <w:bookmarkEnd w:id="82"/>
      <w:bookmarkEnd w:id="83"/>
      <w:bookmarkEnd w:id="84"/>
      <w:bookmarkEnd w:id="85"/>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3"/>
        <w:tabs>
          <w:tab w:val="right" w:leader="dot" w:pos="9061"/>
        </w:tabs>
        <w:ind w:left="0" w:firstLine="480" w:firstLineChars="200"/>
        <w:jc w:val="both"/>
        <w:rPr>
          <w:rFonts w:ascii="黑体" w:hAnsi="黑体" w:eastAsia="黑体" w:cs="黑体"/>
          <w:b w:val="0"/>
          <w:sz w:val="24"/>
          <w:szCs w:val="24"/>
        </w:rPr>
      </w:pPr>
      <w:bookmarkStart w:id="86" w:name="_Toc16330022"/>
      <w:bookmarkStart w:id="87" w:name="_Toc11217"/>
      <w:bookmarkStart w:id="88" w:name="_Toc24467"/>
      <w:bookmarkStart w:id="89" w:name="_Toc19850"/>
      <w:r>
        <w:rPr>
          <w:rFonts w:hint="eastAsia" w:ascii="黑体" w:hAnsi="黑体" w:eastAsia="黑体" w:cs="黑体"/>
          <w:b w:val="0"/>
          <w:sz w:val="24"/>
          <w:szCs w:val="24"/>
        </w:rPr>
        <w:t>5 权利担保</w:t>
      </w:r>
      <w:bookmarkEnd w:id="86"/>
      <w:bookmarkEnd w:id="87"/>
      <w:bookmarkEnd w:id="88"/>
      <w:bookmarkEnd w:id="89"/>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3"/>
        <w:tabs>
          <w:tab w:val="right" w:leader="dot" w:pos="9061"/>
        </w:tabs>
        <w:ind w:left="0" w:firstLine="480" w:firstLineChars="200"/>
        <w:jc w:val="both"/>
        <w:rPr>
          <w:rFonts w:ascii="黑体" w:hAnsi="黑体" w:eastAsia="黑体" w:cs="黑体"/>
          <w:b w:val="0"/>
          <w:sz w:val="24"/>
          <w:szCs w:val="24"/>
        </w:rPr>
      </w:pPr>
      <w:bookmarkStart w:id="90" w:name="_Toc27500"/>
      <w:bookmarkStart w:id="91" w:name="_Toc14809"/>
      <w:bookmarkStart w:id="92" w:name="_Toc16330023"/>
      <w:bookmarkStart w:id="93" w:name="_Toc11759"/>
      <w:r>
        <w:rPr>
          <w:rFonts w:hint="eastAsia" w:ascii="黑体" w:hAnsi="黑体" w:eastAsia="黑体" w:cs="黑体"/>
          <w:b w:val="0"/>
          <w:sz w:val="24"/>
          <w:szCs w:val="24"/>
        </w:rPr>
        <w:t>6 交货</w:t>
      </w:r>
      <w:bookmarkEnd w:id="90"/>
      <w:bookmarkEnd w:id="91"/>
      <w:bookmarkEnd w:id="92"/>
      <w:bookmarkEnd w:id="93"/>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3"/>
        <w:tabs>
          <w:tab w:val="right" w:leader="dot" w:pos="9061"/>
        </w:tabs>
        <w:ind w:left="0" w:firstLine="480" w:firstLineChars="200"/>
        <w:jc w:val="both"/>
        <w:rPr>
          <w:rFonts w:ascii="黑体" w:hAnsi="黑体" w:eastAsia="黑体" w:cs="黑体"/>
          <w:b w:val="0"/>
          <w:sz w:val="24"/>
          <w:szCs w:val="24"/>
        </w:rPr>
      </w:pPr>
      <w:bookmarkStart w:id="94" w:name="_Toc16330024"/>
      <w:bookmarkStart w:id="95" w:name="_Toc8024"/>
      <w:bookmarkStart w:id="96" w:name="_Toc25510"/>
      <w:bookmarkStart w:id="97" w:name="_Toc2984"/>
      <w:r>
        <w:rPr>
          <w:rFonts w:hint="eastAsia" w:ascii="黑体" w:hAnsi="黑体" w:eastAsia="黑体" w:cs="黑体"/>
          <w:b w:val="0"/>
          <w:sz w:val="24"/>
          <w:szCs w:val="24"/>
        </w:rPr>
        <w:t>7 安装、调试</w:t>
      </w:r>
      <w:bookmarkEnd w:id="94"/>
      <w:bookmarkEnd w:id="95"/>
      <w:bookmarkEnd w:id="96"/>
      <w:bookmarkEnd w:id="97"/>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3"/>
        <w:tabs>
          <w:tab w:val="right" w:leader="dot" w:pos="9061"/>
        </w:tabs>
        <w:ind w:left="0" w:firstLine="480" w:firstLineChars="200"/>
        <w:jc w:val="both"/>
        <w:rPr>
          <w:rFonts w:ascii="黑体" w:hAnsi="黑体" w:eastAsia="黑体" w:cs="黑体"/>
          <w:b w:val="0"/>
          <w:sz w:val="24"/>
          <w:szCs w:val="24"/>
        </w:rPr>
      </w:pPr>
      <w:bookmarkStart w:id="98" w:name="_Toc6350"/>
      <w:bookmarkStart w:id="99" w:name="_Toc16330025"/>
      <w:bookmarkStart w:id="100" w:name="_Toc14260"/>
      <w:bookmarkStart w:id="101" w:name="_Toc14098"/>
      <w:r>
        <w:rPr>
          <w:rFonts w:hint="eastAsia" w:ascii="黑体" w:hAnsi="黑体" w:eastAsia="黑体" w:cs="黑体"/>
          <w:b w:val="0"/>
          <w:sz w:val="24"/>
          <w:szCs w:val="24"/>
        </w:rPr>
        <w:t>8 价款与支付</w:t>
      </w:r>
      <w:bookmarkEnd w:id="98"/>
      <w:bookmarkEnd w:id="99"/>
      <w:bookmarkEnd w:id="100"/>
      <w:bookmarkEnd w:id="101"/>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3"/>
        <w:tabs>
          <w:tab w:val="right" w:leader="dot" w:pos="9061"/>
        </w:tabs>
        <w:ind w:left="0" w:firstLine="480" w:firstLineChars="200"/>
        <w:jc w:val="both"/>
        <w:rPr>
          <w:rFonts w:ascii="黑体" w:hAnsi="黑体" w:eastAsia="黑体" w:cs="黑体"/>
          <w:b w:val="0"/>
          <w:sz w:val="24"/>
          <w:szCs w:val="24"/>
        </w:rPr>
      </w:pPr>
      <w:bookmarkStart w:id="102" w:name="_Toc25708"/>
      <w:bookmarkStart w:id="103" w:name="_Toc6726"/>
      <w:bookmarkStart w:id="104" w:name="_Toc16330026"/>
      <w:bookmarkStart w:id="105" w:name="_Toc24085"/>
      <w:r>
        <w:rPr>
          <w:rFonts w:hint="eastAsia" w:ascii="黑体" w:hAnsi="黑体" w:eastAsia="黑体" w:cs="黑体"/>
          <w:b w:val="0"/>
          <w:sz w:val="24"/>
          <w:szCs w:val="24"/>
        </w:rPr>
        <w:t>9 质量保证及售后服务</w:t>
      </w:r>
      <w:bookmarkEnd w:id="102"/>
      <w:bookmarkEnd w:id="103"/>
      <w:bookmarkEnd w:id="104"/>
      <w:bookmarkEnd w:id="105"/>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106" w:name="_Toc16330027"/>
      <w:bookmarkStart w:id="107" w:name="_Toc10359"/>
      <w:bookmarkStart w:id="108" w:name="_Toc12927"/>
      <w:bookmarkStart w:id="109" w:name="_Toc15570"/>
      <w:r>
        <w:rPr>
          <w:rFonts w:hint="eastAsia" w:ascii="黑体" w:hAnsi="黑体" w:eastAsia="黑体" w:cs="黑体"/>
          <w:b w:val="0"/>
          <w:sz w:val="24"/>
          <w:szCs w:val="24"/>
        </w:rPr>
        <w:t>10法定责任</w:t>
      </w:r>
      <w:bookmarkEnd w:id="106"/>
      <w:bookmarkEnd w:id="107"/>
      <w:bookmarkEnd w:id="108"/>
      <w:bookmarkEnd w:id="109"/>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3"/>
        <w:tabs>
          <w:tab w:val="right" w:leader="dot" w:pos="9061"/>
        </w:tabs>
        <w:ind w:left="0" w:firstLine="480" w:firstLineChars="200"/>
        <w:jc w:val="both"/>
        <w:rPr>
          <w:rFonts w:ascii="黑体" w:hAnsi="黑体" w:eastAsia="黑体" w:cs="黑体"/>
          <w:b w:val="0"/>
          <w:sz w:val="24"/>
          <w:szCs w:val="24"/>
        </w:rPr>
      </w:pPr>
      <w:bookmarkStart w:id="110" w:name="_Toc16330028"/>
      <w:bookmarkStart w:id="111" w:name="_Toc9708"/>
      <w:bookmarkStart w:id="112" w:name="_Toc30381"/>
      <w:bookmarkStart w:id="113" w:name="_Toc27314"/>
      <w:r>
        <w:rPr>
          <w:rFonts w:hint="eastAsia" w:ascii="黑体" w:hAnsi="黑体" w:eastAsia="黑体" w:cs="黑体"/>
          <w:b w:val="0"/>
          <w:sz w:val="24"/>
          <w:szCs w:val="24"/>
        </w:rPr>
        <w:t>11 违约责任</w:t>
      </w:r>
      <w:bookmarkEnd w:id="110"/>
      <w:bookmarkEnd w:id="111"/>
      <w:bookmarkEnd w:id="112"/>
      <w:bookmarkEnd w:id="113"/>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3"/>
        <w:tabs>
          <w:tab w:val="right" w:leader="dot" w:pos="9061"/>
        </w:tabs>
        <w:ind w:left="0" w:firstLine="480" w:firstLineChars="200"/>
        <w:jc w:val="both"/>
        <w:rPr>
          <w:rFonts w:ascii="黑体" w:hAnsi="黑体" w:eastAsia="黑体" w:cs="黑体"/>
          <w:b w:val="0"/>
          <w:sz w:val="24"/>
          <w:szCs w:val="24"/>
        </w:rPr>
      </w:pPr>
      <w:bookmarkStart w:id="114" w:name="_Toc1827"/>
      <w:bookmarkStart w:id="115" w:name="_Toc9172"/>
      <w:bookmarkStart w:id="116" w:name="_Toc31554"/>
      <w:bookmarkStart w:id="117" w:name="_Toc16330029"/>
      <w:r>
        <w:rPr>
          <w:rFonts w:hint="eastAsia" w:ascii="黑体" w:hAnsi="黑体" w:eastAsia="黑体" w:cs="黑体"/>
          <w:b w:val="0"/>
          <w:sz w:val="24"/>
          <w:szCs w:val="24"/>
        </w:rPr>
        <w:t>12 合同的终止与解除</w:t>
      </w:r>
      <w:bookmarkEnd w:id="114"/>
      <w:bookmarkEnd w:id="115"/>
      <w:bookmarkEnd w:id="116"/>
      <w:bookmarkEnd w:id="117"/>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3"/>
        <w:tabs>
          <w:tab w:val="right" w:leader="dot" w:pos="9061"/>
        </w:tabs>
        <w:ind w:left="0" w:firstLine="480" w:firstLineChars="200"/>
        <w:jc w:val="both"/>
        <w:rPr>
          <w:rFonts w:ascii="黑体" w:hAnsi="黑体" w:eastAsia="黑体" w:cs="黑体"/>
          <w:b w:val="0"/>
          <w:sz w:val="24"/>
          <w:szCs w:val="24"/>
        </w:rPr>
      </w:pPr>
      <w:bookmarkStart w:id="118" w:name="_Toc31945"/>
      <w:bookmarkStart w:id="119" w:name="_Toc16330030"/>
      <w:bookmarkStart w:id="120" w:name="_Toc8620"/>
      <w:bookmarkStart w:id="121" w:name="_Toc13671"/>
      <w:r>
        <w:rPr>
          <w:rFonts w:hint="eastAsia" w:ascii="黑体" w:hAnsi="黑体" w:eastAsia="黑体" w:cs="黑体"/>
          <w:b w:val="0"/>
          <w:sz w:val="24"/>
          <w:szCs w:val="24"/>
        </w:rPr>
        <w:t>13 不可抗力</w:t>
      </w:r>
      <w:bookmarkEnd w:id="118"/>
      <w:bookmarkEnd w:id="119"/>
      <w:bookmarkEnd w:id="120"/>
      <w:bookmarkEnd w:id="121"/>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3"/>
        <w:tabs>
          <w:tab w:val="right" w:leader="dot" w:pos="9061"/>
        </w:tabs>
        <w:ind w:left="0" w:firstLine="480" w:firstLineChars="200"/>
        <w:jc w:val="both"/>
        <w:rPr>
          <w:rFonts w:ascii="黑体" w:hAnsi="黑体" w:eastAsia="黑体" w:cs="黑体"/>
          <w:b w:val="0"/>
          <w:sz w:val="24"/>
          <w:szCs w:val="24"/>
        </w:rPr>
      </w:pPr>
      <w:bookmarkStart w:id="122" w:name="_Toc637"/>
      <w:bookmarkStart w:id="123" w:name="_Toc16330031"/>
      <w:bookmarkStart w:id="124" w:name="_Toc31243"/>
      <w:bookmarkStart w:id="125" w:name="_Toc30389"/>
      <w:r>
        <w:rPr>
          <w:rFonts w:hint="eastAsia" w:ascii="黑体" w:hAnsi="黑体" w:eastAsia="黑体" w:cs="黑体"/>
          <w:b w:val="0"/>
          <w:sz w:val="24"/>
          <w:szCs w:val="24"/>
        </w:rPr>
        <w:t>14 通讯</w:t>
      </w:r>
      <w:bookmarkEnd w:id="122"/>
      <w:bookmarkEnd w:id="123"/>
      <w:bookmarkEnd w:id="124"/>
      <w:bookmarkEnd w:id="125"/>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3"/>
        <w:tabs>
          <w:tab w:val="right" w:leader="dot" w:pos="9061"/>
        </w:tabs>
        <w:ind w:left="0" w:firstLine="480" w:firstLineChars="200"/>
        <w:jc w:val="both"/>
        <w:rPr>
          <w:rFonts w:ascii="黑体" w:hAnsi="黑体" w:eastAsia="黑体" w:cs="黑体"/>
          <w:b w:val="0"/>
          <w:sz w:val="24"/>
          <w:szCs w:val="24"/>
        </w:rPr>
      </w:pPr>
      <w:bookmarkStart w:id="126" w:name="_Toc12984"/>
      <w:bookmarkStart w:id="127" w:name="_Toc16330032"/>
      <w:bookmarkStart w:id="128" w:name="_Toc9915"/>
      <w:bookmarkStart w:id="129" w:name="_Toc11290"/>
      <w:r>
        <w:rPr>
          <w:rFonts w:hint="eastAsia" w:ascii="黑体" w:hAnsi="黑体" w:eastAsia="黑体" w:cs="黑体"/>
          <w:b w:val="0"/>
          <w:sz w:val="24"/>
          <w:szCs w:val="24"/>
        </w:rPr>
        <w:t>15 适用法律及争议解决</w:t>
      </w:r>
      <w:bookmarkEnd w:id="126"/>
      <w:bookmarkEnd w:id="127"/>
      <w:bookmarkEnd w:id="128"/>
      <w:bookmarkEnd w:id="129"/>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3"/>
        <w:tabs>
          <w:tab w:val="right" w:leader="dot" w:pos="9061"/>
        </w:tabs>
        <w:ind w:left="0" w:firstLine="480" w:firstLineChars="200"/>
        <w:jc w:val="both"/>
        <w:rPr>
          <w:rFonts w:ascii="黑体" w:hAnsi="黑体" w:eastAsia="黑体" w:cs="黑体"/>
          <w:b w:val="0"/>
          <w:sz w:val="24"/>
          <w:szCs w:val="24"/>
        </w:rPr>
      </w:pPr>
      <w:bookmarkStart w:id="130" w:name="_Toc16330033"/>
      <w:bookmarkStart w:id="131" w:name="_Toc18207"/>
      <w:bookmarkStart w:id="132" w:name="_Toc23765"/>
      <w:bookmarkStart w:id="133" w:name="_Toc23906"/>
      <w:r>
        <w:rPr>
          <w:rFonts w:hint="eastAsia" w:ascii="黑体" w:hAnsi="黑体" w:eastAsia="黑体" w:cs="黑体"/>
          <w:b w:val="0"/>
          <w:sz w:val="24"/>
          <w:szCs w:val="24"/>
        </w:rPr>
        <w:t>16 附件</w:t>
      </w:r>
      <w:bookmarkEnd w:id="130"/>
      <w:bookmarkEnd w:id="131"/>
      <w:bookmarkEnd w:id="132"/>
      <w:bookmarkEnd w:id="133"/>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3"/>
        <w:tabs>
          <w:tab w:val="right" w:leader="dot" w:pos="9061"/>
        </w:tabs>
        <w:ind w:left="0" w:firstLine="480" w:firstLineChars="200"/>
        <w:jc w:val="both"/>
        <w:rPr>
          <w:rFonts w:ascii="黑体" w:hAnsi="黑体" w:eastAsia="黑体" w:cs="黑体"/>
          <w:b w:val="0"/>
          <w:sz w:val="24"/>
          <w:szCs w:val="24"/>
        </w:rPr>
      </w:pPr>
      <w:bookmarkStart w:id="134" w:name="_Toc27202"/>
      <w:bookmarkStart w:id="135" w:name="_Toc17656"/>
      <w:bookmarkStart w:id="136" w:name="_Toc31331"/>
      <w:bookmarkStart w:id="137" w:name="_Toc16330034"/>
      <w:r>
        <w:rPr>
          <w:rFonts w:hint="eastAsia" w:ascii="黑体" w:hAnsi="黑体" w:eastAsia="黑体" w:cs="黑体"/>
          <w:b w:val="0"/>
          <w:sz w:val="24"/>
          <w:szCs w:val="24"/>
        </w:rPr>
        <w:t>17 其他规定</w:t>
      </w:r>
      <w:bookmarkEnd w:id="134"/>
      <w:bookmarkEnd w:id="135"/>
      <w:bookmarkEnd w:id="136"/>
      <w:bookmarkEnd w:id="137"/>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38" w:name="_Toc16330035"/>
      <w:bookmarkStart w:id="139" w:name="_Toc17952"/>
      <w:bookmarkStart w:id="140" w:name="_Toc19077"/>
      <w:bookmarkStart w:id="141"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38"/>
      <w:bookmarkEnd w:id="139"/>
      <w:bookmarkEnd w:id="140"/>
      <w:bookmarkEnd w:id="141"/>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BFE3684">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3"/>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12"/>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2"/>
        <w:spacing w:after="156"/>
        <w:rPr>
          <w:rFonts w:ascii="楷体" w:hAnsi="楷体" w:eastAsia="楷体" w:cs="楷体"/>
          <w:b/>
          <w:sz w:val="24"/>
          <w:szCs w:val="28"/>
        </w:rPr>
      </w:pPr>
    </w:p>
    <w:p w14:paraId="72A707DD">
      <w:pPr>
        <w:pStyle w:val="12"/>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2"/>
        <w:spacing w:after="156"/>
        <w:rPr>
          <w:rFonts w:ascii="楷体" w:hAnsi="楷体" w:eastAsia="楷体" w:cs="楷体"/>
          <w:b/>
          <w:sz w:val="24"/>
          <w:szCs w:val="28"/>
        </w:rPr>
      </w:pPr>
    </w:p>
    <w:p w14:paraId="0ADBD6D5">
      <w:pPr>
        <w:pStyle w:val="12"/>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3B2C5FDB">
      <w:pPr>
        <w:keepNext/>
        <w:keepLines/>
        <w:jc w:val="center"/>
        <w:outlineLvl w:val="0"/>
        <w:rPr>
          <w:rFonts w:ascii="Calibri" w:hAnsi="Calibri" w:eastAsia="宋体" w:cs="Times New Roman"/>
          <w:b/>
          <w:bCs/>
          <w:kern w:val="44"/>
          <w:sz w:val="36"/>
          <w:szCs w:val="4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9"/>
    </w:p>
    <w:p w14:paraId="004B8CE5">
      <w:pPr>
        <w:keepNext/>
        <w:keepLines/>
        <w:rPr>
          <w:rFonts w:ascii="Times New Roman" w:hAnsi="Times New Roman" w:eastAsia="宋体" w:cs="Times New Roman"/>
          <w:b/>
          <w:bCs/>
          <w:color w:val="000000"/>
          <w:sz w:val="24"/>
          <w:szCs w:val="24"/>
        </w:rPr>
      </w:pPr>
    </w:p>
    <w:p w14:paraId="6D68D61A">
      <w:pPr>
        <w:pStyle w:val="17"/>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F1D77DA">
      <w:pPr>
        <w:spacing w:line="420" w:lineRule="exact"/>
        <w:ind w:firstLine="480" w:firstLineChars="200"/>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2" w:name="_Toc353881012"/>
      <w:bookmarkStart w:id="143" w:name="_Toc212369550"/>
      <w:bookmarkStart w:id="144" w:name="_Toc639004"/>
      <w:bookmarkStart w:id="14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2"/>
      <w:bookmarkEnd w:id="143"/>
      <w:bookmarkEnd w:id="144"/>
      <w:bookmarkEnd w:id="145"/>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涨断机激光系统升级改造项目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7"/>
        <w:rPr>
          <w:rFonts w:ascii="黑体" w:hAnsi="Calibri" w:eastAsia="黑体" w:cs="Times New Roman"/>
          <w:color w:val="000000"/>
          <w:sz w:val="24"/>
          <w:szCs w:val="24"/>
        </w:rPr>
      </w:pPr>
    </w:p>
    <w:p w14:paraId="6566FFCA">
      <w:pPr>
        <w:pStyle w:val="17"/>
        <w:rPr>
          <w:rFonts w:ascii="黑体" w:hAnsi="Calibri" w:eastAsia="黑体" w:cs="Times New Roman"/>
          <w:color w:val="000000"/>
          <w:sz w:val="24"/>
          <w:szCs w:val="24"/>
        </w:rPr>
      </w:pPr>
    </w:p>
    <w:p w14:paraId="3B6FDF38">
      <w:pPr>
        <w:pStyle w:val="17"/>
        <w:rPr>
          <w:rFonts w:ascii="黑体" w:hAnsi="Calibri" w:eastAsia="黑体" w:cs="Times New Roman"/>
          <w:color w:val="000000"/>
          <w:sz w:val="24"/>
          <w:szCs w:val="24"/>
        </w:rPr>
      </w:pPr>
    </w:p>
    <w:p w14:paraId="4DD34454">
      <w:pPr>
        <w:pStyle w:val="17"/>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b w:val="0"/>
          <w:bCs w:val="0"/>
          <w:color w:val="000000"/>
          <w:sz w:val="24"/>
          <w:szCs w:val="24"/>
          <w:highlight w:val="none"/>
          <w:u w:val="single"/>
          <w:lang w:eastAsia="zh-CN"/>
        </w:rPr>
        <w:t>涨断机激光系统升级改造项目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rPr>
        <w:t>＿＿＿＿＿＿＿＿＿＿＿＿＿＿＿＿＿＿＿＿＿＿＿＿＿（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6A52B8BA">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17"/>
        <w:rPr>
          <w:rFonts w:ascii="Times New Roman" w:hAnsi="Times New Roman" w:eastAsia="宋体" w:cs="Times New Roman"/>
          <w:b/>
          <w:bCs/>
          <w:color w:val="000000"/>
          <w:sz w:val="24"/>
          <w:szCs w:val="24"/>
        </w:rPr>
      </w:pPr>
    </w:p>
    <w:p w14:paraId="0DD430E4">
      <w:pPr>
        <w:pStyle w:val="17"/>
        <w:rPr>
          <w:rFonts w:ascii="Times New Roman" w:hAnsi="Times New Roman" w:eastAsia="宋体" w:cs="Times New Roman"/>
          <w:b/>
          <w:bCs/>
          <w:color w:val="000000"/>
          <w:sz w:val="24"/>
          <w:szCs w:val="24"/>
        </w:rPr>
      </w:pPr>
    </w:p>
    <w:p w14:paraId="206455E0">
      <w:pPr>
        <w:pStyle w:val="17"/>
        <w:rPr>
          <w:rFonts w:ascii="Times New Roman" w:hAnsi="Times New Roman" w:eastAsia="宋体" w:cs="Times New Roman"/>
          <w:b/>
          <w:bCs/>
          <w:color w:val="000000"/>
          <w:sz w:val="24"/>
          <w:szCs w:val="24"/>
        </w:rPr>
      </w:pPr>
    </w:p>
    <w:p w14:paraId="443F2AF2">
      <w:pPr>
        <w:pStyle w:val="17"/>
        <w:rPr>
          <w:rFonts w:ascii="Times New Roman" w:hAnsi="Times New Roman" w:eastAsia="宋体" w:cs="Times New Roman"/>
          <w:b/>
          <w:bCs/>
          <w:color w:val="000000"/>
          <w:sz w:val="24"/>
          <w:szCs w:val="24"/>
        </w:rPr>
      </w:pPr>
    </w:p>
    <w:p w14:paraId="465F6513">
      <w:pPr>
        <w:pStyle w:val="17"/>
        <w:rPr>
          <w:rFonts w:ascii="Times New Roman" w:hAnsi="Times New Roman" w:eastAsia="宋体" w:cs="Times New Roman"/>
          <w:b/>
          <w:bCs/>
          <w:color w:val="000000"/>
          <w:sz w:val="24"/>
          <w:szCs w:val="24"/>
        </w:rPr>
      </w:pPr>
    </w:p>
    <w:p w14:paraId="54B5579A">
      <w:pPr>
        <w:pStyle w:val="17"/>
        <w:rPr>
          <w:rFonts w:ascii="Times New Roman" w:hAnsi="Times New Roman" w:eastAsia="宋体" w:cs="Times New Roman"/>
          <w:b/>
          <w:bCs/>
          <w:color w:val="000000"/>
          <w:sz w:val="24"/>
          <w:szCs w:val="24"/>
        </w:rPr>
      </w:pPr>
    </w:p>
    <w:p w14:paraId="4BEE96A5">
      <w:pPr>
        <w:pStyle w:val="17"/>
        <w:rPr>
          <w:rFonts w:ascii="Times New Roman" w:hAnsi="Times New Roman" w:eastAsia="宋体" w:cs="Times New Roman"/>
          <w:b/>
          <w:bCs/>
          <w:color w:val="000000"/>
          <w:sz w:val="24"/>
          <w:szCs w:val="24"/>
        </w:rPr>
      </w:pPr>
    </w:p>
    <w:p w14:paraId="1B1620C5">
      <w:pPr>
        <w:pStyle w:val="17"/>
        <w:rPr>
          <w:rFonts w:ascii="Times New Roman" w:hAnsi="Times New Roman" w:eastAsia="宋体" w:cs="Times New Roman"/>
          <w:b/>
          <w:bCs/>
          <w:color w:val="000000"/>
          <w:sz w:val="24"/>
          <w:szCs w:val="24"/>
        </w:rPr>
      </w:pPr>
    </w:p>
    <w:p w14:paraId="3AF3DD7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7"/>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55E3F7">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涨断机激光系统升级改造项目</w:t>
      </w:r>
    </w:p>
    <w:p w14:paraId="76BA2708">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695B311">
      <w:pPr>
        <w:rPr>
          <w:rFonts w:ascii="宋体" w:hAnsi="Calibri" w:eastAsia="宋体" w:cs="宋体"/>
          <w:b/>
          <w:bCs/>
          <w:color w:val="000000"/>
          <w:sz w:val="28"/>
          <w:szCs w:val="20"/>
        </w:rPr>
      </w:pPr>
    </w:p>
    <w:p w14:paraId="1980F9C3">
      <w:pPr>
        <w:rPr>
          <w:rFonts w:ascii="宋体" w:hAnsi="Calibri" w:eastAsia="宋体" w:cs="宋体"/>
          <w:b/>
          <w:bCs/>
          <w:color w:val="000000"/>
          <w:sz w:val="28"/>
          <w:szCs w:val="20"/>
        </w:rPr>
      </w:pPr>
    </w:p>
    <w:p w14:paraId="23A6F870">
      <w:pPr>
        <w:rPr>
          <w:rFonts w:ascii="宋体" w:hAnsi="Calibri" w:eastAsia="宋体" w:cs="宋体"/>
          <w:b/>
          <w:bCs/>
          <w:color w:val="000000"/>
          <w:sz w:val="28"/>
          <w:szCs w:val="20"/>
        </w:r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lang w:eastAsia="zh-CN"/>
        </w:rPr>
        <w:t>涨断机激光系统升级改造项目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jc w:val="center"/>
              <w:rPr>
                <w:rFonts w:ascii="Times New Roman" w:hAnsi="Times New Roman" w:eastAsia="宋体" w:cs="Times New Roman"/>
                <w:b/>
                <w:sz w:val="24"/>
                <w:szCs w:val="20"/>
              </w:rPr>
            </w:pPr>
          </w:p>
        </w:tc>
        <w:tc>
          <w:tcPr>
            <w:tcW w:w="3449" w:type="dxa"/>
          </w:tcPr>
          <w:p w14:paraId="06D74D73">
            <w:pPr>
              <w:jc w:val="center"/>
              <w:rPr>
                <w:rFonts w:ascii="Times New Roman" w:hAnsi="Times New Roman" w:eastAsia="宋体" w:cs="Times New Roman"/>
                <w:b/>
                <w:sz w:val="24"/>
                <w:szCs w:val="20"/>
              </w:rPr>
            </w:pPr>
          </w:p>
        </w:tc>
        <w:tc>
          <w:tcPr>
            <w:tcW w:w="2414" w:type="dxa"/>
          </w:tcPr>
          <w:p w14:paraId="7FE7BB77">
            <w:pPr>
              <w:jc w:val="center"/>
              <w:rPr>
                <w:rFonts w:ascii="Times New Roman" w:hAnsi="Times New Roman" w:eastAsia="宋体" w:cs="Times New Roman"/>
                <w:b/>
                <w:sz w:val="24"/>
                <w:szCs w:val="20"/>
              </w:rPr>
            </w:pPr>
          </w:p>
        </w:tc>
        <w:tc>
          <w:tcPr>
            <w:tcW w:w="1608" w:type="dxa"/>
          </w:tcPr>
          <w:p w14:paraId="074AEA31">
            <w:pPr>
              <w:jc w:val="center"/>
              <w:rPr>
                <w:rFonts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jc w:val="center"/>
              <w:rPr>
                <w:rFonts w:ascii="Times New Roman" w:hAnsi="Times New Roman" w:eastAsia="宋体" w:cs="Times New Roman"/>
                <w:b/>
                <w:sz w:val="24"/>
                <w:szCs w:val="20"/>
              </w:rPr>
            </w:pPr>
          </w:p>
        </w:tc>
        <w:tc>
          <w:tcPr>
            <w:tcW w:w="3449" w:type="dxa"/>
          </w:tcPr>
          <w:p w14:paraId="64D812BD">
            <w:pPr>
              <w:jc w:val="center"/>
              <w:rPr>
                <w:rFonts w:ascii="Times New Roman" w:hAnsi="Times New Roman" w:eastAsia="宋体" w:cs="Times New Roman"/>
                <w:b/>
                <w:sz w:val="24"/>
                <w:szCs w:val="20"/>
              </w:rPr>
            </w:pPr>
          </w:p>
        </w:tc>
        <w:tc>
          <w:tcPr>
            <w:tcW w:w="2414" w:type="dxa"/>
          </w:tcPr>
          <w:p w14:paraId="2C14A651">
            <w:pPr>
              <w:jc w:val="center"/>
              <w:rPr>
                <w:rFonts w:ascii="Times New Roman" w:hAnsi="Times New Roman" w:eastAsia="宋体" w:cs="Times New Roman"/>
                <w:b/>
                <w:sz w:val="24"/>
                <w:szCs w:val="20"/>
              </w:rPr>
            </w:pPr>
          </w:p>
        </w:tc>
        <w:tc>
          <w:tcPr>
            <w:tcW w:w="1608" w:type="dxa"/>
          </w:tcPr>
          <w:p w14:paraId="1F90E585">
            <w:pPr>
              <w:jc w:val="center"/>
              <w:rPr>
                <w:rFonts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jc w:val="center"/>
              <w:rPr>
                <w:rFonts w:ascii="Times New Roman" w:hAnsi="Times New Roman" w:eastAsia="宋体" w:cs="Times New Roman"/>
                <w:b/>
                <w:sz w:val="24"/>
                <w:szCs w:val="20"/>
              </w:rPr>
            </w:pPr>
          </w:p>
        </w:tc>
        <w:tc>
          <w:tcPr>
            <w:tcW w:w="3449" w:type="dxa"/>
          </w:tcPr>
          <w:p w14:paraId="24158B7E">
            <w:pPr>
              <w:jc w:val="center"/>
              <w:rPr>
                <w:rFonts w:ascii="Times New Roman" w:hAnsi="Times New Roman" w:eastAsia="宋体" w:cs="Times New Roman"/>
                <w:b/>
                <w:sz w:val="24"/>
                <w:szCs w:val="20"/>
              </w:rPr>
            </w:pPr>
          </w:p>
        </w:tc>
        <w:tc>
          <w:tcPr>
            <w:tcW w:w="2414" w:type="dxa"/>
          </w:tcPr>
          <w:p w14:paraId="23EBCB9E">
            <w:pPr>
              <w:jc w:val="center"/>
              <w:rPr>
                <w:rFonts w:ascii="Times New Roman" w:hAnsi="Times New Roman" w:eastAsia="宋体" w:cs="Times New Roman"/>
                <w:b/>
                <w:sz w:val="24"/>
                <w:szCs w:val="20"/>
              </w:rPr>
            </w:pPr>
          </w:p>
        </w:tc>
        <w:tc>
          <w:tcPr>
            <w:tcW w:w="1608" w:type="dxa"/>
          </w:tcPr>
          <w:p w14:paraId="63362BD3">
            <w:pPr>
              <w:jc w:val="center"/>
              <w:rPr>
                <w:rFonts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FFE4DB9">
            <w:pPr>
              <w:jc w:val="center"/>
              <w:rPr>
                <w:rFonts w:ascii="Times New Roman" w:hAnsi="Times New Roman" w:eastAsia="宋体" w:cs="Times New Roman"/>
                <w:b/>
                <w:sz w:val="24"/>
                <w:szCs w:val="20"/>
              </w:rPr>
            </w:pPr>
          </w:p>
        </w:tc>
        <w:tc>
          <w:tcPr>
            <w:tcW w:w="3449" w:type="dxa"/>
          </w:tcPr>
          <w:p w14:paraId="0EE7C0A5">
            <w:pPr>
              <w:jc w:val="center"/>
              <w:rPr>
                <w:rFonts w:ascii="Times New Roman" w:hAnsi="Times New Roman" w:eastAsia="宋体" w:cs="Times New Roman"/>
                <w:b/>
                <w:sz w:val="24"/>
                <w:szCs w:val="20"/>
              </w:rPr>
            </w:pPr>
          </w:p>
        </w:tc>
        <w:tc>
          <w:tcPr>
            <w:tcW w:w="2414" w:type="dxa"/>
          </w:tcPr>
          <w:p w14:paraId="33D2AE0F">
            <w:pPr>
              <w:jc w:val="center"/>
              <w:rPr>
                <w:rFonts w:ascii="Times New Roman" w:hAnsi="Times New Roman" w:eastAsia="宋体" w:cs="Times New Roman"/>
                <w:b/>
                <w:sz w:val="24"/>
                <w:szCs w:val="20"/>
              </w:rPr>
            </w:pPr>
          </w:p>
        </w:tc>
        <w:tc>
          <w:tcPr>
            <w:tcW w:w="1608" w:type="dxa"/>
          </w:tcPr>
          <w:p w14:paraId="15067503">
            <w:pPr>
              <w:jc w:val="center"/>
              <w:rPr>
                <w:rFonts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jc w:val="center"/>
              <w:rPr>
                <w:rFonts w:ascii="Times New Roman" w:hAnsi="Times New Roman" w:eastAsia="宋体" w:cs="Times New Roman"/>
                <w:b/>
                <w:sz w:val="24"/>
                <w:szCs w:val="20"/>
              </w:rPr>
            </w:pPr>
          </w:p>
        </w:tc>
        <w:tc>
          <w:tcPr>
            <w:tcW w:w="3449" w:type="dxa"/>
          </w:tcPr>
          <w:p w14:paraId="4EA7B1E4">
            <w:pPr>
              <w:jc w:val="center"/>
              <w:rPr>
                <w:rFonts w:ascii="Times New Roman" w:hAnsi="Times New Roman" w:eastAsia="宋体" w:cs="Times New Roman"/>
                <w:b/>
                <w:sz w:val="24"/>
                <w:szCs w:val="20"/>
              </w:rPr>
            </w:pPr>
          </w:p>
        </w:tc>
        <w:tc>
          <w:tcPr>
            <w:tcW w:w="2414" w:type="dxa"/>
          </w:tcPr>
          <w:p w14:paraId="6199DCA9">
            <w:pPr>
              <w:jc w:val="center"/>
              <w:rPr>
                <w:rFonts w:ascii="Times New Roman" w:hAnsi="Times New Roman" w:eastAsia="宋体" w:cs="Times New Roman"/>
                <w:b/>
                <w:sz w:val="24"/>
                <w:szCs w:val="20"/>
              </w:rPr>
            </w:pPr>
          </w:p>
        </w:tc>
        <w:tc>
          <w:tcPr>
            <w:tcW w:w="1608" w:type="dxa"/>
          </w:tcPr>
          <w:p w14:paraId="58C95BB7">
            <w:pPr>
              <w:jc w:val="center"/>
              <w:rPr>
                <w:rFonts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jc w:val="center"/>
              <w:rPr>
                <w:rFonts w:ascii="Times New Roman" w:hAnsi="Times New Roman" w:eastAsia="宋体" w:cs="Times New Roman"/>
                <w:b/>
                <w:sz w:val="24"/>
                <w:szCs w:val="20"/>
              </w:rPr>
            </w:pPr>
          </w:p>
        </w:tc>
        <w:tc>
          <w:tcPr>
            <w:tcW w:w="3449" w:type="dxa"/>
          </w:tcPr>
          <w:p w14:paraId="036707FA">
            <w:pPr>
              <w:jc w:val="center"/>
              <w:rPr>
                <w:rFonts w:ascii="Times New Roman" w:hAnsi="Times New Roman" w:eastAsia="宋体" w:cs="Times New Roman"/>
                <w:b/>
                <w:sz w:val="24"/>
                <w:szCs w:val="20"/>
              </w:rPr>
            </w:pPr>
          </w:p>
        </w:tc>
        <w:tc>
          <w:tcPr>
            <w:tcW w:w="2414" w:type="dxa"/>
          </w:tcPr>
          <w:p w14:paraId="32CD09D3">
            <w:pPr>
              <w:jc w:val="center"/>
              <w:rPr>
                <w:rFonts w:ascii="Times New Roman" w:hAnsi="Times New Roman" w:eastAsia="宋体" w:cs="Times New Roman"/>
                <w:b/>
                <w:sz w:val="24"/>
                <w:szCs w:val="20"/>
              </w:rPr>
            </w:pPr>
          </w:p>
        </w:tc>
        <w:tc>
          <w:tcPr>
            <w:tcW w:w="1608" w:type="dxa"/>
          </w:tcPr>
          <w:p w14:paraId="409BE5C9">
            <w:pPr>
              <w:jc w:val="center"/>
              <w:rPr>
                <w:rFonts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jc w:val="center"/>
              <w:rPr>
                <w:rFonts w:ascii="Times New Roman" w:hAnsi="Times New Roman" w:eastAsia="宋体" w:cs="Times New Roman"/>
                <w:b/>
                <w:sz w:val="24"/>
                <w:szCs w:val="20"/>
              </w:rPr>
            </w:pPr>
          </w:p>
        </w:tc>
        <w:tc>
          <w:tcPr>
            <w:tcW w:w="3449" w:type="dxa"/>
          </w:tcPr>
          <w:p w14:paraId="33C3E461">
            <w:pPr>
              <w:jc w:val="center"/>
              <w:rPr>
                <w:rFonts w:ascii="Times New Roman" w:hAnsi="Times New Roman" w:eastAsia="宋体" w:cs="Times New Roman"/>
                <w:b/>
                <w:sz w:val="24"/>
                <w:szCs w:val="20"/>
              </w:rPr>
            </w:pPr>
          </w:p>
        </w:tc>
        <w:tc>
          <w:tcPr>
            <w:tcW w:w="2414" w:type="dxa"/>
          </w:tcPr>
          <w:p w14:paraId="1CA23CF9">
            <w:pPr>
              <w:jc w:val="center"/>
              <w:rPr>
                <w:rFonts w:ascii="Times New Roman" w:hAnsi="Times New Roman" w:eastAsia="宋体" w:cs="Times New Roman"/>
                <w:b/>
                <w:sz w:val="24"/>
                <w:szCs w:val="20"/>
              </w:rPr>
            </w:pPr>
          </w:p>
        </w:tc>
        <w:tc>
          <w:tcPr>
            <w:tcW w:w="1608" w:type="dxa"/>
          </w:tcPr>
          <w:p w14:paraId="09733793">
            <w:pPr>
              <w:jc w:val="center"/>
              <w:rPr>
                <w:rFonts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B5EEB">
            <w:pPr>
              <w:jc w:val="center"/>
              <w:rPr>
                <w:rFonts w:ascii="Times New Roman" w:hAnsi="Times New Roman" w:eastAsia="宋体" w:cs="Times New Roman"/>
                <w:b/>
                <w:sz w:val="24"/>
                <w:szCs w:val="20"/>
              </w:rPr>
            </w:pPr>
          </w:p>
        </w:tc>
        <w:tc>
          <w:tcPr>
            <w:tcW w:w="3449" w:type="dxa"/>
          </w:tcPr>
          <w:p w14:paraId="1943E96C">
            <w:pPr>
              <w:jc w:val="center"/>
              <w:rPr>
                <w:rFonts w:ascii="Times New Roman" w:hAnsi="Times New Roman" w:eastAsia="宋体" w:cs="Times New Roman"/>
                <w:b/>
                <w:sz w:val="24"/>
                <w:szCs w:val="20"/>
              </w:rPr>
            </w:pPr>
          </w:p>
        </w:tc>
        <w:tc>
          <w:tcPr>
            <w:tcW w:w="2414" w:type="dxa"/>
          </w:tcPr>
          <w:p w14:paraId="2BD024A3">
            <w:pPr>
              <w:jc w:val="center"/>
              <w:rPr>
                <w:rFonts w:ascii="Times New Roman" w:hAnsi="Times New Roman" w:eastAsia="宋体" w:cs="Times New Roman"/>
                <w:b/>
                <w:sz w:val="24"/>
                <w:szCs w:val="20"/>
              </w:rPr>
            </w:pPr>
          </w:p>
        </w:tc>
        <w:tc>
          <w:tcPr>
            <w:tcW w:w="1608" w:type="dxa"/>
          </w:tcPr>
          <w:p w14:paraId="67C2274E">
            <w:pPr>
              <w:jc w:val="center"/>
              <w:rPr>
                <w:rFonts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1D0EB5C">
      <w:pPr>
        <w:spacing w:line="660" w:lineRule="exact"/>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13F96B0">
      <w:pPr>
        <w:rPr>
          <w:rFonts w:ascii="宋体" w:hAnsi="Calibri" w:eastAsia="宋体" w:cs="宋体"/>
          <w:b/>
          <w:bCs/>
          <w:color w:val="000000"/>
          <w:sz w:val="28"/>
          <w:szCs w:val="20"/>
        </w:rPr>
      </w:pPr>
    </w:p>
    <w:p w14:paraId="3932CA6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5051331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3921F2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27"/>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1A61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152C86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414123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7CAAC0F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00713A2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F11392">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0E1F8DA7">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13D2591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45696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8EA444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3A4A8BD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79DEC6C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341443CF">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7DCE6124">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F9D08FA">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390D65EF">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6E1F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6B5C849">
            <w:pPr>
              <w:jc w:val="center"/>
              <w:textAlignment w:val="center"/>
              <w:rPr>
                <w:rFonts w:hint="default" w:ascii="宋体" w:hAnsi="宋体" w:eastAsia="宋体" w:cs="宋体"/>
                <w:b/>
                <w:bCs/>
                <w:kern w:val="2"/>
                <w:sz w:val="21"/>
                <w:szCs w:val="21"/>
                <w:lang w:val="en-US" w:eastAsia="zh-CN" w:bidi="ar-SA"/>
              </w:rPr>
            </w:pPr>
          </w:p>
        </w:tc>
        <w:tc>
          <w:tcPr>
            <w:tcW w:w="2471" w:type="dxa"/>
            <w:shd w:val="clear" w:color="auto" w:fill="auto"/>
            <w:vAlign w:val="center"/>
          </w:tcPr>
          <w:p w14:paraId="7350A652">
            <w:pPr>
              <w:jc w:val="center"/>
              <w:textAlignment w:val="center"/>
              <w:rPr>
                <w:rFonts w:hint="eastAsia" w:ascii="宋体" w:hAnsi="宋体" w:eastAsia="宋体" w:cs="宋体"/>
                <w:b/>
                <w:bCs/>
                <w:kern w:val="2"/>
                <w:sz w:val="21"/>
                <w:szCs w:val="21"/>
                <w:lang w:val="en-US" w:eastAsia="zh-CN" w:bidi="ar-SA"/>
              </w:rPr>
            </w:pPr>
          </w:p>
        </w:tc>
        <w:tc>
          <w:tcPr>
            <w:tcW w:w="2472" w:type="dxa"/>
            <w:shd w:val="clear" w:color="auto" w:fill="auto"/>
            <w:vAlign w:val="top"/>
          </w:tcPr>
          <w:p w14:paraId="1E9531AF">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5B6CAF1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170D0E3A">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4B5E9185">
            <w:pPr>
              <w:rPr>
                <w:rFonts w:ascii="Arial"/>
              </w:rPr>
            </w:pPr>
          </w:p>
        </w:tc>
        <w:tc>
          <w:tcPr>
            <w:tcW w:w="1496" w:type="dxa"/>
            <w:vAlign w:val="center"/>
          </w:tcPr>
          <w:p w14:paraId="30C411DC">
            <w:pPr>
              <w:jc w:val="center"/>
              <w:textAlignment w:val="center"/>
              <w:rPr>
                <w:rFonts w:ascii="宋体" w:hAnsi="宋体" w:eastAsia="宋体" w:cs="宋体"/>
                <w:kern w:val="2"/>
                <w:sz w:val="24"/>
                <w:szCs w:val="24"/>
                <w:lang w:val="en-US" w:eastAsia="zh-CN" w:bidi="ar-SA"/>
              </w:rPr>
            </w:pPr>
          </w:p>
        </w:tc>
      </w:tr>
      <w:tr w14:paraId="3206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8E003D6">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3234B96E">
            <w:pPr>
              <w:jc w:val="both"/>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5F2CB5DD">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693D4D7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0002B0B7">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5A11E186">
            <w:pPr>
              <w:rPr>
                <w:rFonts w:ascii="Arial"/>
              </w:rPr>
            </w:pPr>
          </w:p>
        </w:tc>
        <w:tc>
          <w:tcPr>
            <w:tcW w:w="1496" w:type="dxa"/>
            <w:vAlign w:val="center"/>
          </w:tcPr>
          <w:p w14:paraId="59BED3D0">
            <w:pPr>
              <w:jc w:val="center"/>
              <w:textAlignment w:val="center"/>
              <w:rPr>
                <w:rFonts w:ascii="宋体" w:hAnsi="宋体" w:eastAsia="宋体" w:cs="宋体"/>
                <w:kern w:val="2"/>
                <w:sz w:val="24"/>
                <w:szCs w:val="24"/>
                <w:lang w:val="en-US" w:eastAsia="zh-CN" w:bidi="ar-SA"/>
              </w:rPr>
            </w:pPr>
          </w:p>
        </w:tc>
      </w:tr>
      <w:tr w14:paraId="70ED7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807E757">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5C360E26">
            <w:pPr>
              <w:jc w:val="center"/>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2922639F">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56D3E6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702D1DA8">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4A3DA9E7">
            <w:pPr>
              <w:rPr>
                <w:rFonts w:ascii="Arial"/>
              </w:rPr>
            </w:pPr>
          </w:p>
        </w:tc>
        <w:tc>
          <w:tcPr>
            <w:tcW w:w="1496" w:type="dxa"/>
            <w:vAlign w:val="center"/>
          </w:tcPr>
          <w:p w14:paraId="66DF8E0D">
            <w:pPr>
              <w:jc w:val="center"/>
              <w:textAlignment w:val="center"/>
              <w:rPr>
                <w:rFonts w:hint="default" w:ascii="宋体" w:hAnsi="宋体" w:eastAsia="宋体" w:cs="宋体"/>
                <w:kern w:val="2"/>
                <w:sz w:val="24"/>
                <w:szCs w:val="24"/>
                <w:lang w:val="en-US" w:eastAsia="zh-CN" w:bidi="ar-SA"/>
              </w:rPr>
            </w:pPr>
          </w:p>
        </w:tc>
      </w:tr>
      <w:tr w14:paraId="7594B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743F93F">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2D1F544D">
            <w:pPr>
              <w:jc w:val="both"/>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6F3EB90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311B8078">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2718BB7F">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2B789412">
            <w:pPr>
              <w:rPr>
                <w:rFonts w:ascii="Arial"/>
              </w:rPr>
            </w:pPr>
          </w:p>
        </w:tc>
        <w:tc>
          <w:tcPr>
            <w:tcW w:w="1496" w:type="dxa"/>
            <w:vAlign w:val="center"/>
          </w:tcPr>
          <w:p w14:paraId="21FB9EC1">
            <w:pPr>
              <w:jc w:val="center"/>
              <w:textAlignment w:val="center"/>
              <w:rPr>
                <w:rFonts w:hint="default" w:ascii="宋体" w:hAnsi="宋体" w:eastAsia="宋体" w:cs="宋体"/>
                <w:kern w:val="2"/>
                <w:sz w:val="24"/>
                <w:szCs w:val="24"/>
                <w:lang w:val="en-US" w:eastAsia="zh-CN" w:bidi="ar-SA"/>
              </w:rPr>
            </w:pPr>
          </w:p>
        </w:tc>
      </w:tr>
      <w:tr w14:paraId="2D9AD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BC379B">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4EC8C413">
            <w:pPr>
              <w:jc w:val="center"/>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0D58100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CBE7FB3">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0595C55F">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2A4EE9AE">
            <w:pPr>
              <w:rPr>
                <w:rFonts w:ascii="Arial"/>
              </w:rPr>
            </w:pPr>
          </w:p>
        </w:tc>
        <w:tc>
          <w:tcPr>
            <w:tcW w:w="1496" w:type="dxa"/>
            <w:vAlign w:val="center"/>
          </w:tcPr>
          <w:p w14:paraId="165E6BE0">
            <w:pPr>
              <w:jc w:val="center"/>
              <w:textAlignment w:val="center"/>
              <w:rPr>
                <w:rFonts w:ascii="宋体" w:hAnsi="宋体" w:eastAsia="宋体" w:cs="宋体"/>
                <w:kern w:val="2"/>
                <w:sz w:val="24"/>
                <w:szCs w:val="24"/>
                <w:lang w:val="en-US" w:eastAsia="zh-CN" w:bidi="ar-SA"/>
              </w:rPr>
            </w:pPr>
          </w:p>
        </w:tc>
      </w:tr>
    </w:tbl>
    <w:p w14:paraId="28CEB138">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5E71D3A8">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6542738">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466BC1E7">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E26948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0E1335D">
      <w:pPr>
        <w:spacing w:before="78" w:line="219" w:lineRule="auto"/>
        <w:ind w:left="431"/>
        <w:rPr>
          <w:rFonts w:hint="eastAsia" w:ascii="宋体" w:hAnsi="宋体" w:eastAsia="宋体" w:cs="宋体"/>
          <w:b w:val="0"/>
          <w:bCs w:val="0"/>
          <w:spacing w:val="-6"/>
          <w:szCs w:val="21"/>
          <w:lang w:val="en-US" w:eastAsia="zh-CN"/>
        </w:rPr>
      </w:pPr>
    </w:p>
    <w:p w14:paraId="60152926">
      <w:pPr>
        <w:spacing w:line="105" w:lineRule="exact"/>
      </w:pPr>
    </w:p>
    <w:p w14:paraId="5E39E886">
      <w:pPr>
        <w:rPr>
          <w:rFonts w:hint="default" w:eastAsia="宋体"/>
          <w:lang w:val="en-US" w:eastAsia="zh-CN"/>
        </w:rPr>
        <w:sectPr>
          <w:footerReference r:id="rId23" w:type="default"/>
          <w:pgSz w:w="16841" w:h="11907" w:orient="landscape"/>
          <w:pgMar w:top="400" w:right="1387" w:bottom="1168" w:left="1473" w:header="0" w:footer="990" w:gutter="0"/>
          <w:pgNumType w:fmt="decimal"/>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w:t>
      </w:r>
      <w:r>
        <w:rPr>
          <w:rFonts w:hint="eastAsia" w:ascii="Times New Roman" w:hAnsi="Times New Roman" w:eastAsia="宋体" w:cs="Times New Roman"/>
          <w:b/>
          <w:bCs/>
          <w:color w:val="000000"/>
          <w:sz w:val="24"/>
          <w:szCs w:val="24"/>
        </w:rPr>
        <w:t>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rPr>
        <w:t>涨断机激光系统升级改造项目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781C3FBC">
      <w:pPr>
        <w:rPr>
          <w:rFonts w:ascii="宋体" w:hAnsi="Calibri" w:eastAsia="宋体" w:cs="宋体"/>
          <w:b/>
          <w:bCs/>
          <w:color w:val="000000"/>
          <w:sz w:val="28"/>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Times New Roman"/>
          <w:sz w:val="24"/>
          <w:szCs w:val="20"/>
          <w:highlight w:val="none"/>
          <w:u w:val="single"/>
          <w:lang w:eastAsia="zh-CN"/>
        </w:rPr>
        <w:t>涨断机激光系统升级改造项目</w:t>
      </w:r>
    </w:p>
    <w:p w14:paraId="019D66F0">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741C41">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rPr>
        <w:t>涨断机激光系统升级改造项目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highlight w:val="none"/>
                <w:lang w:eastAsia="zh-CN"/>
              </w:rPr>
            </w:pPr>
            <w:r>
              <w:rPr>
                <w:rFonts w:hint="eastAsia" w:ascii="Times New Roman" w:hAnsi="Times New Roman" w:eastAsia="宋体" w:cs="Times New Roman"/>
                <w:b/>
                <w:szCs w:val="20"/>
                <w:highlight w:val="none"/>
                <w:lang w:eastAsia="zh-CN"/>
              </w:rPr>
              <w:t>涨断机激光系统升级改造项目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1"/>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49BB1849">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3B1ACF4">
      <w:pPr>
        <w:pStyle w:val="17"/>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3DACC8E6">
      <w:pPr>
        <w:pStyle w:val="17"/>
        <w:sectPr>
          <w:pgSz w:w="11906" w:h="16838"/>
          <w:pgMar w:top="1588" w:right="1418" w:bottom="1134" w:left="1418" w:header="851" w:footer="992" w:gutter="0"/>
          <w:cols w:space="720" w:num="1"/>
          <w:titlePg/>
          <w:docGrid w:type="lines" w:linePitch="312" w:charSpace="0"/>
        </w:sectPr>
      </w:pPr>
    </w:p>
    <w:p w14:paraId="2464546E">
      <w:pPr>
        <w:rPr>
          <w:rFonts w:ascii="宋体" w:hAnsi="宋体" w:cs="宋体"/>
          <w:color w:val="000000"/>
          <w:sz w:val="24"/>
          <w:szCs w:val="24"/>
        </w:rPr>
      </w:pPr>
    </w:p>
    <w:p w14:paraId="2A399283">
      <w:pPr>
        <w:pStyle w:val="5"/>
        <w:spacing w:after="0" w:line="240" w:lineRule="auto"/>
        <w:jc w:val="left"/>
        <w:rPr>
          <w:rFonts w:ascii="宋体" w:hAnsi="宋体" w:cs="宋体"/>
          <w:color w:val="000000" w:themeColor="text1"/>
          <w:spacing w:val="8"/>
          <w:sz w:val="24"/>
          <w:szCs w:val="24"/>
          <w14:textOutline w14:w="5791"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附件9 </w:t>
      </w:r>
      <w:r>
        <w:rPr>
          <w:rFonts w:ascii="宋体" w:hAnsi="宋体" w:cs="宋体"/>
          <w:color w:val="000000" w:themeColor="text1"/>
          <w:spacing w:val="13"/>
          <w:sz w:val="24"/>
          <w:szCs w:val="24"/>
          <w14:textOutline w14:w="5791" w14:cap="flat" w14:cmpd="sng" w14:algn="ctr">
            <w14:solidFill>
              <w14:srgbClr w14:val="000000"/>
            </w14:solidFill>
            <w14:prstDash w14:val="solid"/>
            <w14:miter w14:val="0"/>
          </w14:textOutline>
          <w14:textFill>
            <w14:solidFill>
              <w14:schemeClr w14:val="tx1"/>
            </w14:solidFill>
          </w14:textFill>
        </w:rPr>
        <w:t>设</w:t>
      </w:r>
      <w:r>
        <w:rPr>
          <w:rFonts w:ascii="宋体" w:hAnsi="宋体" w:cs="宋体"/>
          <w:color w:val="000000" w:themeColor="text1"/>
          <w:spacing w:val="8"/>
          <w:sz w:val="24"/>
          <w:szCs w:val="24"/>
          <w14:textOutline w14:w="5791" w14:cap="flat" w14:cmpd="sng" w14:algn="ctr">
            <w14:solidFill>
              <w14:srgbClr w14:val="000000"/>
            </w14:solidFill>
            <w14:prstDash w14:val="solid"/>
            <w14:miter w14:val="0"/>
          </w14:textOutline>
          <w14:textFill>
            <w14:solidFill>
              <w14:schemeClr w14:val="tx1"/>
            </w14:solidFill>
          </w14:textFill>
        </w:rPr>
        <w:t>备分项报价表</w:t>
      </w:r>
    </w:p>
    <w:p w14:paraId="617DECBB">
      <w:pPr>
        <w:pStyle w:val="6"/>
        <w:spacing w:after="0"/>
        <w:rPr>
          <w:color w:val="000000" w:themeColor="text1"/>
          <w14:textFill>
            <w14:solidFill>
              <w14:schemeClr w14:val="tx1"/>
            </w14:solidFill>
          </w14:textFill>
        </w:rPr>
      </w:pPr>
      <w:r>
        <w:rPr>
          <w:rFonts w:ascii="宋体" w:hAnsi="宋体" w:eastAsia="宋体" w:cs="宋体"/>
          <w:color w:val="000000" w:themeColor="text1"/>
          <w:spacing w:val="-9"/>
          <w:sz w:val="24"/>
          <w:szCs w:val="24"/>
          <w14:textOutline w14:w="4356" w14:cap="flat" w14:cmpd="sng" w14:algn="ctr">
            <w14:solidFill>
              <w14:srgbClr w14:val="000000"/>
            </w14:solidFill>
            <w14:prstDash w14:val="solid"/>
            <w14:miter w14:val="0"/>
          </w14:textOutline>
          <w14:textFill>
            <w14:solidFill>
              <w14:schemeClr w14:val="tx1"/>
            </w14:solidFill>
          </w14:textFill>
        </w:rPr>
        <w:t>表</w:t>
      </w:r>
      <w:r>
        <w:rPr>
          <w:rFonts w:ascii="宋体" w:hAnsi="宋体" w:eastAsia="宋体" w:cs="宋体"/>
          <w:color w:val="000000" w:themeColor="text1"/>
          <w:spacing w:val="-7"/>
          <w:sz w:val="24"/>
          <w:szCs w:val="24"/>
          <w14:textFill>
            <w14:solidFill>
              <w14:schemeClr w14:val="tx1"/>
            </w14:solidFill>
          </w14:textFill>
        </w:rPr>
        <w:t xml:space="preserve"> </w:t>
      </w:r>
      <w:r>
        <w:rPr>
          <w:rFonts w:hint="eastAsia" w:ascii="宋体" w:hAnsi="宋体" w:eastAsia="宋体" w:cs="宋体"/>
          <w:color w:val="000000" w:themeColor="text1"/>
          <w:spacing w:val="-7"/>
          <w:sz w:val="24"/>
          <w:szCs w:val="24"/>
          <w14:textOutline w14:w="4356" w14:cap="flat" w14:cmpd="sng" w14:algn="ctr">
            <w14:solidFill>
              <w14:srgbClr w14:val="000000"/>
            </w14:solidFill>
            <w14:prstDash w14:val="solid"/>
            <w14:miter w14:val="0"/>
          </w14:textOutline>
          <w14:textFill>
            <w14:solidFill>
              <w14:schemeClr w14:val="tx1"/>
            </w14:solidFill>
          </w14:textFill>
        </w:rPr>
        <w:t>9</w:t>
      </w:r>
      <w:r>
        <w:rPr>
          <w:rFonts w:ascii="宋体" w:hAnsi="宋体" w:eastAsia="宋体" w:cs="宋体"/>
          <w:color w:val="000000" w:themeColor="text1"/>
          <w:spacing w:val="-7"/>
          <w:sz w:val="24"/>
          <w:szCs w:val="24"/>
          <w14:textOutline w14:w="4356" w14:cap="flat" w14:cmpd="sng" w14:algn="ctr">
            <w14:solidFill>
              <w14:srgbClr w14:val="000000"/>
            </w14:solidFill>
            <w14:prstDash w14:val="solid"/>
            <w14:miter w14:val="0"/>
          </w14:textOutline>
          <w14:textFill>
            <w14:solidFill>
              <w14:schemeClr w14:val="tx1"/>
            </w14:solidFill>
          </w14:textFill>
        </w:rPr>
        <w:t>-1</w:t>
      </w:r>
    </w:p>
    <w:p w14:paraId="5FAB4208">
      <w:pPr>
        <w:keepNext/>
        <w:keepLines/>
        <w:spacing w:line="400" w:lineRule="exact"/>
        <w:jc w:val="center"/>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宋体"/>
          <w:color w:val="000000" w:themeColor="text1"/>
          <w:spacing w:val="13"/>
          <w:sz w:val="24"/>
          <w:szCs w:val="24"/>
          <w14:textOutline w14:w="5791" w14:cap="flat" w14:cmpd="sng" w14:algn="ctr">
            <w14:solidFill>
              <w14:srgbClr w14:val="000000"/>
            </w14:solidFill>
            <w14:prstDash w14:val="solid"/>
            <w14:miter w14:val="0"/>
          </w14:textOutline>
          <w14:textFill>
            <w14:solidFill>
              <w14:schemeClr w14:val="tx1"/>
            </w14:solidFill>
          </w14:textFill>
        </w:rPr>
        <w:t>设</w:t>
      </w:r>
      <w:r>
        <w:rPr>
          <w:rFonts w:ascii="宋体" w:hAnsi="宋体" w:eastAsia="宋体" w:cs="宋体"/>
          <w:color w:val="000000" w:themeColor="text1"/>
          <w:spacing w:val="8"/>
          <w:sz w:val="24"/>
          <w:szCs w:val="24"/>
          <w14:textOutline w14:w="5791" w14:cap="flat" w14:cmpd="sng" w14:algn="ctr">
            <w14:solidFill>
              <w14:srgbClr w14:val="000000"/>
            </w14:solidFill>
            <w14:prstDash w14:val="solid"/>
            <w14:miter w14:val="0"/>
          </w14:textOutline>
          <w14:textFill>
            <w14:solidFill>
              <w14:schemeClr w14:val="tx1"/>
            </w14:solidFill>
          </w14:textFill>
        </w:rPr>
        <w:t>备分项报价表</w:t>
      </w:r>
    </w:p>
    <w:p w14:paraId="219FFA33">
      <w:pPr>
        <w:spacing w:before="52" w:line="221" w:lineRule="auto"/>
        <w:ind w:left="9"/>
        <w:jc w:val="right"/>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宋体"/>
          <w:color w:val="000000" w:themeColor="text1"/>
          <w:spacing w:val="-1"/>
          <w:szCs w:val="21"/>
          <w14:textFill>
            <w14:solidFill>
              <w14:schemeClr w14:val="tx1"/>
            </w14:solidFill>
          </w14:textFill>
        </w:rPr>
        <w:t xml:space="preserve">                                                                </w:t>
      </w:r>
      <w:r>
        <w:rPr>
          <w:rFonts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第</w:t>
      </w:r>
      <w:r>
        <w:rPr>
          <w:rFonts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页</w:t>
      </w:r>
      <w:r>
        <w:rPr>
          <w:rFonts w:hint="eastAsia"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共</w:t>
      </w:r>
      <w:r>
        <w:rPr>
          <w:rFonts w:hint="eastAsia"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页</w:t>
      </w:r>
    </w:p>
    <w:p w14:paraId="63A24624">
      <w:pPr>
        <w:rPr>
          <w:color w:val="000000" w:themeColor="text1"/>
          <w14:textFill>
            <w14:solidFill>
              <w14:schemeClr w14:val="tx1"/>
            </w14:solidFill>
          </w14:textFill>
        </w:rPr>
      </w:pPr>
    </w:p>
    <w:tbl>
      <w:tblPr>
        <w:tblStyle w:val="36"/>
        <w:tblW w:w="1434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752"/>
        <w:gridCol w:w="2086"/>
        <w:gridCol w:w="4049"/>
        <w:gridCol w:w="402"/>
        <w:gridCol w:w="497"/>
        <w:gridCol w:w="1198"/>
        <w:gridCol w:w="1462"/>
        <w:gridCol w:w="1142"/>
        <w:gridCol w:w="1109"/>
      </w:tblGrid>
      <w:tr w14:paraId="6399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46" w:type="dxa"/>
            <w:noWrap/>
          </w:tcPr>
          <w:p w14:paraId="16561E99">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752" w:type="dxa"/>
            <w:noWrap/>
          </w:tcPr>
          <w:p w14:paraId="3EA55F38">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6135" w:type="dxa"/>
            <w:gridSpan w:val="2"/>
          </w:tcPr>
          <w:p w14:paraId="3DEACF94">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402" w:type="dxa"/>
          </w:tcPr>
          <w:p w14:paraId="43C261F9">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497" w:type="dxa"/>
          </w:tcPr>
          <w:p w14:paraId="2347FEA2">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7439845E">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w:t>
            </w:r>
          </w:p>
        </w:tc>
        <w:tc>
          <w:tcPr>
            <w:tcW w:w="1462" w:type="dxa"/>
            <w:noWrap/>
          </w:tcPr>
          <w:p w14:paraId="789E3FAB">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w:t>
            </w:r>
          </w:p>
        </w:tc>
        <w:tc>
          <w:tcPr>
            <w:tcW w:w="1142" w:type="dxa"/>
          </w:tcPr>
          <w:p w14:paraId="05456DD0">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8</w:t>
            </w:r>
          </w:p>
        </w:tc>
        <w:tc>
          <w:tcPr>
            <w:tcW w:w="1109" w:type="dxa"/>
            <w:noWrap/>
          </w:tcPr>
          <w:p w14:paraId="4DAD10DB">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9</w:t>
            </w:r>
          </w:p>
        </w:tc>
      </w:tr>
      <w:tr w14:paraId="66BC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46" w:type="dxa"/>
            <w:noWrap/>
          </w:tcPr>
          <w:p w14:paraId="0FB386B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序号</w:t>
            </w:r>
          </w:p>
        </w:tc>
        <w:tc>
          <w:tcPr>
            <w:tcW w:w="1752" w:type="dxa"/>
            <w:noWrap/>
          </w:tcPr>
          <w:p w14:paraId="2A94A04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货物名称</w:t>
            </w:r>
          </w:p>
        </w:tc>
        <w:tc>
          <w:tcPr>
            <w:tcW w:w="2086" w:type="dxa"/>
          </w:tcPr>
          <w:p w14:paraId="5BE6B02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型号和规格</w:t>
            </w:r>
          </w:p>
        </w:tc>
        <w:tc>
          <w:tcPr>
            <w:tcW w:w="4049" w:type="dxa"/>
          </w:tcPr>
          <w:p w14:paraId="27D5493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具体参数（型号和规格的描述）</w:t>
            </w:r>
          </w:p>
        </w:tc>
        <w:tc>
          <w:tcPr>
            <w:tcW w:w="402" w:type="dxa"/>
          </w:tcPr>
          <w:p w14:paraId="7FE1D7E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单位</w:t>
            </w:r>
          </w:p>
        </w:tc>
        <w:tc>
          <w:tcPr>
            <w:tcW w:w="497" w:type="dxa"/>
          </w:tcPr>
          <w:p w14:paraId="14B0FE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数量</w:t>
            </w:r>
          </w:p>
        </w:tc>
        <w:tc>
          <w:tcPr>
            <w:tcW w:w="1198" w:type="dxa"/>
            <w:noWrap/>
          </w:tcPr>
          <w:p w14:paraId="5B6E0E0B">
            <w:pPr>
              <w:pStyle w:val="2"/>
              <w:rPr>
                <w:color w:val="000000" w:themeColor="text1"/>
                <w:kern w:val="0"/>
                <w:sz w:val="20"/>
                <w:highlight w:val="none"/>
                <w14:textFill>
                  <w14:solidFill>
                    <w14:schemeClr w14:val="tx1"/>
                  </w14:solidFill>
                </w14:textFill>
              </w:rPr>
            </w:pPr>
            <w:r>
              <w:rPr>
                <w:rFonts w:hint="eastAsia"/>
                <w:color w:val="000000" w:themeColor="text1"/>
                <w:kern w:val="0"/>
                <w:sz w:val="20"/>
                <w:highlight w:val="none"/>
                <w14:textFill>
                  <w14:solidFill>
                    <w14:schemeClr w14:val="tx1"/>
                  </w14:solidFill>
                </w14:textFill>
              </w:rPr>
              <w:t>原产地和制造商名称</w:t>
            </w:r>
          </w:p>
        </w:tc>
        <w:tc>
          <w:tcPr>
            <w:tcW w:w="1462" w:type="dxa"/>
            <w:noWrap/>
          </w:tcPr>
          <w:p w14:paraId="4403C7D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单价（不含税）</w:t>
            </w:r>
          </w:p>
        </w:tc>
        <w:tc>
          <w:tcPr>
            <w:tcW w:w="1142" w:type="dxa"/>
          </w:tcPr>
          <w:p w14:paraId="129B786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总价[5×7]（不含税</w:t>
            </w:r>
            <w:r>
              <w:rPr>
                <w:rFonts w:hint="eastAsia" w:cs="宋体"/>
                <w:b w:val="0"/>
                <w:bCs/>
                <w:color w:val="000000" w:themeColor="text1"/>
                <w:kern w:val="0"/>
                <w:sz w:val="20"/>
                <w:szCs w:val="20"/>
                <w:lang w:bidi="ar"/>
                <w14:textFill>
                  <w14:solidFill>
                    <w14:schemeClr w14:val="tx1"/>
                  </w14:solidFill>
                </w14:textFill>
              </w:rPr>
              <w:t>）</w:t>
            </w:r>
          </w:p>
        </w:tc>
        <w:tc>
          <w:tcPr>
            <w:tcW w:w="1109" w:type="dxa"/>
            <w:noWrap/>
          </w:tcPr>
          <w:p w14:paraId="4D3FE5D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备注</w:t>
            </w:r>
          </w:p>
        </w:tc>
      </w:tr>
      <w:tr w14:paraId="1DBC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646" w:type="dxa"/>
            <w:noWrap/>
          </w:tcPr>
          <w:p w14:paraId="184F691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752" w:type="dxa"/>
          </w:tcPr>
          <w:p w14:paraId="089AC5F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多模QCW光纤激光器-机柜型</w:t>
            </w:r>
          </w:p>
        </w:tc>
        <w:tc>
          <w:tcPr>
            <w:tcW w:w="2086" w:type="dxa"/>
          </w:tcPr>
          <w:p w14:paraId="18A8ED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YLS-QCW系列</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YLS-600/6000-QCW-AC</w:t>
            </w:r>
          </w:p>
        </w:tc>
        <w:tc>
          <w:tcPr>
            <w:tcW w:w="4049" w:type="dxa"/>
          </w:tcPr>
          <w:p w14:paraId="1C3DFC7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波长1070纳米，输出通道1，多模平均功率最高2kW，10倍峰值功率最高20kW，脉冲能量最高240J。光纤芯径、光纤长度、通讯接口、安全功能需定制</w:t>
            </w:r>
          </w:p>
        </w:tc>
        <w:tc>
          <w:tcPr>
            <w:tcW w:w="402" w:type="dxa"/>
          </w:tcPr>
          <w:p w14:paraId="2F4036E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35C9C4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tcPr>
          <w:p w14:paraId="7E65761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IPG（美国）</w:t>
            </w:r>
          </w:p>
        </w:tc>
        <w:tc>
          <w:tcPr>
            <w:tcW w:w="1462" w:type="dxa"/>
          </w:tcPr>
          <w:p w14:paraId="7F81120C">
            <w:pPr>
              <w:pStyle w:val="2"/>
              <w:rPr>
                <w:color w:val="000000" w:themeColor="text1"/>
                <w:kern w:val="0"/>
                <w:sz w:val="20"/>
                <w14:textFill>
                  <w14:solidFill>
                    <w14:schemeClr w14:val="tx1"/>
                  </w14:solidFill>
                </w14:textFill>
              </w:rPr>
            </w:pPr>
          </w:p>
        </w:tc>
        <w:tc>
          <w:tcPr>
            <w:tcW w:w="1142" w:type="dxa"/>
          </w:tcPr>
          <w:p w14:paraId="2AA050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 </w:t>
            </w:r>
          </w:p>
        </w:tc>
        <w:tc>
          <w:tcPr>
            <w:tcW w:w="1109" w:type="dxa"/>
          </w:tcPr>
          <w:p w14:paraId="035CF97C">
            <w:pPr>
              <w:pStyle w:val="2"/>
              <w:rPr>
                <w:color w:val="000000" w:themeColor="text1"/>
                <w:kern w:val="0"/>
                <w:sz w:val="20"/>
                <w14:textFill>
                  <w14:solidFill>
                    <w14:schemeClr w14:val="tx1"/>
                  </w14:solidFill>
                </w14:textFill>
              </w:rPr>
            </w:pPr>
          </w:p>
        </w:tc>
      </w:tr>
      <w:tr w14:paraId="2ABE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37E676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752" w:type="dxa"/>
          </w:tcPr>
          <w:p w14:paraId="3995D73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定制激光头及长杆</w:t>
            </w:r>
          </w:p>
        </w:tc>
        <w:tc>
          <w:tcPr>
            <w:tcW w:w="2086" w:type="dxa"/>
          </w:tcPr>
          <w:p w14:paraId="6D5A292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61A282B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定做激光头，可匹配IPG激光器。长杆采用高精度碳纤维复合材料，长度1100mm，直径70mm。含激光喷嘴等附件</w:t>
            </w:r>
          </w:p>
        </w:tc>
        <w:tc>
          <w:tcPr>
            <w:tcW w:w="402" w:type="dxa"/>
          </w:tcPr>
          <w:p w14:paraId="3B9BD21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5E94B04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1AA9F9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16799D48">
            <w:pPr>
              <w:pStyle w:val="2"/>
              <w:rPr>
                <w:color w:val="000000" w:themeColor="text1"/>
                <w:kern w:val="0"/>
                <w:sz w:val="20"/>
                <w14:textFill>
                  <w14:solidFill>
                    <w14:schemeClr w14:val="tx1"/>
                  </w14:solidFill>
                </w14:textFill>
              </w:rPr>
            </w:pPr>
          </w:p>
        </w:tc>
        <w:tc>
          <w:tcPr>
            <w:tcW w:w="1142" w:type="dxa"/>
          </w:tcPr>
          <w:p w14:paraId="34AC14E1">
            <w:pPr>
              <w:pStyle w:val="2"/>
              <w:rPr>
                <w:kern w:val="0"/>
                <w:sz w:val="20"/>
              </w:rPr>
            </w:pPr>
          </w:p>
        </w:tc>
        <w:tc>
          <w:tcPr>
            <w:tcW w:w="1109" w:type="dxa"/>
            <w:noWrap/>
          </w:tcPr>
          <w:p w14:paraId="67B7F20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51F7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7C77E07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1752" w:type="dxa"/>
          </w:tcPr>
          <w:p w14:paraId="63923C6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激光头旋转机构</w:t>
            </w:r>
          </w:p>
        </w:tc>
        <w:tc>
          <w:tcPr>
            <w:tcW w:w="2086" w:type="dxa"/>
          </w:tcPr>
          <w:p w14:paraId="125BF14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77BF48C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定制，固定激光头长杆,重复定位精度±0.02mm，选择从0°到180°两个固定角度之间运动。</w:t>
            </w:r>
          </w:p>
        </w:tc>
        <w:tc>
          <w:tcPr>
            <w:tcW w:w="402" w:type="dxa"/>
          </w:tcPr>
          <w:p w14:paraId="5B178F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57E81C9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4950B6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2420E8FC">
            <w:pPr>
              <w:pStyle w:val="2"/>
              <w:rPr>
                <w:color w:val="000000" w:themeColor="text1"/>
                <w:kern w:val="0"/>
                <w:sz w:val="20"/>
                <w14:textFill>
                  <w14:solidFill>
                    <w14:schemeClr w14:val="tx1"/>
                  </w14:solidFill>
                </w14:textFill>
              </w:rPr>
            </w:pPr>
          </w:p>
        </w:tc>
        <w:tc>
          <w:tcPr>
            <w:tcW w:w="1142" w:type="dxa"/>
          </w:tcPr>
          <w:p w14:paraId="057FEDC7">
            <w:pPr>
              <w:pStyle w:val="2"/>
              <w:rPr>
                <w:color w:val="000000" w:themeColor="text1"/>
                <w:kern w:val="0"/>
                <w:sz w:val="20"/>
                <w14:textFill>
                  <w14:solidFill>
                    <w14:schemeClr w14:val="tx1"/>
                  </w14:solidFill>
                </w14:textFill>
              </w:rPr>
            </w:pPr>
          </w:p>
        </w:tc>
        <w:tc>
          <w:tcPr>
            <w:tcW w:w="1109" w:type="dxa"/>
          </w:tcPr>
          <w:p w14:paraId="04E442E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04C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46" w:type="dxa"/>
            <w:noWrap/>
          </w:tcPr>
          <w:p w14:paraId="406F2BC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1752" w:type="dxa"/>
          </w:tcPr>
          <w:p w14:paraId="4183D1C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工控机及显示器</w:t>
            </w:r>
          </w:p>
        </w:tc>
        <w:tc>
          <w:tcPr>
            <w:tcW w:w="2086" w:type="dxa"/>
          </w:tcPr>
          <w:p w14:paraId="0F9674F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研华IPC-610</w:t>
            </w:r>
          </w:p>
        </w:tc>
        <w:tc>
          <w:tcPr>
            <w:tcW w:w="4049" w:type="dxa"/>
          </w:tcPr>
          <w:p w14:paraId="6A4E2F9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IPC-610L/750W/ASMB-788G2/I7-14700KCPU/CPU散热器/32G DDR5/1TB SSD固态/1TB HDD机械/Win10 IOT企业版 LTSC 2021正版系统/飞利浦24英寸显示器</w:t>
            </w:r>
          </w:p>
        </w:tc>
        <w:tc>
          <w:tcPr>
            <w:tcW w:w="402" w:type="dxa"/>
          </w:tcPr>
          <w:p w14:paraId="4E84F68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AFAF6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51B8CD2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研华（中国）</w:t>
            </w:r>
          </w:p>
        </w:tc>
        <w:tc>
          <w:tcPr>
            <w:tcW w:w="1462" w:type="dxa"/>
          </w:tcPr>
          <w:p w14:paraId="6C91D3AE">
            <w:pPr>
              <w:pStyle w:val="2"/>
              <w:rPr>
                <w:color w:val="000000" w:themeColor="text1"/>
                <w:kern w:val="0"/>
                <w:sz w:val="20"/>
                <w14:textFill>
                  <w14:solidFill>
                    <w14:schemeClr w14:val="tx1"/>
                  </w14:solidFill>
                </w14:textFill>
              </w:rPr>
            </w:pPr>
          </w:p>
        </w:tc>
        <w:tc>
          <w:tcPr>
            <w:tcW w:w="1142" w:type="dxa"/>
          </w:tcPr>
          <w:p w14:paraId="00AB8B52">
            <w:pPr>
              <w:pStyle w:val="2"/>
              <w:rPr>
                <w:kern w:val="0"/>
                <w:sz w:val="20"/>
              </w:rPr>
            </w:pPr>
            <w:r>
              <w:rPr>
                <w:rFonts w:hint="eastAsia"/>
                <w:color w:val="000000" w:themeColor="text1"/>
                <w:kern w:val="0"/>
                <w:sz w:val="20"/>
                <w14:textFill>
                  <w14:solidFill>
                    <w14:schemeClr w14:val="tx1"/>
                  </w14:solidFill>
                </w14:textFill>
              </w:rPr>
              <w:t xml:space="preserve"> </w:t>
            </w:r>
          </w:p>
        </w:tc>
        <w:tc>
          <w:tcPr>
            <w:tcW w:w="1109" w:type="dxa"/>
          </w:tcPr>
          <w:p w14:paraId="49B0EC6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94A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720F9D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752" w:type="dxa"/>
          </w:tcPr>
          <w:p w14:paraId="650DC1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垂直轴运动机构</w:t>
            </w:r>
          </w:p>
        </w:tc>
        <w:tc>
          <w:tcPr>
            <w:tcW w:w="2086" w:type="dxa"/>
          </w:tcPr>
          <w:p w14:paraId="5881BE5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KR45H10A-0100-0-10A0</w:t>
            </w:r>
          </w:p>
        </w:tc>
        <w:tc>
          <w:tcPr>
            <w:tcW w:w="4049" w:type="dxa"/>
          </w:tcPr>
          <w:p w14:paraId="7B81C72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精度+-0.02mm，行程60mm，可覆盖80-130mm</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的曲轴孔刻痕</w:t>
            </w:r>
          </w:p>
        </w:tc>
        <w:tc>
          <w:tcPr>
            <w:tcW w:w="402" w:type="dxa"/>
          </w:tcPr>
          <w:p w14:paraId="720F8DC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A37EB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C4C9E4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THK（日本）</w:t>
            </w:r>
          </w:p>
        </w:tc>
        <w:tc>
          <w:tcPr>
            <w:tcW w:w="1462" w:type="dxa"/>
          </w:tcPr>
          <w:p w14:paraId="75461487">
            <w:pPr>
              <w:pStyle w:val="2"/>
              <w:rPr>
                <w:color w:val="000000" w:themeColor="text1"/>
                <w:kern w:val="0"/>
                <w:sz w:val="20"/>
                <w14:textFill>
                  <w14:solidFill>
                    <w14:schemeClr w14:val="tx1"/>
                  </w14:solidFill>
                </w14:textFill>
              </w:rPr>
            </w:pPr>
          </w:p>
        </w:tc>
        <w:tc>
          <w:tcPr>
            <w:tcW w:w="1142" w:type="dxa"/>
          </w:tcPr>
          <w:p w14:paraId="77AB5637">
            <w:pPr>
              <w:pStyle w:val="2"/>
              <w:rPr>
                <w:kern w:val="0"/>
                <w:sz w:val="20"/>
              </w:rPr>
            </w:pPr>
          </w:p>
        </w:tc>
        <w:tc>
          <w:tcPr>
            <w:tcW w:w="1109" w:type="dxa"/>
          </w:tcPr>
          <w:p w14:paraId="2A0122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3F0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793B344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w:t>
            </w:r>
          </w:p>
        </w:tc>
        <w:tc>
          <w:tcPr>
            <w:tcW w:w="1752" w:type="dxa"/>
          </w:tcPr>
          <w:p w14:paraId="2B0BDB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高精度高承载直线</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单元</w:t>
            </w:r>
          </w:p>
        </w:tc>
        <w:tc>
          <w:tcPr>
            <w:tcW w:w="2086" w:type="dxa"/>
          </w:tcPr>
          <w:p w14:paraId="78BF4B2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HSR25R1SS</w:t>
            </w:r>
          </w:p>
        </w:tc>
        <w:tc>
          <w:tcPr>
            <w:tcW w:w="4049" w:type="dxa"/>
          </w:tcPr>
          <w:p w14:paraId="2A35438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长度后期根据实际设计为</w:t>
            </w:r>
          </w:p>
        </w:tc>
        <w:tc>
          <w:tcPr>
            <w:tcW w:w="402" w:type="dxa"/>
          </w:tcPr>
          <w:p w14:paraId="2EAB3B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3F3543C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6E9B800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THK（日本）</w:t>
            </w:r>
          </w:p>
        </w:tc>
        <w:tc>
          <w:tcPr>
            <w:tcW w:w="1462" w:type="dxa"/>
          </w:tcPr>
          <w:p w14:paraId="58E47F84">
            <w:pPr>
              <w:pStyle w:val="2"/>
              <w:rPr>
                <w:color w:val="000000" w:themeColor="text1"/>
                <w:kern w:val="0"/>
                <w:sz w:val="20"/>
                <w14:textFill>
                  <w14:solidFill>
                    <w14:schemeClr w14:val="tx1"/>
                  </w14:solidFill>
                </w14:textFill>
              </w:rPr>
            </w:pPr>
          </w:p>
        </w:tc>
        <w:tc>
          <w:tcPr>
            <w:tcW w:w="1142" w:type="dxa"/>
          </w:tcPr>
          <w:p w14:paraId="046BEF7B">
            <w:pPr>
              <w:pStyle w:val="2"/>
              <w:rPr>
                <w:color w:val="000000" w:themeColor="text1"/>
                <w:kern w:val="0"/>
                <w:sz w:val="20"/>
                <w14:textFill>
                  <w14:solidFill>
                    <w14:schemeClr w14:val="tx1"/>
                  </w14:solidFill>
                </w14:textFill>
              </w:rPr>
            </w:pPr>
          </w:p>
        </w:tc>
        <w:tc>
          <w:tcPr>
            <w:tcW w:w="1109" w:type="dxa"/>
          </w:tcPr>
          <w:p w14:paraId="16AAC7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54CF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738391B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w:t>
            </w:r>
          </w:p>
        </w:tc>
        <w:tc>
          <w:tcPr>
            <w:tcW w:w="1752" w:type="dxa"/>
          </w:tcPr>
          <w:p w14:paraId="17C8872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高精度行星减速机</w:t>
            </w:r>
          </w:p>
        </w:tc>
        <w:tc>
          <w:tcPr>
            <w:tcW w:w="2086" w:type="dxa"/>
          </w:tcPr>
          <w:p w14:paraId="084BA2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SP100S-MF1-10-1E0-2S</w:t>
            </w:r>
          </w:p>
        </w:tc>
        <w:tc>
          <w:tcPr>
            <w:tcW w:w="4049" w:type="dxa"/>
          </w:tcPr>
          <w:p w14:paraId="6EEA90E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伺服电机配备进口高精度低背隙（＜1弧分）的精</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密减速机,回转误差小,重复定位精度高。</w:t>
            </w:r>
          </w:p>
        </w:tc>
        <w:tc>
          <w:tcPr>
            <w:tcW w:w="402" w:type="dxa"/>
          </w:tcPr>
          <w:p w14:paraId="17A2B94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434F33B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232C2F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阿尔法（德国）</w:t>
            </w:r>
          </w:p>
        </w:tc>
        <w:tc>
          <w:tcPr>
            <w:tcW w:w="1462" w:type="dxa"/>
          </w:tcPr>
          <w:p w14:paraId="23F11A10">
            <w:pPr>
              <w:pStyle w:val="2"/>
              <w:rPr>
                <w:color w:val="000000" w:themeColor="text1"/>
                <w:kern w:val="0"/>
                <w:sz w:val="20"/>
                <w14:textFill>
                  <w14:solidFill>
                    <w14:schemeClr w14:val="tx1"/>
                  </w14:solidFill>
                </w14:textFill>
              </w:rPr>
            </w:pPr>
          </w:p>
        </w:tc>
        <w:tc>
          <w:tcPr>
            <w:tcW w:w="1142" w:type="dxa"/>
          </w:tcPr>
          <w:p w14:paraId="75422BA6">
            <w:pPr>
              <w:pStyle w:val="2"/>
              <w:rPr>
                <w:color w:val="000000" w:themeColor="text1"/>
                <w:kern w:val="0"/>
                <w:sz w:val="20"/>
                <w14:textFill>
                  <w14:solidFill>
                    <w14:schemeClr w14:val="tx1"/>
                  </w14:solidFill>
                </w14:textFill>
              </w:rPr>
            </w:pPr>
          </w:p>
        </w:tc>
        <w:tc>
          <w:tcPr>
            <w:tcW w:w="1109" w:type="dxa"/>
            <w:noWrap/>
          </w:tcPr>
          <w:p w14:paraId="015B37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4FEB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517C62A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8</w:t>
            </w:r>
          </w:p>
        </w:tc>
        <w:tc>
          <w:tcPr>
            <w:tcW w:w="1752" w:type="dxa"/>
          </w:tcPr>
          <w:p w14:paraId="3E7BCBF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高精度联轴</w:t>
            </w:r>
          </w:p>
        </w:tc>
        <w:tc>
          <w:tcPr>
            <w:tcW w:w="2086" w:type="dxa"/>
          </w:tcPr>
          <w:p w14:paraId="4174016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BCL-00030AA020</w:t>
            </w:r>
          </w:p>
        </w:tc>
        <w:tc>
          <w:tcPr>
            <w:tcW w:w="4049" w:type="dxa"/>
          </w:tcPr>
          <w:p w14:paraId="0744816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高精度联轴可以过滤传动系统的峰值扭矩及振动，保证传动系统精度和平稳运行。</w:t>
            </w:r>
          </w:p>
        </w:tc>
        <w:tc>
          <w:tcPr>
            <w:tcW w:w="402" w:type="dxa"/>
          </w:tcPr>
          <w:p w14:paraId="30DE43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2FD0BF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619B2DA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阿尔法（德国）</w:t>
            </w:r>
          </w:p>
        </w:tc>
        <w:tc>
          <w:tcPr>
            <w:tcW w:w="1462" w:type="dxa"/>
          </w:tcPr>
          <w:p w14:paraId="075FE3A5">
            <w:pPr>
              <w:pStyle w:val="2"/>
              <w:rPr>
                <w:color w:val="000000" w:themeColor="text1"/>
                <w:kern w:val="0"/>
                <w:sz w:val="20"/>
                <w14:textFill>
                  <w14:solidFill>
                    <w14:schemeClr w14:val="tx1"/>
                  </w14:solidFill>
                </w14:textFill>
              </w:rPr>
            </w:pPr>
          </w:p>
        </w:tc>
        <w:tc>
          <w:tcPr>
            <w:tcW w:w="1142" w:type="dxa"/>
          </w:tcPr>
          <w:p w14:paraId="3FBC6457">
            <w:pPr>
              <w:pStyle w:val="2"/>
              <w:rPr>
                <w:color w:val="000000" w:themeColor="text1"/>
                <w:kern w:val="0"/>
                <w:sz w:val="20"/>
                <w14:textFill>
                  <w14:solidFill>
                    <w14:schemeClr w14:val="tx1"/>
                  </w14:solidFill>
                </w14:textFill>
              </w:rPr>
            </w:pPr>
          </w:p>
        </w:tc>
        <w:tc>
          <w:tcPr>
            <w:tcW w:w="1109" w:type="dxa"/>
          </w:tcPr>
          <w:p w14:paraId="1F9AF4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B64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46" w:type="dxa"/>
            <w:noWrap/>
          </w:tcPr>
          <w:p w14:paraId="46EB9B7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9</w:t>
            </w:r>
          </w:p>
        </w:tc>
        <w:tc>
          <w:tcPr>
            <w:tcW w:w="1752" w:type="dxa"/>
          </w:tcPr>
          <w:p w14:paraId="551A866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机械结构部分及加</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工费用</w:t>
            </w:r>
          </w:p>
        </w:tc>
        <w:tc>
          <w:tcPr>
            <w:tcW w:w="2086" w:type="dxa"/>
          </w:tcPr>
          <w:p w14:paraId="38AC710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06BA715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现场测绘，拆除掉旧的机械部分，新做可调节激光器底座机构，底座高低也可调，要使用测量仪做好水平，固定水平轴、垂直轴机械机构图，包括除尘装置及其固定机构</w:t>
            </w:r>
          </w:p>
        </w:tc>
        <w:tc>
          <w:tcPr>
            <w:tcW w:w="402" w:type="dxa"/>
          </w:tcPr>
          <w:p w14:paraId="56F3B6E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3238CC2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0A900D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54B9B59E">
            <w:pPr>
              <w:pStyle w:val="2"/>
              <w:rPr>
                <w:color w:val="000000" w:themeColor="text1"/>
                <w:kern w:val="0"/>
                <w:sz w:val="20"/>
                <w14:textFill>
                  <w14:solidFill>
                    <w14:schemeClr w14:val="tx1"/>
                  </w14:solidFill>
                </w14:textFill>
              </w:rPr>
            </w:pPr>
          </w:p>
        </w:tc>
        <w:tc>
          <w:tcPr>
            <w:tcW w:w="1142" w:type="dxa"/>
          </w:tcPr>
          <w:p w14:paraId="5C4C85F2">
            <w:pPr>
              <w:pStyle w:val="2"/>
              <w:rPr>
                <w:color w:val="000000" w:themeColor="text1"/>
                <w:kern w:val="0"/>
                <w:sz w:val="20"/>
                <w14:textFill>
                  <w14:solidFill>
                    <w14:schemeClr w14:val="tx1"/>
                  </w14:solidFill>
                </w14:textFill>
              </w:rPr>
            </w:pPr>
          </w:p>
        </w:tc>
        <w:tc>
          <w:tcPr>
            <w:tcW w:w="1109" w:type="dxa"/>
          </w:tcPr>
          <w:p w14:paraId="283D2A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DDC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646" w:type="dxa"/>
            <w:vMerge w:val="restart"/>
            <w:noWrap/>
          </w:tcPr>
          <w:p w14:paraId="40B5F1F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10</w:t>
            </w:r>
          </w:p>
        </w:tc>
        <w:tc>
          <w:tcPr>
            <w:tcW w:w="1752" w:type="dxa"/>
            <w:vMerge w:val="restart"/>
          </w:tcPr>
          <w:p w14:paraId="01ABBAE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伺服控制单元</w:t>
            </w:r>
          </w:p>
        </w:tc>
        <w:tc>
          <w:tcPr>
            <w:tcW w:w="2086" w:type="dxa"/>
          </w:tcPr>
          <w:p w14:paraId="051F20D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6SL30040-1MA01-0AA0</w:t>
            </w:r>
          </w:p>
        </w:tc>
        <w:tc>
          <w:tcPr>
            <w:tcW w:w="4049" w:type="dxa"/>
            <w:vMerge w:val="restart"/>
          </w:tcPr>
          <w:p w14:paraId="7FCBF9F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S120伺服系统，含制动电阻，快速定位，带抱闸绝对编码器</w:t>
            </w:r>
          </w:p>
        </w:tc>
        <w:tc>
          <w:tcPr>
            <w:tcW w:w="402" w:type="dxa"/>
          </w:tcPr>
          <w:p w14:paraId="4E7E450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199FECD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1198" w:type="dxa"/>
            <w:vMerge w:val="restart"/>
            <w:noWrap/>
          </w:tcPr>
          <w:p w14:paraId="2BA1CD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vMerge w:val="restart"/>
          </w:tcPr>
          <w:p w14:paraId="18DF1A24">
            <w:pPr>
              <w:pStyle w:val="2"/>
              <w:rPr>
                <w:color w:val="000000" w:themeColor="text1"/>
                <w:kern w:val="0"/>
                <w:sz w:val="20"/>
                <w14:textFill>
                  <w14:solidFill>
                    <w14:schemeClr w14:val="tx1"/>
                  </w14:solidFill>
                </w14:textFill>
              </w:rPr>
            </w:pPr>
          </w:p>
        </w:tc>
        <w:tc>
          <w:tcPr>
            <w:tcW w:w="1142" w:type="dxa"/>
            <w:vMerge w:val="restart"/>
          </w:tcPr>
          <w:p w14:paraId="79DA60EF">
            <w:pPr>
              <w:pStyle w:val="2"/>
              <w:rPr>
                <w:color w:val="000000" w:themeColor="text1"/>
                <w:kern w:val="0"/>
                <w:sz w:val="20"/>
                <w14:textFill>
                  <w14:solidFill>
                    <w14:schemeClr w14:val="tx1"/>
                  </w14:solidFill>
                </w14:textFill>
              </w:rPr>
            </w:pPr>
          </w:p>
        </w:tc>
        <w:tc>
          <w:tcPr>
            <w:tcW w:w="1109" w:type="dxa"/>
          </w:tcPr>
          <w:p w14:paraId="2CC1D0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CU控制器</w:t>
            </w:r>
          </w:p>
        </w:tc>
      </w:tr>
      <w:tr w14:paraId="6B3F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10B942B2">
            <w:pPr>
              <w:pStyle w:val="2"/>
              <w:rPr>
                <w:color w:val="000000" w:themeColor="text1"/>
                <w:kern w:val="0"/>
                <w:sz w:val="20"/>
                <w14:textFill>
                  <w14:solidFill>
                    <w14:schemeClr w14:val="tx1"/>
                  </w14:solidFill>
                </w14:textFill>
              </w:rPr>
            </w:pPr>
          </w:p>
        </w:tc>
        <w:tc>
          <w:tcPr>
            <w:tcW w:w="1752" w:type="dxa"/>
            <w:vMerge w:val="continue"/>
          </w:tcPr>
          <w:p w14:paraId="0EDEABB3">
            <w:pPr>
              <w:pStyle w:val="2"/>
              <w:rPr>
                <w:color w:val="000000" w:themeColor="text1"/>
                <w:kern w:val="0"/>
                <w:sz w:val="20"/>
                <w14:textFill>
                  <w14:solidFill>
                    <w14:schemeClr w14:val="tx1"/>
                  </w14:solidFill>
                </w14:textFill>
              </w:rPr>
            </w:pPr>
          </w:p>
        </w:tc>
        <w:tc>
          <w:tcPr>
            <w:tcW w:w="2086" w:type="dxa"/>
          </w:tcPr>
          <w:p w14:paraId="4BCF977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6SL3054-0FC30-1BAO</w:t>
            </w:r>
          </w:p>
        </w:tc>
        <w:tc>
          <w:tcPr>
            <w:tcW w:w="4049" w:type="dxa"/>
            <w:vMerge w:val="continue"/>
          </w:tcPr>
          <w:p w14:paraId="42813095">
            <w:pPr>
              <w:pStyle w:val="2"/>
              <w:rPr>
                <w:color w:val="000000" w:themeColor="text1"/>
                <w:kern w:val="0"/>
                <w:sz w:val="20"/>
                <w14:textFill>
                  <w14:solidFill>
                    <w14:schemeClr w14:val="tx1"/>
                  </w14:solidFill>
                </w14:textFill>
              </w:rPr>
            </w:pPr>
          </w:p>
        </w:tc>
        <w:tc>
          <w:tcPr>
            <w:tcW w:w="402" w:type="dxa"/>
          </w:tcPr>
          <w:p w14:paraId="5164B8F4">
            <w:pPr>
              <w:pStyle w:val="2"/>
              <w:rPr>
                <w:color w:val="000000" w:themeColor="text1"/>
                <w:kern w:val="0"/>
                <w:sz w:val="20"/>
                <w14:textFill>
                  <w14:solidFill>
                    <w14:schemeClr w14:val="tx1"/>
                  </w14:solidFill>
                </w14:textFill>
              </w:rPr>
            </w:pPr>
          </w:p>
        </w:tc>
        <w:tc>
          <w:tcPr>
            <w:tcW w:w="497" w:type="dxa"/>
          </w:tcPr>
          <w:p w14:paraId="32B59C1F">
            <w:pPr>
              <w:pStyle w:val="2"/>
              <w:rPr>
                <w:color w:val="000000" w:themeColor="text1"/>
                <w:kern w:val="0"/>
                <w:sz w:val="20"/>
                <w14:textFill>
                  <w14:solidFill>
                    <w14:schemeClr w14:val="tx1"/>
                  </w14:solidFill>
                </w14:textFill>
              </w:rPr>
            </w:pPr>
          </w:p>
        </w:tc>
        <w:tc>
          <w:tcPr>
            <w:tcW w:w="1198" w:type="dxa"/>
            <w:vMerge w:val="continue"/>
          </w:tcPr>
          <w:p w14:paraId="3B3CD893">
            <w:pPr>
              <w:pStyle w:val="2"/>
              <w:rPr>
                <w:color w:val="000000" w:themeColor="text1"/>
                <w:kern w:val="0"/>
                <w:sz w:val="20"/>
                <w14:textFill>
                  <w14:solidFill>
                    <w14:schemeClr w14:val="tx1"/>
                  </w14:solidFill>
                </w14:textFill>
              </w:rPr>
            </w:pPr>
          </w:p>
        </w:tc>
        <w:tc>
          <w:tcPr>
            <w:tcW w:w="1462" w:type="dxa"/>
            <w:vMerge w:val="continue"/>
          </w:tcPr>
          <w:p w14:paraId="6E988F65">
            <w:pPr>
              <w:pStyle w:val="2"/>
              <w:rPr>
                <w:color w:val="000000" w:themeColor="text1"/>
                <w:kern w:val="0"/>
                <w:sz w:val="20"/>
                <w14:textFill>
                  <w14:solidFill>
                    <w14:schemeClr w14:val="tx1"/>
                  </w14:solidFill>
                </w14:textFill>
              </w:rPr>
            </w:pPr>
          </w:p>
        </w:tc>
        <w:tc>
          <w:tcPr>
            <w:tcW w:w="1142" w:type="dxa"/>
            <w:vMerge w:val="continue"/>
          </w:tcPr>
          <w:p w14:paraId="63E84B58">
            <w:pPr>
              <w:pStyle w:val="2"/>
              <w:rPr>
                <w:color w:val="000000" w:themeColor="text1"/>
                <w:kern w:val="0"/>
                <w:sz w:val="20"/>
                <w14:textFill>
                  <w14:solidFill>
                    <w14:schemeClr w14:val="tx1"/>
                  </w14:solidFill>
                </w14:textFill>
              </w:rPr>
            </w:pPr>
          </w:p>
        </w:tc>
        <w:tc>
          <w:tcPr>
            <w:tcW w:w="1109" w:type="dxa"/>
          </w:tcPr>
          <w:p w14:paraId="5088B87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S120 CF卡</w:t>
            </w:r>
          </w:p>
        </w:tc>
      </w:tr>
      <w:tr w14:paraId="0874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2A40DBB7">
            <w:pPr>
              <w:pStyle w:val="2"/>
              <w:rPr>
                <w:color w:val="000000" w:themeColor="text1"/>
                <w:kern w:val="0"/>
                <w:sz w:val="20"/>
                <w14:textFill>
                  <w14:solidFill>
                    <w14:schemeClr w14:val="tx1"/>
                  </w14:solidFill>
                </w14:textFill>
              </w:rPr>
            </w:pPr>
          </w:p>
        </w:tc>
        <w:tc>
          <w:tcPr>
            <w:tcW w:w="1752" w:type="dxa"/>
            <w:vMerge w:val="continue"/>
          </w:tcPr>
          <w:p w14:paraId="0ABEFBFE">
            <w:pPr>
              <w:pStyle w:val="2"/>
              <w:rPr>
                <w:color w:val="000000" w:themeColor="text1"/>
                <w:kern w:val="0"/>
                <w:sz w:val="20"/>
                <w14:textFill>
                  <w14:solidFill>
                    <w14:schemeClr w14:val="tx1"/>
                  </w14:solidFill>
                </w14:textFill>
              </w:rPr>
            </w:pPr>
          </w:p>
        </w:tc>
        <w:tc>
          <w:tcPr>
            <w:tcW w:w="2086" w:type="dxa"/>
          </w:tcPr>
          <w:p w14:paraId="24A025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6FX2002-1DC00-1AB0</w:t>
            </w:r>
          </w:p>
        </w:tc>
        <w:tc>
          <w:tcPr>
            <w:tcW w:w="4049" w:type="dxa"/>
            <w:vMerge w:val="continue"/>
          </w:tcPr>
          <w:p w14:paraId="279228A2">
            <w:pPr>
              <w:pStyle w:val="2"/>
              <w:rPr>
                <w:color w:val="000000" w:themeColor="text1"/>
                <w:kern w:val="0"/>
                <w:sz w:val="20"/>
                <w14:textFill>
                  <w14:solidFill>
                    <w14:schemeClr w14:val="tx1"/>
                  </w14:solidFill>
                </w14:textFill>
              </w:rPr>
            </w:pPr>
          </w:p>
        </w:tc>
        <w:tc>
          <w:tcPr>
            <w:tcW w:w="402" w:type="dxa"/>
          </w:tcPr>
          <w:p w14:paraId="6D2CBC00">
            <w:pPr>
              <w:pStyle w:val="2"/>
              <w:rPr>
                <w:color w:val="000000" w:themeColor="text1"/>
                <w:kern w:val="0"/>
                <w:sz w:val="20"/>
                <w14:textFill>
                  <w14:solidFill>
                    <w14:schemeClr w14:val="tx1"/>
                  </w14:solidFill>
                </w14:textFill>
              </w:rPr>
            </w:pPr>
          </w:p>
        </w:tc>
        <w:tc>
          <w:tcPr>
            <w:tcW w:w="497" w:type="dxa"/>
          </w:tcPr>
          <w:p w14:paraId="513958B1">
            <w:pPr>
              <w:pStyle w:val="2"/>
              <w:rPr>
                <w:color w:val="000000" w:themeColor="text1"/>
                <w:kern w:val="0"/>
                <w:sz w:val="20"/>
                <w14:textFill>
                  <w14:solidFill>
                    <w14:schemeClr w14:val="tx1"/>
                  </w14:solidFill>
                </w14:textFill>
              </w:rPr>
            </w:pPr>
          </w:p>
        </w:tc>
        <w:tc>
          <w:tcPr>
            <w:tcW w:w="1198" w:type="dxa"/>
            <w:vMerge w:val="continue"/>
          </w:tcPr>
          <w:p w14:paraId="34F7228D">
            <w:pPr>
              <w:pStyle w:val="2"/>
              <w:rPr>
                <w:color w:val="000000" w:themeColor="text1"/>
                <w:kern w:val="0"/>
                <w:sz w:val="20"/>
                <w14:textFill>
                  <w14:solidFill>
                    <w14:schemeClr w14:val="tx1"/>
                  </w14:solidFill>
                </w14:textFill>
              </w:rPr>
            </w:pPr>
          </w:p>
        </w:tc>
        <w:tc>
          <w:tcPr>
            <w:tcW w:w="1462" w:type="dxa"/>
            <w:vMerge w:val="continue"/>
          </w:tcPr>
          <w:p w14:paraId="7B030B01">
            <w:pPr>
              <w:pStyle w:val="2"/>
              <w:rPr>
                <w:color w:val="000000" w:themeColor="text1"/>
                <w:kern w:val="0"/>
                <w:sz w:val="20"/>
                <w14:textFill>
                  <w14:solidFill>
                    <w14:schemeClr w14:val="tx1"/>
                  </w14:solidFill>
                </w14:textFill>
              </w:rPr>
            </w:pPr>
          </w:p>
        </w:tc>
        <w:tc>
          <w:tcPr>
            <w:tcW w:w="1142" w:type="dxa"/>
            <w:vMerge w:val="continue"/>
          </w:tcPr>
          <w:p w14:paraId="249FCA25">
            <w:pPr>
              <w:pStyle w:val="2"/>
              <w:rPr>
                <w:color w:val="000000" w:themeColor="text1"/>
                <w:kern w:val="0"/>
                <w:sz w:val="20"/>
                <w14:textFill>
                  <w14:solidFill>
                    <w14:schemeClr w14:val="tx1"/>
                  </w14:solidFill>
                </w14:textFill>
              </w:rPr>
            </w:pPr>
          </w:p>
        </w:tc>
        <w:tc>
          <w:tcPr>
            <w:tcW w:w="1109" w:type="dxa"/>
          </w:tcPr>
          <w:p w14:paraId="0D2EE8E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信号线</w:t>
            </w:r>
          </w:p>
        </w:tc>
      </w:tr>
      <w:tr w14:paraId="7427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17877621">
            <w:pPr>
              <w:pStyle w:val="2"/>
              <w:rPr>
                <w:color w:val="000000" w:themeColor="text1"/>
                <w:kern w:val="0"/>
                <w:sz w:val="20"/>
                <w14:textFill>
                  <w14:solidFill>
                    <w14:schemeClr w14:val="tx1"/>
                  </w14:solidFill>
                </w14:textFill>
              </w:rPr>
            </w:pPr>
          </w:p>
        </w:tc>
        <w:tc>
          <w:tcPr>
            <w:tcW w:w="1752" w:type="dxa"/>
            <w:vMerge w:val="continue"/>
          </w:tcPr>
          <w:p w14:paraId="025BA5BF">
            <w:pPr>
              <w:pStyle w:val="2"/>
              <w:rPr>
                <w:color w:val="000000" w:themeColor="text1"/>
                <w:kern w:val="0"/>
                <w:sz w:val="20"/>
                <w14:textFill>
                  <w14:solidFill>
                    <w14:schemeClr w14:val="tx1"/>
                  </w14:solidFill>
                </w14:textFill>
              </w:rPr>
            </w:pPr>
          </w:p>
        </w:tc>
        <w:tc>
          <w:tcPr>
            <w:tcW w:w="2086" w:type="dxa"/>
          </w:tcPr>
          <w:p w14:paraId="430D900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6SL3130-6AE15-0AB1</w:t>
            </w:r>
          </w:p>
        </w:tc>
        <w:tc>
          <w:tcPr>
            <w:tcW w:w="4049" w:type="dxa"/>
            <w:vMerge w:val="continue"/>
          </w:tcPr>
          <w:p w14:paraId="0BFB5EA2">
            <w:pPr>
              <w:pStyle w:val="2"/>
              <w:rPr>
                <w:color w:val="000000" w:themeColor="text1"/>
                <w:kern w:val="0"/>
                <w:sz w:val="20"/>
                <w14:textFill>
                  <w14:solidFill>
                    <w14:schemeClr w14:val="tx1"/>
                  </w14:solidFill>
                </w14:textFill>
              </w:rPr>
            </w:pPr>
          </w:p>
        </w:tc>
        <w:tc>
          <w:tcPr>
            <w:tcW w:w="402" w:type="dxa"/>
          </w:tcPr>
          <w:p w14:paraId="0EC76AD1">
            <w:pPr>
              <w:pStyle w:val="2"/>
              <w:rPr>
                <w:color w:val="000000" w:themeColor="text1"/>
                <w:kern w:val="0"/>
                <w:sz w:val="20"/>
                <w14:textFill>
                  <w14:solidFill>
                    <w14:schemeClr w14:val="tx1"/>
                  </w14:solidFill>
                </w14:textFill>
              </w:rPr>
            </w:pPr>
          </w:p>
        </w:tc>
        <w:tc>
          <w:tcPr>
            <w:tcW w:w="497" w:type="dxa"/>
          </w:tcPr>
          <w:p w14:paraId="6AA2AF1D">
            <w:pPr>
              <w:pStyle w:val="2"/>
              <w:rPr>
                <w:color w:val="000000" w:themeColor="text1"/>
                <w:kern w:val="0"/>
                <w:sz w:val="20"/>
                <w14:textFill>
                  <w14:solidFill>
                    <w14:schemeClr w14:val="tx1"/>
                  </w14:solidFill>
                </w14:textFill>
              </w:rPr>
            </w:pPr>
          </w:p>
        </w:tc>
        <w:tc>
          <w:tcPr>
            <w:tcW w:w="1198" w:type="dxa"/>
            <w:vMerge w:val="continue"/>
          </w:tcPr>
          <w:p w14:paraId="178FD884">
            <w:pPr>
              <w:pStyle w:val="2"/>
              <w:rPr>
                <w:color w:val="000000" w:themeColor="text1"/>
                <w:kern w:val="0"/>
                <w:sz w:val="20"/>
                <w14:textFill>
                  <w14:solidFill>
                    <w14:schemeClr w14:val="tx1"/>
                  </w14:solidFill>
                </w14:textFill>
              </w:rPr>
            </w:pPr>
          </w:p>
        </w:tc>
        <w:tc>
          <w:tcPr>
            <w:tcW w:w="1462" w:type="dxa"/>
            <w:vMerge w:val="continue"/>
          </w:tcPr>
          <w:p w14:paraId="390D4380">
            <w:pPr>
              <w:pStyle w:val="2"/>
              <w:rPr>
                <w:color w:val="000000" w:themeColor="text1"/>
                <w:kern w:val="0"/>
                <w:sz w:val="20"/>
                <w14:textFill>
                  <w14:solidFill>
                    <w14:schemeClr w14:val="tx1"/>
                  </w14:solidFill>
                </w14:textFill>
              </w:rPr>
            </w:pPr>
          </w:p>
        </w:tc>
        <w:tc>
          <w:tcPr>
            <w:tcW w:w="1142" w:type="dxa"/>
            <w:vMerge w:val="continue"/>
          </w:tcPr>
          <w:p w14:paraId="71A2BF8C">
            <w:pPr>
              <w:pStyle w:val="2"/>
              <w:rPr>
                <w:color w:val="000000" w:themeColor="text1"/>
                <w:kern w:val="0"/>
                <w:sz w:val="20"/>
                <w14:textFill>
                  <w14:solidFill>
                    <w14:schemeClr w14:val="tx1"/>
                  </w14:solidFill>
                </w14:textFill>
              </w:rPr>
            </w:pPr>
          </w:p>
        </w:tc>
        <w:tc>
          <w:tcPr>
            <w:tcW w:w="1109" w:type="dxa"/>
          </w:tcPr>
          <w:p w14:paraId="2BB3D21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电源模块</w:t>
            </w:r>
          </w:p>
        </w:tc>
      </w:tr>
      <w:tr w14:paraId="1A1E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4460DB69">
            <w:pPr>
              <w:pStyle w:val="2"/>
              <w:rPr>
                <w:color w:val="000000" w:themeColor="text1"/>
                <w:kern w:val="0"/>
                <w:sz w:val="20"/>
                <w14:textFill>
                  <w14:solidFill>
                    <w14:schemeClr w14:val="tx1"/>
                  </w14:solidFill>
                </w14:textFill>
              </w:rPr>
            </w:pPr>
          </w:p>
        </w:tc>
        <w:tc>
          <w:tcPr>
            <w:tcW w:w="1752" w:type="dxa"/>
            <w:vMerge w:val="continue"/>
          </w:tcPr>
          <w:p w14:paraId="5523B0DB">
            <w:pPr>
              <w:pStyle w:val="2"/>
              <w:rPr>
                <w:color w:val="000000" w:themeColor="text1"/>
                <w:kern w:val="0"/>
                <w:sz w:val="20"/>
                <w14:textFill>
                  <w14:solidFill>
                    <w14:schemeClr w14:val="tx1"/>
                  </w14:solidFill>
                </w14:textFill>
              </w:rPr>
            </w:pPr>
          </w:p>
        </w:tc>
        <w:tc>
          <w:tcPr>
            <w:tcW w:w="2086" w:type="dxa"/>
          </w:tcPr>
          <w:p w14:paraId="2FE6367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6SL3000-0CE15-0AA0</w:t>
            </w:r>
          </w:p>
        </w:tc>
        <w:tc>
          <w:tcPr>
            <w:tcW w:w="4049" w:type="dxa"/>
            <w:vMerge w:val="continue"/>
          </w:tcPr>
          <w:p w14:paraId="0FE9A7C8">
            <w:pPr>
              <w:pStyle w:val="2"/>
              <w:rPr>
                <w:color w:val="000000" w:themeColor="text1"/>
                <w:kern w:val="0"/>
                <w:sz w:val="20"/>
                <w14:textFill>
                  <w14:solidFill>
                    <w14:schemeClr w14:val="tx1"/>
                  </w14:solidFill>
                </w14:textFill>
              </w:rPr>
            </w:pPr>
          </w:p>
        </w:tc>
        <w:tc>
          <w:tcPr>
            <w:tcW w:w="402" w:type="dxa"/>
          </w:tcPr>
          <w:p w14:paraId="1FEC736C">
            <w:pPr>
              <w:pStyle w:val="2"/>
              <w:rPr>
                <w:color w:val="000000" w:themeColor="text1"/>
                <w:kern w:val="0"/>
                <w:sz w:val="20"/>
                <w14:textFill>
                  <w14:solidFill>
                    <w14:schemeClr w14:val="tx1"/>
                  </w14:solidFill>
                </w14:textFill>
              </w:rPr>
            </w:pPr>
          </w:p>
        </w:tc>
        <w:tc>
          <w:tcPr>
            <w:tcW w:w="497" w:type="dxa"/>
          </w:tcPr>
          <w:p w14:paraId="16CFDC7A">
            <w:pPr>
              <w:pStyle w:val="2"/>
              <w:rPr>
                <w:color w:val="000000" w:themeColor="text1"/>
                <w:kern w:val="0"/>
                <w:sz w:val="20"/>
                <w14:textFill>
                  <w14:solidFill>
                    <w14:schemeClr w14:val="tx1"/>
                  </w14:solidFill>
                </w14:textFill>
              </w:rPr>
            </w:pPr>
          </w:p>
        </w:tc>
        <w:tc>
          <w:tcPr>
            <w:tcW w:w="1198" w:type="dxa"/>
            <w:vMerge w:val="continue"/>
          </w:tcPr>
          <w:p w14:paraId="60EAE033">
            <w:pPr>
              <w:pStyle w:val="2"/>
              <w:rPr>
                <w:color w:val="000000" w:themeColor="text1"/>
                <w:kern w:val="0"/>
                <w:sz w:val="20"/>
                <w14:textFill>
                  <w14:solidFill>
                    <w14:schemeClr w14:val="tx1"/>
                  </w14:solidFill>
                </w14:textFill>
              </w:rPr>
            </w:pPr>
          </w:p>
        </w:tc>
        <w:tc>
          <w:tcPr>
            <w:tcW w:w="1462" w:type="dxa"/>
            <w:vMerge w:val="continue"/>
          </w:tcPr>
          <w:p w14:paraId="4402C900">
            <w:pPr>
              <w:pStyle w:val="2"/>
              <w:rPr>
                <w:color w:val="000000" w:themeColor="text1"/>
                <w:kern w:val="0"/>
                <w:sz w:val="20"/>
                <w14:textFill>
                  <w14:solidFill>
                    <w14:schemeClr w14:val="tx1"/>
                  </w14:solidFill>
                </w14:textFill>
              </w:rPr>
            </w:pPr>
          </w:p>
        </w:tc>
        <w:tc>
          <w:tcPr>
            <w:tcW w:w="1142" w:type="dxa"/>
            <w:vMerge w:val="continue"/>
          </w:tcPr>
          <w:p w14:paraId="086851C7">
            <w:pPr>
              <w:pStyle w:val="2"/>
              <w:rPr>
                <w:color w:val="000000" w:themeColor="text1"/>
                <w:kern w:val="0"/>
                <w:sz w:val="20"/>
                <w14:textFill>
                  <w14:solidFill>
                    <w14:schemeClr w14:val="tx1"/>
                  </w14:solidFill>
                </w14:textFill>
              </w:rPr>
            </w:pPr>
          </w:p>
        </w:tc>
        <w:tc>
          <w:tcPr>
            <w:tcW w:w="1109" w:type="dxa"/>
          </w:tcPr>
          <w:p w14:paraId="0B6BB9F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电源电抗器</w:t>
            </w:r>
          </w:p>
        </w:tc>
      </w:tr>
      <w:tr w14:paraId="64D4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3BC1FA36">
            <w:pPr>
              <w:pStyle w:val="2"/>
              <w:rPr>
                <w:color w:val="000000" w:themeColor="text1"/>
                <w:kern w:val="0"/>
                <w:sz w:val="20"/>
                <w14:textFill>
                  <w14:solidFill>
                    <w14:schemeClr w14:val="tx1"/>
                  </w14:solidFill>
                </w14:textFill>
              </w:rPr>
            </w:pPr>
          </w:p>
        </w:tc>
        <w:tc>
          <w:tcPr>
            <w:tcW w:w="1752" w:type="dxa"/>
            <w:vMerge w:val="continue"/>
          </w:tcPr>
          <w:p w14:paraId="15EA1BC0">
            <w:pPr>
              <w:pStyle w:val="2"/>
              <w:rPr>
                <w:color w:val="000000" w:themeColor="text1"/>
                <w:kern w:val="0"/>
                <w:sz w:val="20"/>
                <w14:textFill>
                  <w14:solidFill>
                    <w14:schemeClr w14:val="tx1"/>
                  </w14:solidFill>
                </w14:textFill>
              </w:rPr>
            </w:pPr>
          </w:p>
        </w:tc>
        <w:tc>
          <w:tcPr>
            <w:tcW w:w="2086" w:type="dxa"/>
          </w:tcPr>
          <w:p w14:paraId="543C75E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6SL3120-1TE13-0AD0</w:t>
            </w:r>
          </w:p>
        </w:tc>
        <w:tc>
          <w:tcPr>
            <w:tcW w:w="4049" w:type="dxa"/>
            <w:vMerge w:val="continue"/>
          </w:tcPr>
          <w:p w14:paraId="700559B9">
            <w:pPr>
              <w:pStyle w:val="2"/>
              <w:rPr>
                <w:color w:val="000000" w:themeColor="text1"/>
                <w:kern w:val="0"/>
                <w:sz w:val="20"/>
                <w14:textFill>
                  <w14:solidFill>
                    <w14:schemeClr w14:val="tx1"/>
                  </w14:solidFill>
                </w14:textFill>
              </w:rPr>
            </w:pPr>
          </w:p>
        </w:tc>
        <w:tc>
          <w:tcPr>
            <w:tcW w:w="402" w:type="dxa"/>
          </w:tcPr>
          <w:p w14:paraId="3C072166">
            <w:pPr>
              <w:pStyle w:val="2"/>
              <w:rPr>
                <w:color w:val="000000" w:themeColor="text1"/>
                <w:kern w:val="0"/>
                <w:sz w:val="20"/>
                <w14:textFill>
                  <w14:solidFill>
                    <w14:schemeClr w14:val="tx1"/>
                  </w14:solidFill>
                </w14:textFill>
              </w:rPr>
            </w:pPr>
          </w:p>
        </w:tc>
        <w:tc>
          <w:tcPr>
            <w:tcW w:w="497" w:type="dxa"/>
          </w:tcPr>
          <w:p w14:paraId="4769F49F">
            <w:pPr>
              <w:pStyle w:val="2"/>
              <w:rPr>
                <w:color w:val="000000" w:themeColor="text1"/>
                <w:kern w:val="0"/>
                <w:sz w:val="20"/>
                <w14:textFill>
                  <w14:solidFill>
                    <w14:schemeClr w14:val="tx1"/>
                  </w14:solidFill>
                </w14:textFill>
              </w:rPr>
            </w:pPr>
          </w:p>
        </w:tc>
        <w:tc>
          <w:tcPr>
            <w:tcW w:w="1198" w:type="dxa"/>
            <w:vMerge w:val="continue"/>
          </w:tcPr>
          <w:p w14:paraId="02B47BA6">
            <w:pPr>
              <w:pStyle w:val="2"/>
              <w:rPr>
                <w:color w:val="000000" w:themeColor="text1"/>
                <w:kern w:val="0"/>
                <w:sz w:val="20"/>
                <w14:textFill>
                  <w14:solidFill>
                    <w14:schemeClr w14:val="tx1"/>
                  </w14:solidFill>
                </w14:textFill>
              </w:rPr>
            </w:pPr>
          </w:p>
        </w:tc>
        <w:tc>
          <w:tcPr>
            <w:tcW w:w="1462" w:type="dxa"/>
            <w:vMerge w:val="continue"/>
          </w:tcPr>
          <w:p w14:paraId="66695690">
            <w:pPr>
              <w:pStyle w:val="2"/>
              <w:rPr>
                <w:color w:val="000000" w:themeColor="text1"/>
                <w:kern w:val="0"/>
                <w:sz w:val="20"/>
                <w14:textFill>
                  <w14:solidFill>
                    <w14:schemeClr w14:val="tx1"/>
                  </w14:solidFill>
                </w14:textFill>
              </w:rPr>
            </w:pPr>
          </w:p>
        </w:tc>
        <w:tc>
          <w:tcPr>
            <w:tcW w:w="1142" w:type="dxa"/>
            <w:vMerge w:val="continue"/>
          </w:tcPr>
          <w:p w14:paraId="73E2AE4E">
            <w:pPr>
              <w:pStyle w:val="2"/>
              <w:rPr>
                <w:color w:val="000000" w:themeColor="text1"/>
                <w:kern w:val="0"/>
                <w:sz w:val="20"/>
                <w14:textFill>
                  <w14:solidFill>
                    <w14:schemeClr w14:val="tx1"/>
                  </w14:solidFill>
                </w14:textFill>
              </w:rPr>
            </w:pPr>
          </w:p>
        </w:tc>
        <w:tc>
          <w:tcPr>
            <w:tcW w:w="1109" w:type="dxa"/>
          </w:tcPr>
          <w:p w14:paraId="6EE0395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单电机模块</w:t>
            </w:r>
          </w:p>
        </w:tc>
      </w:tr>
      <w:tr w14:paraId="4C1B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057AB57B">
            <w:pPr>
              <w:pStyle w:val="2"/>
              <w:rPr>
                <w:color w:val="000000" w:themeColor="text1"/>
                <w:kern w:val="0"/>
                <w:sz w:val="20"/>
                <w14:textFill>
                  <w14:solidFill>
                    <w14:schemeClr w14:val="tx1"/>
                  </w14:solidFill>
                </w14:textFill>
              </w:rPr>
            </w:pPr>
          </w:p>
        </w:tc>
        <w:tc>
          <w:tcPr>
            <w:tcW w:w="1752" w:type="dxa"/>
            <w:vMerge w:val="continue"/>
          </w:tcPr>
          <w:p w14:paraId="0F0E4A30">
            <w:pPr>
              <w:pStyle w:val="2"/>
              <w:rPr>
                <w:color w:val="000000" w:themeColor="text1"/>
                <w:kern w:val="0"/>
                <w:sz w:val="20"/>
                <w14:textFill>
                  <w14:solidFill>
                    <w14:schemeClr w14:val="tx1"/>
                  </w14:solidFill>
                </w14:textFill>
              </w:rPr>
            </w:pPr>
          </w:p>
        </w:tc>
        <w:tc>
          <w:tcPr>
            <w:tcW w:w="2086" w:type="dxa"/>
          </w:tcPr>
          <w:p w14:paraId="03EF266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6FX8002-5DN06-1BA0</w:t>
            </w:r>
          </w:p>
        </w:tc>
        <w:tc>
          <w:tcPr>
            <w:tcW w:w="4049" w:type="dxa"/>
            <w:vMerge w:val="continue"/>
          </w:tcPr>
          <w:p w14:paraId="588C6AD6">
            <w:pPr>
              <w:pStyle w:val="2"/>
              <w:rPr>
                <w:color w:val="000000" w:themeColor="text1"/>
                <w:kern w:val="0"/>
                <w:sz w:val="20"/>
                <w14:textFill>
                  <w14:solidFill>
                    <w14:schemeClr w14:val="tx1"/>
                  </w14:solidFill>
                </w14:textFill>
              </w:rPr>
            </w:pPr>
          </w:p>
        </w:tc>
        <w:tc>
          <w:tcPr>
            <w:tcW w:w="402" w:type="dxa"/>
          </w:tcPr>
          <w:p w14:paraId="783E471B">
            <w:pPr>
              <w:pStyle w:val="2"/>
              <w:rPr>
                <w:color w:val="000000" w:themeColor="text1"/>
                <w:kern w:val="0"/>
                <w:sz w:val="20"/>
                <w14:textFill>
                  <w14:solidFill>
                    <w14:schemeClr w14:val="tx1"/>
                  </w14:solidFill>
                </w14:textFill>
              </w:rPr>
            </w:pPr>
          </w:p>
        </w:tc>
        <w:tc>
          <w:tcPr>
            <w:tcW w:w="497" w:type="dxa"/>
          </w:tcPr>
          <w:p w14:paraId="5EE0ED16">
            <w:pPr>
              <w:pStyle w:val="2"/>
              <w:rPr>
                <w:color w:val="000000" w:themeColor="text1"/>
                <w:kern w:val="0"/>
                <w:sz w:val="20"/>
                <w14:textFill>
                  <w14:solidFill>
                    <w14:schemeClr w14:val="tx1"/>
                  </w14:solidFill>
                </w14:textFill>
              </w:rPr>
            </w:pPr>
          </w:p>
        </w:tc>
        <w:tc>
          <w:tcPr>
            <w:tcW w:w="1198" w:type="dxa"/>
            <w:vMerge w:val="continue"/>
          </w:tcPr>
          <w:p w14:paraId="0A2BBAAF">
            <w:pPr>
              <w:pStyle w:val="2"/>
              <w:rPr>
                <w:color w:val="000000" w:themeColor="text1"/>
                <w:kern w:val="0"/>
                <w:sz w:val="20"/>
                <w14:textFill>
                  <w14:solidFill>
                    <w14:schemeClr w14:val="tx1"/>
                  </w14:solidFill>
                </w14:textFill>
              </w:rPr>
            </w:pPr>
          </w:p>
        </w:tc>
        <w:tc>
          <w:tcPr>
            <w:tcW w:w="1462" w:type="dxa"/>
            <w:vMerge w:val="continue"/>
          </w:tcPr>
          <w:p w14:paraId="11819935">
            <w:pPr>
              <w:pStyle w:val="2"/>
              <w:rPr>
                <w:color w:val="000000" w:themeColor="text1"/>
                <w:kern w:val="0"/>
                <w:sz w:val="20"/>
                <w14:textFill>
                  <w14:solidFill>
                    <w14:schemeClr w14:val="tx1"/>
                  </w14:solidFill>
                </w14:textFill>
              </w:rPr>
            </w:pPr>
          </w:p>
        </w:tc>
        <w:tc>
          <w:tcPr>
            <w:tcW w:w="1142" w:type="dxa"/>
            <w:vMerge w:val="continue"/>
          </w:tcPr>
          <w:p w14:paraId="523E0446">
            <w:pPr>
              <w:pStyle w:val="2"/>
              <w:rPr>
                <w:color w:val="000000" w:themeColor="text1"/>
                <w:kern w:val="0"/>
                <w:sz w:val="20"/>
                <w14:textFill>
                  <w14:solidFill>
                    <w14:schemeClr w14:val="tx1"/>
                  </w14:solidFill>
                </w14:textFill>
              </w:rPr>
            </w:pPr>
          </w:p>
        </w:tc>
        <w:tc>
          <w:tcPr>
            <w:tcW w:w="1109" w:type="dxa"/>
          </w:tcPr>
          <w:p w14:paraId="318CAA2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动力线</w:t>
            </w:r>
          </w:p>
        </w:tc>
      </w:tr>
      <w:tr w14:paraId="23B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61A9D41A">
            <w:pPr>
              <w:pStyle w:val="2"/>
              <w:rPr>
                <w:color w:val="000000" w:themeColor="text1"/>
                <w:kern w:val="0"/>
                <w:sz w:val="20"/>
                <w14:textFill>
                  <w14:solidFill>
                    <w14:schemeClr w14:val="tx1"/>
                  </w14:solidFill>
                </w14:textFill>
              </w:rPr>
            </w:pPr>
          </w:p>
        </w:tc>
        <w:tc>
          <w:tcPr>
            <w:tcW w:w="1752" w:type="dxa"/>
            <w:vMerge w:val="continue"/>
          </w:tcPr>
          <w:p w14:paraId="34D2E07D">
            <w:pPr>
              <w:pStyle w:val="2"/>
              <w:rPr>
                <w:color w:val="000000" w:themeColor="text1"/>
                <w:kern w:val="0"/>
                <w:sz w:val="20"/>
                <w14:textFill>
                  <w14:solidFill>
                    <w14:schemeClr w14:val="tx1"/>
                  </w14:solidFill>
                </w14:textFill>
              </w:rPr>
            </w:pPr>
          </w:p>
        </w:tc>
        <w:tc>
          <w:tcPr>
            <w:tcW w:w="2086" w:type="dxa"/>
          </w:tcPr>
          <w:p w14:paraId="15F0F96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6FX8002-2DC10-1BA0</w:t>
            </w:r>
          </w:p>
        </w:tc>
        <w:tc>
          <w:tcPr>
            <w:tcW w:w="4049" w:type="dxa"/>
            <w:vMerge w:val="continue"/>
          </w:tcPr>
          <w:p w14:paraId="140386A2">
            <w:pPr>
              <w:pStyle w:val="2"/>
              <w:rPr>
                <w:color w:val="000000" w:themeColor="text1"/>
                <w:kern w:val="0"/>
                <w:sz w:val="20"/>
                <w14:textFill>
                  <w14:solidFill>
                    <w14:schemeClr w14:val="tx1"/>
                  </w14:solidFill>
                </w14:textFill>
              </w:rPr>
            </w:pPr>
          </w:p>
        </w:tc>
        <w:tc>
          <w:tcPr>
            <w:tcW w:w="402" w:type="dxa"/>
          </w:tcPr>
          <w:p w14:paraId="70E65AB5">
            <w:pPr>
              <w:pStyle w:val="2"/>
              <w:rPr>
                <w:color w:val="000000" w:themeColor="text1"/>
                <w:kern w:val="0"/>
                <w:sz w:val="20"/>
                <w14:textFill>
                  <w14:solidFill>
                    <w14:schemeClr w14:val="tx1"/>
                  </w14:solidFill>
                </w14:textFill>
              </w:rPr>
            </w:pPr>
          </w:p>
        </w:tc>
        <w:tc>
          <w:tcPr>
            <w:tcW w:w="497" w:type="dxa"/>
          </w:tcPr>
          <w:p w14:paraId="035A7651">
            <w:pPr>
              <w:pStyle w:val="2"/>
              <w:rPr>
                <w:color w:val="000000" w:themeColor="text1"/>
                <w:kern w:val="0"/>
                <w:sz w:val="20"/>
                <w14:textFill>
                  <w14:solidFill>
                    <w14:schemeClr w14:val="tx1"/>
                  </w14:solidFill>
                </w14:textFill>
              </w:rPr>
            </w:pPr>
          </w:p>
        </w:tc>
        <w:tc>
          <w:tcPr>
            <w:tcW w:w="1198" w:type="dxa"/>
            <w:vMerge w:val="continue"/>
          </w:tcPr>
          <w:p w14:paraId="2F987F30">
            <w:pPr>
              <w:pStyle w:val="2"/>
              <w:rPr>
                <w:color w:val="000000" w:themeColor="text1"/>
                <w:kern w:val="0"/>
                <w:sz w:val="20"/>
                <w14:textFill>
                  <w14:solidFill>
                    <w14:schemeClr w14:val="tx1"/>
                  </w14:solidFill>
                </w14:textFill>
              </w:rPr>
            </w:pPr>
          </w:p>
        </w:tc>
        <w:tc>
          <w:tcPr>
            <w:tcW w:w="1462" w:type="dxa"/>
            <w:vMerge w:val="continue"/>
          </w:tcPr>
          <w:p w14:paraId="51E250DB">
            <w:pPr>
              <w:pStyle w:val="2"/>
              <w:rPr>
                <w:color w:val="000000" w:themeColor="text1"/>
                <w:kern w:val="0"/>
                <w:sz w:val="20"/>
                <w14:textFill>
                  <w14:solidFill>
                    <w14:schemeClr w14:val="tx1"/>
                  </w14:solidFill>
                </w14:textFill>
              </w:rPr>
            </w:pPr>
          </w:p>
        </w:tc>
        <w:tc>
          <w:tcPr>
            <w:tcW w:w="1142" w:type="dxa"/>
            <w:vMerge w:val="continue"/>
          </w:tcPr>
          <w:p w14:paraId="24211C85">
            <w:pPr>
              <w:pStyle w:val="2"/>
              <w:rPr>
                <w:color w:val="000000" w:themeColor="text1"/>
                <w:kern w:val="0"/>
                <w:sz w:val="20"/>
                <w14:textFill>
                  <w14:solidFill>
                    <w14:schemeClr w14:val="tx1"/>
                  </w14:solidFill>
                </w14:textFill>
              </w:rPr>
            </w:pPr>
          </w:p>
        </w:tc>
        <w:tc>
          <w:tcPr>
            <w:tcW w:w="1109" w:type="dxa"/>
          </w:tcPr>
          <w:p w14:paraId="3298E18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编码器线</w:t>
            </w:r>
          </w:p>
        </w:tc>
      </w:tr>
      <w:tr w14:paraId="360D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2DA2408A">
            <w:pPr>
              <w:pStyle w:val="2"/>
              <w:rPr>
                <w:color w:val="000000" w:themeColor="text1"/>
                <w:kern w:val="0"/>
                <w:sz w:val="20"/>
                <w14:textFill>
                  <w14:solidFill>
                    <w14:schemeClr w14:val="tx1"/>
                  </w14:solidFill>
                </w14:textFill>
              </w:rPr>
            </w:pPr>
          </w:p>
        </w:tc>
        <w:tc>
          <w:tcPr>
            <w:tcW w:w="1752" w:type="dxa"/>
            <w:vMerge w:val="continue"/>
          </w:tcPr>
          <w:p w14:paraId="01530ED7">
            <w:pPr>
              <w:pStyle w:val="2"/>
              <w:rPr>
                <w:color w:val="000000" w:themeColor="text1"/>
                <w:kern w:val="0"/>
                <w:sz w:val="20"/>
                <w14:textFill>
                  <w14:solidFill>
                    <w14:schemeClr w14:val="tx1"/>
                  </w14:solidFill>
                </w14:textFill>
              </w:rPr>
            </w:pPr>
          </w:p>
        </w:tc>
        <w:tc>
          <w:tcPr>
            <w:tcW w:w="2086" w:type="dxa"/>
          </w:tcPr>
          <w:p w14:paraId="152E435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1FK7060-2AC71-1QB0</w:t>
            </w:r>
          </w:p>
        </w:tc>
        <w:tc>
          <w:tcPr>
            <w:tcW w:w="4049" w:type="dxa"/>
            <w:vMerge w:val="continue"/>
          </w:tcPr>
          <w:p w14:paraId="17C5BB11">
            <w:pPr>
              <w:pStyle w:val="2"/>
              <w:rPr>
                <w:color w:val="000000" w:themeColor="text1"/>
                <w:kern w:val="0"/>
                <w:sz w:val="20"/>
                <w14:textFill>
                  <w14:solidFill>
                    <w14:schemeClr w14:val="tx1"/>
                  </w14:solidFill>
                </w14:textFill>
              </w:rPr>
            </w:pPr>
          </w:p>
        </w:tc>
        <w:tc>
          <w:tcPr>
            <w:tcW w:w="402" w:type="dxa"/>
          </w:tcPr>
          <w:p w14:paraId="4AAF51CE">
            <w:pPr>
              <w:pStyle w:val="2"/>
              <w:rPr>
                <w:color w:val="000000" w:themeColor="text1"/>
                <w:kern w:val="0"/>
                <w:sz w:val="20"/>
                <w14:textFill>
                  <w14:solidFill>
                    <w14:schemeClr w14:val="tx1"/>
                  </w14:solidFill>
                </w14:textFill>
              </w:rPr>
            </w:pPr>
          </w:p>
        </w:tc>
        <w:tc>
          <w:tcPr>
            <w:tcW w:w="497" w:type="dxa"/>
          </w:tcPr>
          <w:p w14:paraId="2FC3F714">
            <w:pPr>
              <w:pStyle w:val="2"/>
              <w:rPr>
                <w:color w:val="000000" w:themeColor="text1"/>
                <w:kern w:val="0"/>
                <w:sz w:val="20"/>
                <w14:textFill>
                  <w14:solidFill>
                    <w14:schemeClr w14:val="tx1"/>
                  </w14:solidFill>
                </w14:textFill>
              </w:rPr>
            </w:pPr>
          </w:p>
        </w:tc>
        <w:tc>
          <w:tcPr>
            <w:tcW w:w="1198" w:type="dxa"/>
            <w:vMerge w:val="continue"/>
          </w:tcPr>
          <w:p w14:paraId="64CD59DF">
            <w:pPr>
              <w:pStyle w:val="2"/>
              <w:rPr>
                <w:color w:val="000000" w:themeColor="text1"/>
                <w:kern w:val="0"/>
                <w:sz w:val="20"/>
                <w14:textFill>
                  <w14:solidFill>
                    <w14:schemeClr w14:val="tx1"/>
                  </w14:solidFill>
                </w14:textFill>
              </w:rPr>
            </w:pPr>
          </w:p>
        </w:tc>
        <w:tc>
          <w:tcPr>
            <w:tcW w:w="1462" w:type="dxa"/>
            <w:vMerge w:val="continue"/>
          </w:tcPr>
          <w:p w14:paraId="1C649FB2">
            <w:pPr>
              <w:pStyle w:val="2"/>
              <w:rPr>
                <w:color w:val="000000" w:themeColor="text1"/>
                <w:kern w:val="0"/>
                <w:sz w:val="20"/>
                <w14:textFill>
                  <w14:solidFill>
                    <w14:schemeClr w14:val="tx1"/>
                  </w14:solidFill>
                </w14:textFill>
              </w:rPr>
            </w:pPr>
          </w:p>
        </w:tc>
        <w:tc>
          <w:tcPr>
            <w:tcW w:w="1142" w:type="dxa"/>
            <w:vMerge w:val="continue"/>
          </w:tcPr>
          <w:p w14:paraId="700F3A2C">
            <w:pPr>
              <w:pStyle w:val="2"/>
              <w:rPr>
                <w:color w:val="000000" w:themeColor="text1"/>
                <w:kern w:val="0"/>
                <w:sz w:val="20"/>
                <w14:textFill>
                  <w14:solidFill>
                    <w14:schemeClr w14:val="tx1"/>
                  </w14:solidFill>
                </w14:textFill>
              </w:rPr>
            </w:pPr>
          </w:p>
        </w:tc>
        <w:tc>
          <w:tcPr>
            <w:tcW w:w="1109" w:type="dxa"/>
          </w:tcPr>
          <w:p w14:paraId="71247B4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伺服电机</w:t>
            </w:r>
          </w:p>
        </w:tc>
      </w:tr>
      <w:tr w14:paraId="2D48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restart"/>
            <w:noWrap/>
          </w:tcPr>
          <w:p w14:paraId="72F6DE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11</w:t>
            </w:r>
          </w:p>
        </w:tc>
        <w:tc>
          <w:tcPr>
            <w:tcW w:w="1752" w:type="dxa"/>
            <w:vMerge w:val="restart"/>
          </w:tcPr>
          <w:p w14:paraId="6EDF342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电气电控系统</w:t>
            </w:r>
          </w:p>
        </w:tc>
        <w:tc>
          <w:tcPr>
            <w:tcW w:w="2086" w:type="dxa"/>
          </w:tcPr>
          <w:p w14:paraId="0F276E2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6ES7518-4UP00-0AB0</w:t>
            </w:r>
          </w:p>
        </w:tc>
        <w:tc>
          <w:tcPr>
            <w:tcW w:w="4049" w:type="dxa"/>
            <w:vMerge w:val="restart"/>
          </w:tcPr>
          <w:p w14:paraId="4AB9940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CPU 1518TF-4PN/DP，带特殊功能的CPU及部分特殊控制模块，包括通讯模块，IO模块，256MB存储卡，交换机，电源模块，断路器，继电器等。</w:t>
            </w:r>
          </w:p>
        </w:tc>
        <w:tc>
          <w:tcPr>
            <w:tcW w:w="402" w:type="dxa"/>
          </w:tcPr>
          <w:p w14:paraId="16DFA0F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698BAD9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vMerge w:val="restart"/>
            <w:noWrap/>
          </w:tcPr>
          <w:p w14:paraId="50EEF0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vMerge w:val="restart"/>
          </w:tcPr>
          <w:p w14:paraId="56A291BE">
            <w:pPr>
              <w:pStyle w:val="2"/>
              <w:rPr>
                <w:color w:val="000000" w:themeColor="text1"/>
                <w:kern w:val="0"/>
                <w:sz w:val="20"/>
                <w14:textFill>
                  <w14:solidFill>
                    <w14:schemeClr w14:val="tx1"/>
                  </w14:solidFill>
                </w14:textFill>
              </w:rPr>
            </w:pPr>
          </w:p>
        </w:tc>
        <w:tc>
          <w:tcPr>
            <w:tcW w:w="1142" w:type="dxa"/>
            <w:vMerge w:val="restart"/>
          </w:tcPr>
          <w:p w14:paraId="0F342DD8">
            <w:pPr>
              <w:pStyle w:val="2"/>
              <w:rPr>
                <w:color w:val="000000" w:themeColor="text1"/>
                <w:kern w:val="0"/>
                <w:sz w:val="20"/>
                <w14:textFill>
                  <w14:solidFill>
                    <w14:schemeClr w14:val="tx1"/>
                  </w14:solidFill>
                </w14:textFill>
              </w:rPr>
            </w:pPr>
          </w:p>
        </w:tc>
        <w:tc>
          <w:tcPr>
            <w:tcW w:w="1109" w:type="dxa"/>
          </w:tcPr>
          <w:p w14:paraId="7991E46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1500PLC</w:t>
            </w:r>
          </w:p>
        </w:tc>
      </w:tr>
      <w:tr w14:paraId="11E1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3291F089">
            <w:pPr>
              <w:pStyle w:val="2"/>
              <w:rPr>
                <w:color w:val="000000" w:themeColor="text1"/>
                <w:kern w:val="0"/>
                <w:sz w:val="20"/>
                <w14:textFill>
                  <w14:solidFill>
                    <w14:schemeClr w14:val="tx1"/>
                  </w14:solidFill>
                </w14:textFill>
              </w:rPr>
            </w:pPr>
          </w:p>
        </w:tc>
        <w:tc>
          <w:tcPr>
            <w:tcW w:w="1752" w:type="dxa"/>
            <w:vMerge w:val="continue"/>
          </w:tcPr>
          <w:p w14:paraId="5E948ACE">
            <w:pPr>
              <w:pStyle w:val="2"/>
              <w:rPr>
                <w:color w:val="000000" w:themeColor="text1"/>
                <w:kern w:val="0"/>
                <w:sz w:val="20"/>
                <w14:textFill>
                  <w14:solidFill>
                    <w14:schemeClr w14:val="tx1"/>
                  </w14:solidFill>
                </w14:textFill>
              </w:rPr>
            </w:pPr>
          </w:p>
        </w:tc>
        <w:tc>
          <w:tcPr>
            <w:tcW w:w="2086" w:type="dxa"/>
          </w:tcPr>
          <w:p w14:paraId="07E1E2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6ES7954-8LL04-0AA0</w:t>
            </w:r>
          </w:p>
        </w:tc>
        <w:tc>
          <w:tcPr>
            <w:tcW w:w="4049" w:type="dxa"/>
            <w:vMerge w:val="continue"/>
          </w:tcPr>
          <w:p w14:paraId="55FA5F6A">
            <w:pPr>
              <w:pStyle w:val="2"/>
              <w:rPr>
                <w:color w:val="000000" w:themeColor="text1"/>
                <w:kern w:val="0"/>
                <w:sz w:val="20"/>
                <w14:textFill>
                  <w14:solidFill>
                    <w14:schemeClr w14:val="tx1"/>
                  </w14:solidFill>
                </w14:textFill>
              </w:rPr>
            </w:pPr>
          </w:p>
        </w:tc>
        <w:tc>
          <w:tcPr>
            <w:tcW w:w="402" w:type="dxa"/>
          </w:tcPr>
          <w:p w14:paraId="67555C0F">
            <w:pPr>
              <w:pStyle w:val="2"/>
              <w:rPr>
                <w:color w:val="000000" w:themeColor="text1"/>
                <w:kern w:val="0"/>
                <w:sz w:val="20"/>
                <w14:textFill>
                  <w14:solidFill>
                    <w14:schemeClr w14:val="tx1"/>
                  </w14:solidFill>
                </w14:textFill>
              </w:rPr>
            </w:pPr>
          </w:p>
        </w:tc>
        <w:tc>
          <w:tcPr>
            <w:tcW w:w="497" w:type="dxa"/>
          </w:tcPr>
          <w:p w14:paraId="5A3A9727">
            <w:pPr>
              <w:pStyle w:val="2"/>
              <w:rPr>
                <w:color w:val="000000" w:themeColor="text1"/>
                <w:kern w:val="0"/>
                <w:sz w:val="20"/>
                <w14:textFill>
                  <w14:solidFill>
                    <w14:schemeClr w14:val="tx1"/>
                  </w14:solidFill>
                </w14:textFill>
              </w:rPr>
            </w:pPr>
          </w:p>
        </w:tc>
        <w:tc>
          <w:tcPr>
            <w:tcW w:w="1198" w:type="dxa"/>
            <w:vMerge w:val="continue"/>
          </w:tcPr>
          <w:p w14:paraId="49C0A6B3">
            <w:pPr>
              <w:pStyle w:val="2"/>
              <w:rPr>
                <w:color w:val="000000" w:themeColor="text1"/>
                <w:kern w:val="0"/>
                <w:sz w:val="20"/>
                <w14:textFill>
                  <w14:solidFill>
                    <w14:schemeClr w14:val="tx1"/>
                  </w14:solidFill>
                </w14:textFill>
              </w:rPr>
            </w:pPr>
          </w:p>
        </w:tc>
        <w:tc>
          <w:tcPr>
            <w:tcW w:w="1462" w:type="dxa"/>
            <w:vMerge w:val="continue"/>
          </w:tcPr>
          <w:p w14:paraId="403A932B">
            <w:pPr>
              <w:pStyle w:val="2"/>
              <w:rPr>
                <w:color w:val="000000" w:themeColor="text1"/>
                <w:kern w:val="0"/>
                <w:sz w:val="20"/>
                <w14:textFill>
                  <w14:solidFill>
                    <w14:schemeClr w14:val="tx1"/>
                  </w14:solidFill>
                </w14:textFill>
              </w:rPr>
            </w:pPr>
          </w:p>
        </w:tc>
        <w:tc>
          <w:tcPr>
            <w:tcW w:w="1142" w:type="dxa"/>
            <w:vMerge w:val="continue"/>
          </w:tcPr>
          <w:p w14:paraId="35B4840A">
            <w:pPr>
              <w:pStyle w:val="2"/>
              <w:rPr>
                <w:color w:val="000000" w:themeColor="text1"/>
                <w:kern w:val="0"/>
                <w:sz w:val="20"/>
                <w14:textFill>
                  <w14:solidFill>
                    <w14:schemeClr w14:val="tx1"/>
                  </w14:solidFill>
                </w14:textFill>
              </w:rPr>
            </w:pPr>
          </w:p>
        </w:tc>
        <w:tc>
          <w:tcPr>
            <w:tcW w:w="1109" w:type="dxa"/>
          </w:tcPr>
          <w:p w14:paraId="70BEB0D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存储卡</w:t>
            </w:r>
          </w:p>
        </w:tc>
      </w:tr>
      <w:tr w14:paraId="348C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0B635D6E">
            <w:pPr>
              <w:pStyle w:val="2"/>
              <w:rPr>
                <w:color w:val="000000" w:themeColor="text1"/>
                <w:kern w:val="0"/>
                <w:sz w:val="20"/>
                <w14:textFill>
                  <w14:solidFill>
                    <w14:schemeClr w14:val="tx1"/>
                  </w14:solidFill>
                </w14:textFill>
              </w:rPr>
            </w:pPr>
          </w:p>
        </w:tc>
        <w:tc>
          <w:tcPr>
            <w:tcW w:w="1752" w:type="dxa"/>
            <w:vMerge w:val="continue"/>
          </w:tcPr>
          <w:p w14:paraId="1B68F6B8">
            <w:pPr>
              <w:pStyle w:val="2"/>
              <w:rPr>
                <w:color w:val="000000" w:themeColor="text1"/>
                <w:kern w:val="0"/>
                <w:sz w:val="20"/>
                <w14:textFill>
                  <w14:solidFill>
                    <w14:schemeClr w14:val="tx1"/>
                  </w14:solidFill>
                </w14:textFill>
              </w:rPr>
            </w:pPr>
          </w:p>
        </w:tc>
        <w:tc>
          <w:tcPr>
            <w:tcW w:w="2086" w:type="dxa"/>
          </w:tcPr>
          <w:p w14:paraId="13957E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6ES7521-1BH10-0AA0</w:t>
            </w:r>
          </w:p>
        </w:tc>
        <w:tc>
          <w:tcPr>
            <w:tcW w:w="4049" w:type="dxa"/>
            <w:vMerge w:val="continue"/>
          </w:tcPr>
          <w:p w14:paraId="6CEB1570">
            <w:pPr>
              <w:pStyle w:val="2"/>
              <w:rPr>
                <w:color w:val="000000" w:themeColor="text1"/>
                <w:kern w:val="0"/>
                <w:sz w:val="20"/>
                <w14:textFill>
                  <w14:solidFill>
                    <w14:schemeClr w14:val="tx1"/>
                  </w14:solidFill>
                </w14:textFill>
              </w:rPr>
            </w:pPr>
          </w:p>
        </w:tc>
        <w:tc>
          <w:tcPr>
            <w:tcW w:w="402" w:type="dxa"/>
          </w:tcPr>
          <w:p w14:paraId="069E9E27">
            <w:pPr>
              <w:pStyle w:val="2"/>
              <w:rPr>
                <w:color w:val="000000" w:themeColor="text1"/>
                <w:kern w:val="0"/>
                <w:sz w:val="20"/>
                <w14:textFill>
                  <w14:solidFill>
                    <w14:schemeClr w14:val="tx1"/>
                  </w14:solidFill>
                </w14:textFill>
              </w:rPr>
            </w:pPr>
          </w:p>
        </w:tc>
        <w:tc>
          <w:tcPr>
            <w:tcW w:w="497" w:type="dxa"/>
          </w:tcPr>
          <w:p w14:paraId="6376E878">
            <w:pPr>
              <w:pStyle w:val="2"/>
              <w:rPr>
                <w:color w:val="000000" w:themeColor="text1"/>
                <w:kern w:val="0"/>
                <w:sz w:val="20"/>
                <w14:textFill>
                  <w14:solidFill>
                    <w14:schemeClr w14:val="tx1"/>
                  </w14:solidFill>
                </w14:textFill>
              </w:rPr>
            </w:pPr>
          </w:p>
        </w:tc>
        <w:tc>
          <w:tcPr>
            <w:tcW w:w="1198" w:type="dxa"/>
            <w:vMerge w:val="continue"/>
          </w:tcPr>
          <w:p w14:paraId="64EE0265">
            <w:pPr>
              <w:pStyle w:val="2"/>
              <w:rPr>
                <w:color w:val="000000" w:themeColor="text1"/>
                <w:kern w:val="0"/>
                <w:sz w:val="20"/>
                <w14:textFill>
                  <w14:solidFill>
                    <w14:schemeClr w14:val="tx1"/>
                  </w14:solidFill>
                </w14:textFill>
              </w:rPr>
            </w:pPr>
          </w:p>
        </w:tc>
        <w:tc>
          <w:tcPr>
            <w:tcW w:w="1462" w:type="dxa"/>
            <w:vMerge w:val="continue"/>
          </w:tcPr>
          <w:p w14:paraId="3E866D76">
            <w:pPr>
              <w:pStyle w:val="2"/>
              <w:rPr>
                <w:color w:val="000000" w:themeColor="text1"/>
                <w:kern w:val="0"/>
                <w:sz w:val="20"/>
                <w14:textFill>
                  <w14:solidFill>
                    <w14:schemeClr w14:val="tx1"/>
                  </w14:solidFill>
                </w14:textFill>
              </w:rPr>
            </w:pPr>
          </w:p>
        </w:tc>
        <w:tc>
          <w:tcPr>
            <w:tcW w:w="1142" w:type="dxa"/>
            <w:vMerge w:val="continue"/>
          </w:tcPr>
          <w:p w14:paraId="255CCD00">
            <w:pPr>
              <w:pStyle w:val="2"/>
              <w:rPr>
                <w:color w:val="000000" w:themeColor="text1"/>
                <w:kern w:val="0"/>
                <w:sz w:val="20"/>
                <w14:textFill>
                  <w14:solidFill>
                    <w14:schemeClr w14:val="tx1"/>
                  </w14:solidFill>
                </w14:textFill>
              </w:rPr>
            </w:pPr>
          </w:p>
        </w:tc>
        <w:tc>
          <w:tcPr>
            <w:tcW w:w="1109" w:type="dxa"/>
          </w:tcPr>
          <w:p w14:paraId="42C54B8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r>
      <w:tr w14:paraId="53C6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474ACC25">
            <w:pPr>
              <w:pStyle w:val="2"/>
              <w:rPr>
                <w:color w:val="000000" w:themeColor="text1"/>
                <w:kern w:val="0"/>
                <w:sz w:val="20"/>
                <w14:textFill>
                  <w14:solidFill>
                    <w14:schemeClr w14:val="tx1"/>
                  </w14:solidFill>
                </w14:textFill>
              </w:rPr>
            </w:pPr>
          </w:p>
        </w:tc>
        <w:tc>
          <w:tcPr>
            <w:tcW w:w="1752" w:type="dxa"/>
            <w:vMerge w:val="continue"/>
          </w:tcPr>
          <w:p w14:paraId="06B188AF">
            <w:pPr>
              <w:pStyle w:val="2"/>
              <w:rPr>
                <w:color w:val="000000" w:themeColor="text1"/>
                <w:kern w:val="0"/>
                <w:sz w:val="20"/>
                <w14:textFill>
                  <w14:solidFill>
                    <w14:schemeClr w14:val="tx1"/>
                  </w14:solidFill>
                </w14:textFill>
              </w:rPr>
            </w:pPr>
          </w:p>
        </w:tc>
        <w:tc>
          <w:tcPr>
            <w:tcW w:w="2086" w:type="dxa"/>
          </w:tcPr>
          <w:p w14:paraId="3F3DD83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6ES7522-1BH10-0AA0</w:t>
            </w:r>
          </w:p>
        </w:tc>
        <w:tc>
          <w:tcPr>
            <w:tcW w:w="4049" w:type="dxa"/>
            <w:vMerge w:val="continue"/>
          </w:tcPr>
          <w:p w14:paraId="6990D4BB">
            <w:pPr>
              <w:pStyle w:val="2"/>
              <w:rPr>
                <w:color w:val="000000" w:themeColor="text1"/>
                <w:kern w:val="0"/>
                <w:sz w:val="20"/>
                <w14:textFill>
                  <w14:solidFill>
                    <w14:schemeClr w14:val="tx1"/>
                  </w14:solidFill>
                </w14:textFill>
              </w:rPr>
            </w:pPr>
          </w:p>
        </w:tc>
        <w:tc>
          <w:tcPr>
            <w:tcW w:w="402" w:type="dxa"/>
          </w:tcPr>
          <w:p w14:paraId="21459510">
            <w:pPr>
              <w:pStyle w:val="2"/>
              <w:rPr>
                <w:color w:val="000000" w:themeColor="text1"/>
                <w:kern w:val="0"/>
                <w:sz w:val="20"/>
                <w14:textFill>
                  <w14:solidFill>
                    <w14:schemeClr w14:val="tx1"/>
                  </w14:solidFill>
                </w14:textFill>
              </w:rPr>
            </w:pPr>
          </w:p>
        </w:tc>
        <w:tc>
          <w:tcPr>
            <w:tcW w:w="497" w:type="dxa"/>
          </w:tcPr>
          <w:p w14:paraId="22CE3827">
            <w:pPr>
              <w:pStyle w:val="2"/>
              <w:rPr>
                <w:color w:val="000000" w:themeColor="text1"/>
                <w:kern w:val="0"/>
                <w:sz w:val="20"/>
                <w14:textFill>
                  <w14:solidFill>
                    <w14:schemeClr w14:val="tx1"/>
                  </w14:solidFill>
                </w14:textFill>
              </w:rPr>
            </w:pPr>
          </w:p>
        </w:tc>
        <w:tc>
          <w:tcPr>
            <w:tcW w:w="1198" w:type="dxa"/>
            <w:vMerge w:val="continue"/>
          </w:tcPr>
          <w:p w14:paraId="7DC1C228">
            <w:pPr>
              <w:pStyle w:val="2"/>
              <w:rPr>
                <w:color w:val="000000" w:themeColor="text1"/>
                <w:kern w:val="0"/>
                <w:sz w:val="20"/>
                <w14:textFill>
                  <w14:solidFill>
                    <w14:schemeClr w14:val="tx1"/>
                  </w14:solidFill>
                </w14:textFill>
              </w:rPr>
            </w:pPr>
          </w:p>
        </w:tc>
        <w:tc>
          <w:tcPr>
            <w:tcW w:w="1462" w:type="dxa"/>
            <w:vMerge w:val="continue"/>
          </w:tcPr>
          <w:p w14:paraId="1BAC7A2C">
            <w:pPr>
              <w:pStyle w:val="2"/>
              <w:rPr>
                <w:color w:val="000000" w:themeColor="text1"/>
                <w:kern w:val="0"/>
                <w:sz w:val="20"/>
                <w14:textFill>
                  <w14:solidFill>
                    <w14:schemeClr w14:val="tx1"/>
                  </w14:solidFill>
                </w14:textFill>
              </w:rPr>
            </w:pPr>
          </w:p>
        </w:tc>
        <w:tc>
          <w:tcPr>
            <w:tcW w:w="1142" w:type="dxa"/>
            <w:vMerge w:val="continue"/>
          </w:tcPr>
          <w:p w14:paraId="60FB37EC">
            <w:pPr>
              <w:pStyle w:val="2"/>
              <w:rPr>
                <w:color w:val="000000" w:themeColor="text1"/>
                <w:kern w:val="0"/>
                <w:sz w:val="20"/>
                <w14:textFill>
                  <w14:solidFill>
                    <w14:schemeClr w14:val="tx1"/>
                  </w14:solidFill>
                </w14:textFill>
              </w:rPr>
            </w:pPr>
          </w:p>
        </w:tc>
        <w:tc>
          <w:tcPr>
            <w:tcW w:w="1109" w:type="dxa"/>
          </w:tcPr>
          <w:p w14:paraId="6BDF193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输出模块</w:t>
            </w:r>
          </w:p>
        </w:tc>
      </w:tr>
      <w:tr w14:paraId="0B0C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1A5DB5CB">
            <w:pPr>
              <w:pStyle w:val="2"/>
              <w:rPr>
                <w:color w:val="000000" w:themeColor="text1"/>
                <w:kern w:val="0"/>
                <w:sz w:val="20"/>
                <w14:textFill>
                  <w14:solidFill>
                    <w14:schemeClr w14:val="tx1"/>
                  </w14:solidFill>
                </w14:textFill>
              </w:rPr>
            </w:pPr>
          </w:p>
        </w:tc>
        <w:tc>
          <w:tcPr>
            <w:tcW w:w="1752" w:type="dxa"/>
            <w:vMerge w:val="continue"/>
          </w:tcPr>
          <w:p w14:paraId="4CF66BFA">
            <w:pPr>
              <w:pStyle w:val="2"/>
              <w:rPr>
                <w:color w:val="000000" w:themeColor="text1"/>
                <w:kern w:val="0"/>
                <w:sz w:val="20"/>
                <w14:textFill>
                  <w14:solidFill>
                    <w14:schemeClr w14:val="tx1"/>
                  </w14:solidFill>
                </w14:textFill>
              </w:rPr>
            </w:pPr>
          </w:p>
        </w:tc>
        <w:tc>
          <w:tcPr>
            <w:tcW w:w="2086" w:type="dxa"/>
          </w:tcPr>
          <w:p w14:paraId="3D291D3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6GK5008-0BA10-1AB2</w:t>
            </w:r>
          </w:p>
        </w:tc>
        <w:tc>
          <w:tcPr>
            <w:tcW w:w="4049" w:type="dxa"/>
            <w:vMerge w:val="continue"/>
          </w:tcPr>
          <w:p w14:paraId="71DDF33D">
            <w:pPr>
              <w:pStyle w:val="2"/>
              <w:rPr>
                <w:color w:val="000000" w:themeColor="text1"/>
                <w:kern w:val="0"/>
                <w:sz w:val="20"/>
                <w14:textFill>
                  <w14:solidFill>
                    <w14:schemeClr w14:val="tx1"/>
                  </w14:solidFill>
                </w14:textFill>
              </w:rPr>
            </w:pPr>
          </w:p>
        </w:tc>
        <w:tc>
          <w:tcPr>
            <w:tcW w:w="402" w:type="dxa"/>
          </w:tcPr>
          <w:p w14:paraId="0A6AF43B">
            <w:pPr>
              <w:pStyle w:val="2"/>
              <w:rPr>
                <w:color w:val="000000" w:themeColor="text1"/>
                <w:kern w:val="0"/>
                <w:sz w:val="20"/>
                <w14:textFill>
                  <w14:solidFill>
                    <w14:schemeClr w14:val="tx1"/>
                  </w14:solidFill>
                </w14:textFill>
              </w:rPr>
            </w:pPr>
          </w:p>
        </w:tc>
        <w:tc>
          <w:tcPr>
            <w:tcW w:w="497" w:type="dxa"/>
          </w:tcPr>
          <w:p w14:paraId="3535F4EE">
            <w:pPr>
              <w:pStyle w:val="2"/>
              <w:rPr>
                <w:color w:val="000000" w:themeColor="text1"/>
                <w:kern w:val="0"/>
                <w:sz w:val="20"/>
                <w14:textFill>
                  <w14:solidFill>
                    <w14:schemeClr w14:val="tx1"/>
                  </w14:solidFill>
                </w14:textFill>
              </w:rPr>
            </w:pPr>
          </w:p>
        </w:tc>
        <w:tc>
          <w:tcPr>
            <w:tcW w:w="1198" w:type="dxa"/>
            <w:vMerge w:val="continue"/>
          </w:tcPr>
          <w:p w14:paraId="43799771">
            <w:pPr>
              <w:pStyle w:val="2"/>
              <w:rPr>
                <w:color w:val="000000" w:themeColor="text1"/>
                <w:kern w:val="0"/>
                <w:sz w:val="20"/>
                <w14:textFill>
                  <w14:solidFill>
                    <w14:schemeClr w14:val="tx1"/>
                  </w14:solidFill>
                </w14:textFill>
              </w:rPr>
            </w:pPr>
          </w:p>
        </w:tc>
        <w:tc>
          <w:tcPr>
            <w:tcW w:w="1462" w:type="dxa"/>
            <w:vMerge w:val="continue"/>
          </w:tcPr>
          <w:p w14:paraId="7A9CEDEC">
            <w:pPr>
              <w:pStyle w:val="2"/>
              <w:rPr>
                <w:color w:val="000000" w:themeColor="text1"/>
                <w:kern w:val="0"/>
                <w:sz w:val="20"/>
                <w14:textFill>
                  <w14:solidFill>
                    <w14:schemeClr w14:val="tx1"/>
                  </w14:solidFill>
                </w14:textFill>
              </w:rPr>
            </w:pPr>
          </w:p>
        </w:tc>
        <w:tc>
          <w:tcPr>
            <w:tcW w:w="1142" w:type="dxa"/>
            <w:vMerge w:val="continue"/>
          </w:tcPr>
          <w:p w14:paraId="2510B68D">
            <w:pPr>
              <w:pStyle w:val="2"/>
              <w:rPr>
                <w:color w:val="000000" w:themeColor="text1"/>
                <w:kern w:val="0"/>
                <w:sz w:val="20"/>
                <w14:textFill>
                  <w14:solidFill>
                    <w14:schemeClr w14:val="tx1"/>
                  </w14:solidFill>
                </w14:textFill>
              </w:rPr>
            </w:pPr>
          </w:p>
        </w:tc>
        <w:tc>
          <w:tcPr>
            <w:tcW w:w="1109" w:type="dxa"/>
          </w:tcPr>
          <w:p w14:paraId="6A1C0D8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交换机</w:t>
            </w:r>
          </w:p>
        </w:tc>
      </w:tr>
      <w:tr w14:paraId="2030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41713D65">
            <w:pPr>
              <w:pStyle w:val="2"/>
              <w:rPr>
                <w:color w:val="000000" w:themeColor="text1"/>
                <w:kern w:val="0"/>
                <w:sz w:val="20"/>
                <w14:textFill>
                  <w14:solidFill>
                    <w14:schemeClr w14:val="tx1"/>
                  </w14:solidFill>
                </w14:textFill>
              </w:rPr>
            </w:pPr>
          </w:p>
        </w:tc>
        <w:tc>
          <w:tcPr>
            <w:tcW w:w="1752" w:type="dxa"/>
            <w:vMerge w:val="continue"/>
          </w:tcPr>
          <w:p w14:paraId="02D30C7A">
            <w:pPr>
              <w:pStyle w:val="2"/>
              <w:rPr>
                <w:color w:val="000000" w:themeColor="text1"/>
                <w:kern w:val="0"/>
                <w:sz w:val="20"/>
                <w14:textFill>
                  <w14:solidFill>
                    <w14:schemeClr w14:val="tx1"/>
                  </w14:solidFill>
                </w14:textFill>
              </w:rPr>
            </w:pPr>
          </w:p>
        </w:tc>
        <w:tc>
          <w:tcPr>
            <w:tcW w:w="2086" w:type="dxa"/>
          </w:tcPr>
          <w:p w14:paraId="3094FE0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6EP3437-7SB00-3AX0</w:t>
            </w:r>
          </w:p>
        </w:tc>
        <w:tc>
          <w:tcPr>
            <w:tcW w:w="4049" w:type="dxa"/>
            <w:vMerge w:val="continue"/>
          </w:tcPr>
          <w:p w14:paraId="5ECFF0DF">
            <w:pPr>
              <w:pStyle w:val="2"/>
              <w:rPr>
                <w:color w:val="000000" w:themeColor="text1"/>
                <w:kern w:val="0"/>
                <w:sz w:val="20"/>
                <w14:textFill>
                  <w14:solidFill>
                    <w14:schemeClr w14:val="tx1"/>
                  </w14:solidFill>
                </w14:textFill>
              </w:rPr>
            </w:pPr>
          </w:p>
        </w:tc>
        <w:tc>
          <w:tcPr>
            <w:tcW w:w="402" w:type="dxa"/>
          </w:tcPr>
          <w:p w14:paraId="6A754D09">
            <w:pPr>
              <w:pStyle w:val="2"/>
              <w:rPr>
                <w:color w:val="000000" w:themeColor="text1"/>
                <w:kern w:val="0"/>
                <w:sz w:val="20"/>
                <w14:textFill>
                  <w14:solidFill>
                    <w14:schemeClr w14:val="tx1"/>
                  </w14:solidFill>
                </w14:textFill>
              </w:rPr>
            </w:pPr>
          </w:p>
        </w:tc>
        <w:tc>
          <w:tcPr>
            <w:tcW w:w="497" w:type="dxa"/>
          </w:tcPr>
          <w:p w14:paraId="36B7507D">
            <w:pPr>
              <w:pStyle w:val="2"/>
              <w:rPr>
                <w:color w:val="000000" w:themeColor="text1"/>
                <w:kern w:val="0"/>
                <w:sz w:val="20"/>
                <w14:textFill>
                  <w14:solidFill>
                    <w14:schemeClr w14:val="tx1"/>
                  </w14:solidFill>
                </w14:textFill>
              </w:rPr>
            </w:pPr>
          </w:p>
        </w:tc>
        <w:tc>
          <w:tcPr>
            <w:tcW w:w="1198" w:type="dxa"/>
            <w:vMerge w:val="continue"/>
          </w:tcPr>
          <w:p w14:paraId="444E44FD">
            <w:pPr>
              <w:pStyle w:val="2"/>
              <w:rPr>
                <w:color w:val="000000" w:themeColor="text1"/>
                <w:kern w:val="0"/>
                <w:sz w:val="20"/>
                <w14:textFill>
                  <w14:solidFill>
                    <w14:schemeClr w14:val="tx1"/>
                  </w14:solidFill>
                </w14:textFill>
              </w:rPr>
            </w:pPr>
          </w:p>
        </w:tc>
        <w:tc>
          <w:tcPr>
            <w:tcW w:w="1462" w:type="dxa"/>
            <w:vMerge w:val="continue"/>
          </w:tcPr>
          <w:p w14:paraId="6B82884A">
            <w:pPr>
              <w:pStyle w:val="2"/>
              <w:rPr>
                <w:color w:val="000000" w:themeColor="text1"/>
                <w:kern w:val="0"/>
                <w:sz w:val="20"/>
                <w14:textFill>
                  <w14:solidFill>
                    <w14:schemeClr w14:val="tx1"/>
                  </w14:solidFill>
                </w14:textFill>
              </w:rPr>
            </w:pPr>
          </w:p>
        </w:tc>
        <w:tc>
          <w:tcPr>
            <w:tcW w:w="1142" w:type="dxa"/>
            <w:vMerge w:val="continue"/>
          </w:tcPr>
          <w:p w14:paraId="095D4A71">
            <w:pPr>
              <w:pStyle w:val="2"/>
              <w:rPr>
                <w:color w:val="000000" w:themeColor="text1"/>
                <w:kern w:val="0"/>
                <w:sz w:val="20"/>
                <w14:textFill>
                  <w14:solidFill>
                    <w14:schemeClr w14:val="tx1"/>
                  </w14:solidFill>
                </w14:textFill>
              </w:rPr>
            </w:pPr>
          </w:p>
        </w:tc>
        <w:tc>
          <w:tcPr>
            <w:tcW w:w="1109" w:type="dxa"/>
          </w:tcPr>
          <w:p w14:paraId="10539FD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w:t>
            </w:r>
          </w:p>
        </w:tc>
      </w:tr>
      <w:tr w14:paraId="641A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6E62053F">
            <w:pPr>
              <w:pStyle w:val="2"/>
              <w:rPr>
                <w:color w:val="000000" w:themeColor="text1"/>
                <w:kern w:val="0"/>
                <w:sz w:val="20"/>
                <w14:textFill>
                  <w14:solidFill>
                    <w14:schemeClr w14:val="tx1"/>
                  </w14:solidFill>
                </w14:textFill>
              </w:rPr>
            </w:pPr>
          </w:p>
        </w:tc>
        <w:tc>
          <w:tcPr>
            <w:tcW w:w="1752" w:type="dxa"/>
            <w:vMerge w:val="continue"/>
          </w:tcPr>
          <w:p w14:paraId="62A097F5">
            <w:pPr>
              <w:pStyle w:val="2"/>
              <w:rPr>
                <w:color w:val="000000" w:themeColor="text1"/>
                <w:kern w:val="0"/>
                <w:sz w:val="20"/>
                <w14:textFill>
                  <w14:solidFill>
                    <w14:schemeClr w14:val="tx1"/>
                  </w14:solidFill>
                </w14:textFill>
              </w:rPr>
            </w:pPr>
          </w:p>
        </w:tc>
        <w:tc>
          <w:tcPr>
            <w:tcW w:w="2086" w:type="dxa"/>
          </w:tcPr>
          <w:p w14:paraId="4E14695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3RV6011-1GA15</w:t>
            </w:r>
          </w:p>
        </w:tc>
        <w:tc>
          <w:tcPr>
            <w:tcW w:w="4049" w:type="dxa"/>
            <w:vMerge w:val="continue"/>
          </w:tcPr>
          <w:p w14:paraId="0C4F3FCF">
            <w:pPr>
              <w:pStyle w:val="2"/>
              <w:rPr>
                <w:color w:val="000000" w:themeColor="text1"/>
                <w:kern w:val="0"/>
                <w:sz w:val="20"/>
                <w14:textFill>
                  <w14:solidFill>
                    <w14:schemeClr w14:val="tx1"/>
                  </w14:solidFill>
                </w14:textFill>
              </w:rPr>
            </w:pPr>
          </w:p>
        </w:tc>
        <w:tc>
          <w:tcPr>
            <w:tcW w:w="402" w:type="dxa"/>
          </w:tcPr>
          <w:p w14:paraId="386FA31B">
            <w:pPr>
              <w:pStyle w:val="2"/>
              <w:rPr>
                <w:color w:val="000000" w:themeColor="text1"/>
                <w:kern w:val="0"/>
                <w:sz w:val="20"/>
                <w14:textFill>
                  <w14:solidFill>
                    <w14:schemeClr w14:val="tx1"/>
                  </w14:solidFill>
                </w14:textFill>
              </w:rPr>
            </w:pPr>
          </w:p>
        </w:tc>
        <w:tc>
          <w:tcPr>
            <w:tcW w:w="497" w:type="dxa"/>
          </w:tcPr>
          <w:p w14:paraId="0AAF8ACC">
            <w:pPr>
              <w:pStyle w:val="2"/>
              <w:rPr>
                <w:color w:val="000000" w:themeColor="text1"/>
                <w:kern w:val="0"/>
                <w:sz w:val="20"/>
                <w14:textFill>
                  <w14:solidFill>
                    <w14:schemeClr w14:val="tx1"/>
                  </w14:solidFill>
                </w14:textFill>
              </w:rPr>
            </w:pPr>
          </w:p>
        </w:tc>
        <w:tc>
          <w:tcPr>
            <w:tcW w:w="1198" w:type="dxa"/>
            <w:vMerge w:val="continue"/>
          </w:tcPr>
          <w:p w14:paraId="1C5BDF80">
            <w:pPr>
              <w:pStyle w:val="2"/>
              <w:rPr>
                <w:color w:val="000000" w:themeColor="text1"/>
                <w:kern w:val="0"/>
                <w:sz w:val="20"/>
                <w14:textFill>
                  <w14:solidFill>
                    <w14:schemeClr w14:val="tx1"/>
                  </w14:solidFill>
                </w14:textFill>
              </w:rPr>
            </w:pPr>
          </w:p>
        </w:tc>
        <w:tc>
          <w:tcPr>
            <w:tcW w:w="1462" w:type="dxa"/>
            <w:vMerge w:val="continue"/>
          </w:tcPr>
          <w:p w14:paraId="08C43C15">
            <w:pPr>
              <w:pStyle w:val="2"/>
              <w:rPr>
                <w:color w:val="000000" w:themeColor="text1"/>
                <w:kern w:val="0"/>
                <w:sz w:val="20"/>
                <w14:textFill>
                  <w14:solidFill>
                    <w14:schemeClr w14:val="tx1"/>
                  </w14:solidFill>
                </w14:textFill>
              </w:rPr>
            </w:pPr>
          </w:p>
        </w:tc>
        <w:tc>
          <w:tcPr>
            <w:tcW w:w="1142" w:type="dxa"/>
            <w:vMerge w:val="continue"/>
          </w:tcPr>
          <w:p w14:paraId="4DA86D05">
            <w:pPr>
              <w:pStyle w:val="2"/>
              <w:rPr>
                <w:color w:val="000000" w:themeColor="text1"/>
                <w:kern w:val="0"/>
                <w:sz w:val="20"/>
                <w14:textFill>
                  <w14:solidFill>
                    <w14:schemeClr w14:val="tx1"/>
                  </w14:solidFill>
                </w14:textFill>
              </w:rPr>
            </w:pPr>
          </w:p>
        </w:tc>
        <w:tc>
          <w:tcPr>
            <w:tcW w:w="1109" w:type="dxa"/>
          </w:tcPr>
          <w:p w14:paraId="2F55001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断路器</w:t>
            </w:r>
          </w:p>
        </w:tc>
      </w:tr>
      <w:tr w14:paraId="7B7D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6193E8CC">
            <w:pPr>
              <w:pStyle w:val="2"/>
              <w:rPr>
                <w:color w:val="000000" w:themeColor="text1"/>
                <w:kern w:val="0"/>
                <w:sz w:val="20"/>
                <w14:textFill>
                  <w14:solidFill>
                    <w14:schemeClr w14:val="tx1"/>
                  </w14:solidFill>
                </w14:textFill>
              </w:rPr>
            </w:pPr>
          </w:p>
        </w:tc>
        <w:tc>
          <w:tcPr>
            <w:tcW w:w="1752" w:type="dxa"/>
            <w:vMerge w:val="continue"/>
          </w:tcPr>
          <w:p w14:paraId="7EB3900A">
            <w:pPr>
              <w:pStyle w:val="2"/>
              <w:rPr>
                <w:color w:val="000000" w:themeColor="text1"/>
                <w:kern w:val="0"/>
                <w:sz w:val="20"/>
                <w14:textFill>
                  <w14:solidFill>
                    <w14:schemeClr w14:val="tx1"/>
                  </w14:solidFill>
                </w14:textFill>
              </w:rPr>
            </w:pPr>
          </w:p>
        </w:tc>
        <w:tc>
          <w:tcPr>
            <w:tcW w:w="2086" w:type="dxa"/>
          </w:tcPr>
          <w:p w14:paraId="56E32B3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RT4D4L24</w:t>
            </w:r>
          </w:p>
        </w:tc>
        <w:tc>
          <w:tcPr>
            <w:tcW w:w="4049" w:type="dxa"/>
            <w:vMerge w:val="continue"/>
          </w:tcPr>
          <w:p w14:paraId="2BD9B7DB">
            <w:pPr>
              <w:pStyle w:val="2"/>
              <w:rPr>
                <w:color w:val="000000" w:themeColor="text1"/>
                <w:kern w:val="0"/>
                <w:sz w:val="20"/>
                <w14:textFill>
                  <w14:solidFill>
                    <w14:schemeClr w14:val="tx1"/>
                  </w14:solidFill>
                </w14:textFill>
              </w:rPr>
            </w:pPr>
          </w:p>
        </w:tc>
        <w:tc>
          <w:tcPr>
            <w:tcW w:w="402" w:type="dxa"/>
          </w:tcPr>
          <w:p w14:paraId="0C6B3CA4">
            <w:pPr>
              <w:pStyle w:val="2"/>
              <w:rPr>
                <w:color w:val="000000" w:themeColor="text1"/>
                <w:kern w:val="0"/>
                <w:sz w:val="20"/>
                <w14:textFill>
                  <w14:solidFill>
                    <w14:schemeClr w14:val="tx1"/>
                  </w14:solidFill>
                </w14:textFill>
              </w:rPr>
            </w:pPr>
          </w:p>
        </w:tc>
        <w:tc>
          <w:tcPr>
            <w:tcW w:w="497" w:type="dxa"/>
          </w:tcPr>
          <w:p w14:paraId="73FED350">
            <w:pPr>
              <w:pStyle w:val="2"/>
              <w:rPr>
                <w:color w:val="000000" w:themeColor="text1"/>
                <w:kern w:val="0"/>
                <w:sz w:val="20"/>
                <w14:textFill>
                  <w14:solidFill>
                    <w14:schemeClr w14:val="tx1"/>
                  </w14:solidFill>
                </w14:textFill>
              </w:rPr>
            </w:pPr>
          </w:p>
        </w:tc>
        <w:tc>
          <w:tcPr>
            <w:tcW w:w="1198" w:type="dxa"/>
            <w:vMerge w:val="continue"/>
          </w:tcPr>
          <w:p w14:paraId="26F03EE0">
            <w:pPr>
              <w:pStyle w:val="2"/>
              <w:rPr>
                <w:color w:val="000000" w:themeColor="text1"/>
                <w:kern w:val="0"/>
                <w:sz w:val="20"/>
                <w14:textFill>
                  <w14:solidFill>
                    <w14:schemeClr w14:val="tx1"/>
                  </w14:solidFill>
                </w14:textFill>
              </w:rPr>
            </w:pPr>
          </w:p>
        </w:tc>
        <w:tc>
          <w:tcPr>
            <w:tcW w:w="1462" w:type="dxa"/>
            <w:vMerge w:val="continue"/>
          </w:tcPr>
          <w:p w14:paraId="51779B37">
            <w:pPr>
              <w:pStyle w:val="2"/>
              <w:rPr>
                <w:color w:val="000000" w:themeColor="text1"/>
                <w:kern w:val="0"/>
                <w:sz w:val="20"/>
                <w14:textFill>
                  <w14:solidFill>
                    <w14:schemeClr w14:val="tx1"/>
                  </w14:solidFill>
                </w14:textFill>
              </w:rPr>
            </w:pPr>
          </w:p>
        </w:tc>
        <w:tc>
          <w:tcPr>
            <w:tcW w:w="1142" w:type="dxa"/>
            <w:vMerge w:val="continue"/>
          </w:tcPr>
          <w:p w14:paraId="347E9AF8">
            <w:pPr>
              <w:pStyle w:val="2"/>
              <w:rPr>
                <w:color w:val="000000" w:themeColor="text1"/>
                <w:kern w:val="0"/>
                <w:sz w:val="20"/>
                <w14:textFill>
                  <w14:solidFill>
                    <w14:schemeClr w14:val="tx1"/>
                  </w14:solidFill>
                </w14:textFill>
              </w:rPr>
            </w:pPr>
          </w:p>
        </w:tc>
        <w:tc>
          <w:tcPr>
            <w:tcW w:w="1109" w:type="dxa"/>
          </w:tcPr>
          <w:p w14:paraId="6EA8263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继电器</w:t>
            </w:r>
          </w:p>
        </w:tc>
      </w:tr>
      <w:tr w14:paraId="1DC9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F12357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12</w:t>
            </w:r>
          </w:p>
        </w:tc>
        <w:tc>
          <w:tcPr>
            <w:tcW w:w="1752" w:type="dxa"/>
          </w:tcPr>
          <w:p w14:paraId="581960D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w:t>
            </w:r>
          </w:p>
        </w:tc>
        <w:tc>
          <w:tcPr>
            <w:tcW w:w="2086" w:type="dxa"/>
          </w:tcPr>
          <w:p w14:paraId="4296DF2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6EP1336-1LB00</w:t>
            </w:r>
          </w:p>
        </w:tc>
        <w:tc>
          <w:tcPr>
            <w:tcW w:w="4049" w:type="dxa"/>
            <w:noWrap/>
          </w:tcPr>
          <w:p w14:paraId="75D8FE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0C1A1F4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5A3675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59C4808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2B6AA0C">
            <w:pPr>
              <w:pStyle w:val="2"/>
              <w:rPr>
                <w:color w:val="000000" w:themeColor="text1"/>
                <w:kern w:val="0"/>
                <w:sz w:val="20"/>
                <w14:textFill>
                  <w14:solidFill>
                    <w14:schemeClr w14:val="tx1"/>
                  </w14:solidFill>
                </w14:textFill>
              </w:rPr>
            </w:pPr>
          </w:p>
        </w:tc>
        <w:tc>
          <w:tcPr>
            <w:tcW w:w="1142" w:type="dxa"/>
          </w:tcPr>
          <w:p w14:paraId="6659375C">
            <w:pPr>
              <w:pStyle w:val="2"/>
              <w:rPr>
                <w:color w:val="000000" w:themeColor="text1"/>
                <w:kern w:val="0"/>
                <w:sz w:val="20"/>
                <w14:textFill>
                  <w14:solidFill>
                    <w14:schemeClr w14:val="tx1"/>
                  </w14:solidFill>
                </w14:textFill>
              </w:rPr>
            </w:pPr>
          </w:p>
        </w:tc>
        <w:tc>
          <w:tcPr>
            <w:tcW w:w="1109" w:type="dxa"/>
          </w:tcPr>
          <w:p w14:paraId="09A4E2F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29A2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FB059B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13</w:t>
            </w:r>
          </w:p>
        </w:tc>
        <w:tc>
          <w:tcPr>
            <w:tcW w:w="1752" w:type="dxa"/>
          </w:tcPr>
          <w:p w14:paraId="53CB908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接触器</w:t>
            </w:r>
          </w:p>
        </w:tc>
        <w:tc>
          <w:tcPr>
            <w:tcW w:w="2086" w:type="dxa"/>
          </w:tcPr>
          <w:p w14:paraId="1904FDA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3RH2131-2BB40</w:t>
            </w:r>
          </w:p>
        </w:tc>
        <w:tc>
          <w:tcPr>
            <w:tcW w:w="4049" w:type="dxa"/>
            <w:noWrap/>
          </w:tcPr>
          <w:p w14:paraId="2F820C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6E6050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F80F7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40</w:t>
            </w:r>
          </w:p>
        </w:tc>
        <w:tc>
          <w:tcPr>
            <w:tcW w:w="1198" w:type="dxa"/>
            <w:noWrap/>
          </w:tcPr>
          <w:p w14:paraId="7F89BD1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4D162D96">
            <w:pPr>
              <w:pStyle w:val="2"/>
              <w:rPr>
                <w:color w:val="000000" w:themeColor="text1"/>
                <w:kern w:val="0"/>
                <w:sz w:val="20"/>
                <w14:textFill>
                  <w14:solidFill>
                    <w14:schemeClr w14:val="tx1"/>
                  </w14:solidFill>
                </w14:textFill>
              </w:rPr>
            </w:pPr>
          </w:p>
        </w:tc>
        <w:tc>
          <w:tcPr>
            <w:tcW w:w="1142" w:type="dxa"/>
          </w:tcPr>
          <w:p w14:paraId="67B8C03E">
            <w:pPr>
              <w:pStyle w:val="2"/>
              <w:rPr>
                <w:color w:val="000000" w:themeColor="text1"/>
                <w:kern w:val="0"/>
                <w:sz w:val="20"/>
                <w14:textFill>
                  <w14:solidFill>
                    <w14:schemeClr w14:val="tx1"/>
                  </w14:solidFill>
                </w14:textFill>
              </w:rPr>
            </w:pPr>
          </w:p>
        </w:tc>
        <w:tc>
          <w:tcPr>
            <w:tcW w:w="1109" w:type="dxa"/>
          </w:tcPr>
          <w:p w14:paraId="77FD143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49E2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ADEDC1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14</w:t>
            </w:r>
          </w:p>
        </w:tc>
        <w:tc>
          <w:tcPr>
            <w:tcW w:w="1752" w:type="dxa"/>
          </w:tcPr>
          <w:p w14:paraId="3871800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NCU模块</w:t>
            </w:r>
          </w:p>
        </w:tc>
        <w:tc>
          <w:tcPr>
            <w:tcW w:w="2086" w:type="dxa"/>
          </w:tcPr>
          <w:p w14:paraId="4519F47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6FC5357-0BB25-0AB0</w:t>
            </w:r>
          </w:p>
        </w:tc>
        <w:tc>
          <w:tcPr>
            <w:tcW w:w="4049" w:type="dxa"/>
            <w:noWrap/>
          </w:tcPr>
          <w:p w14:paraId="27A5FC0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08AA39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80876F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60E5B7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A86802D">
            <w:pPr>
              <w:pStyle w:val="2"/>
              <w:rPr>
                <w:color w:val="000000" w:themeColor="text1"/>
                <w:kern w:val="0"/>
                <w:sz w:val="20"/>
                <w14:textFill>
                  <w14:solidFill>
                    <w14:schemeClr w14:val="tx1"/>
                  </w14:solidFill>
                </w14:textFill>
              </w:rPr>
            </w:pPr>
          </w:p>
        </w:tc>
        <w:tc>
          <w:tcPr>
            <w:tcW w:w="1142" w:type="dxa"/>
          </w:tcPr>
          <w:p w14:paraId="1FDEE555">
            <w:pPr>
              <w:pStyle w:val="2"/>
              <w:rPr>
                <w:color w:val="000000" w:themeColor="text1"/>
                <w:kern w:val="0"/>
                <w:sz w:val="20"/>
                <w14:textFill>
                  <w14:solidFill>
                    <w14:schemeClr w14:val="tx1"/>
                  </w14:solidFill>
                </w14:textFill>
              </w:rPr>
            </w:pPr>
          </w:p>
        </w:tc>
        <w:tc>
          <w:tcPr>
            <w:tcW w:w="1109" w:type="dxa"/>
          </w:tcPr>
          <w:p w14:paraId="138F5FC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4B9B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7A32DB1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752" w:type="dxa"/>
          </w:tcPr>
          <w:p w14:paraId="11FBF1F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3F32E9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6ES7141-4BF00-0AA0</w:t>
            </w:r>
          </w:p>
        </w:tc>
        <w:tc>
          <w:tcPr>
            <w:tcW w:w="4049" w:type="dxa"/>
            <w:noWrap/>
          </w:tcPr>
          <w:p w14:paraId="68BD6D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0B63607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915AF0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307E113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0ABC601B">
            <w:pPr>
              <w:pStyle w:val="2"/>
              <w:rPr>
                <w:color w:val="000000" w:themeColor="text1"/>
                <w:kern w:val="0"/>
                <w:sz w:val="20"/>
                <w14:textFill>
                  <w14:solidFill>
                    <w14:schemeClr w14:val="tx1"/>
                  </w14:solidFill>
                </w14:textFill>
              </w:rPr>
            </w:pPr>
          </w:p>
        </w:tc>
        <w:tc>
          <w:tcPr>
            <w:tcW w:w="1142" w:type="dxa"/>
          </w:tcPr>
          <w:p w14:paraId="55741444">
            <w:pPr>
              <w:pStyle w:val="2"/>
              <w:rPr>
                <w:color w:val="000000" w:themeColor="text1"/>
                <w:kern w:val="0"/>
                <w:sz w:val="20"/>
                <w14:textFill>
                  <w14:solidFill>
                    <w14:schemeClr w14:val="tx1"/>
                  </w14:solidFill>
                </w14:textFill>
              </w:rPr>
            </w:pPr>
          </w:p>
        </w:tc>
        <w:tc>
          <w:tcPr>
            <w:tcW w:w="1109" w:type="dxa"/>
          </w:tcPr>
          <w:p w14:paraId="1243546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7A03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92E392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16</w:t>
            </w:r>
          </w:p>
        </w:tc>
        <w:tc>
          <w:tcPr>
            <w:tcW w:w="1752" w:type="dxa"/>
          </w:tcPr>
          <w:p w14:paraId="15B42F6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输出模块</w:t>
            </w:r>
          </w:p>
        </w:tc>
        <w:tc>
          <w:tcPr>
            <w:tcW w:w="2086" w:type="dxa"/>
          </w:tcPr>
          <w:p w14:paraId="6493540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6ES7142-4BF00-0AA0</w:t>
            </w:r>
          </w:p>
        </w:tc>
        <w:tc>
          <w:tcPr>
            <w:tcW w:w="4049" w:type="dxa"/>
            <w:noWrap/>
          </w:tcPr>
          <w:p w14:paraId="093C9B9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27A6A5C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01665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43BF8B6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43B2732">
            <w:pPr>
              <w:pStyle w:val="2"/>
              <w:rPr>
                <w:color w:val="000000" w:themeColor="text1"/>
                <w:kern w:val="0"/>
                <w:sz w:val="20"/>
                <w14:textFill>
                  <w14:solidFill>
                    <w14:schemeClr w14:val="tx1"/>
                  </w14:solidFill>
                </w14:textFill>
              </w:rPr>
            </w:pPr>
          </w:p>
        </w:tc>
        <w:tc>
          <w:tcPr>
            <w:tcW w:w="1142" w:type="dxa"/>
          </w:tcPr>
          <w:p w14:paraId="0666FD8A">
            <w:pPr>
              <w:pStyle w:val="2"/>
              <w:rPr>
                <w:color w:val="000000" w:themeColor="text1"/>
                <w:kern w:val="0"/>
                <w:sz w:val="20"/>
                <w14:textFill>
                  <w14:solidFill>
                    <w14:schemeClr w14:val="tx1"/>
                  </w14:solidFill>
                </w14:textFill>
              </w:rPr>
            </w:pPr>
          </w:p>
        </w:tc>
        <w:tc>
          <w:tcPr>
            <w:tcW w:w="1109" w:type="dxa"/>
          </w:tcPr>
          <w:p w14:paraId="02F786E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720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9AC9AA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17</w:t>
            </w:r>
          </w:p>
        </w:tc>
        <w:tc>
          <w:tcPr>
            <w:tcW w:w="1752" w:type="dxa"/>
          </w:tcPr>
          <w:p w14:paraId="0E158A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电子模块</w:t>
            </w:r>
          </w:p>
        </w:tc>
        <w:tc>
          <w:tcPr>
            <w:tcW w:w="2086" w:type="dxa"/>
          </w:tcPr>
          <w:p w14:paraId="787BD5B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6ES7144-4GF01-0AB0</w:t>
            </w:r>
          </w:p>
        </w:tc>
        <w:tc>
          <w:tcPr>
            <w:tcW w:w="4049" w:type="dxa"/>
            <w:noWrap/>
          </w:tcPr>
          <w:p w14:paraId="777B58F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25C891C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B3E5CB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1198" w:type="dxa"/>
            <w:noWrap/>
          </w:tcPr>
          <w:p w14:paraId="34D77B6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EDF253C">
            <w:pPr>
              <w:pStyle w:val="2"/>
              <w:rPr>
                <w:color w:val="000000" w:themeColor="text1"/>
                <w:kern w:val="0"/>
                <w:sz w:val="20"/>
                <w14:textFill>
                  <w14:solidFill>
                    <w14:schemeClr w14:val="tx1"/>
                  </w14:solidFill>
                </w14:textFill>
              </w:rPr>
            </w:pPr>
          </w:p>
        </w:tc>
        <w:tc>
          <w:tcPr>
            <w:tcW w:w="1142" w:type="dxa"/>
          </w:tcPr>
          <w:p w14:paraId="50730625">
            <w:pPr>
              <w:pStyle w:val="2"/>
              <w:rPr>
                <w:color w:val="000000" w:themeColor="text1"/>
                <w:kern w:val="0"/>
                <w:sz w:val="20"/>
                <w14:textFill>
                  <w14:solidFill>
                    <w14:schemeClr w14:val="tx1"/>
                  </w14:solidFill>
                </w14:textFill>
              </w:rPr>
            </w:pPr>
          </w:p>
        </w:tc>
        <w:tc>
          <w:tcPr>
            <w:tcW w:w="1109" w:type="dxa"/>
          </w:tcPr>
          <w:p w14:paraId="7A664D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BD4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90D513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18</w:t>
            </w:r>
          </w:p>
        </w:tc>
        <w:tc>
          <w:tcPr>
            <w:tcW w:w="1752" w:type="dxa"/>
          </w:tcPr>
          <w:p w14:paraId="67D074B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电源模块</w:t>
            </w:r>
          </w:p>
        </w:tc>
        <w:tc>
          <w:tcPr>
            <w:tcW w:w="2086" w:type="dxa"/>
          </w:tcPr>
          <w:p w14:paraId="0D140DD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6ES7148-4CA00-0AA0</w:t>
            </w:r>
          </w:p>
        </w:tc>
        <w:tc>
          <w:tcPr>
            <w:tcW w:w="4049" w:type="dxa"/>
            <w:noWrap/>
          </w:tcPr>
          <w:p w14:paraId="3932EFA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8B9909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22D608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1198" w:type="dxa"/>
            <w:noWrap/>
          </w:tcPr>
          <w:p w14:paraId="5A9E23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2DAF7464">
            <w:pPr>
              <w:pStyle w:val="2"/>
              <w:rPr>
                <w:color w:val="000000" w:themeColor="text1"/>
                <w:kern w:val="0"/>
                <w:sz w:val="20"/>
                <w14:textFill>
                  <w14:solidFill>
                    <w14:schemeClr w14:val="tx1"/>
                  </w14:solidFill>
                </w14:textFill>
              </w:rPr>
            </w:pPr>
          </w:p>
        </w:tc>
        <w:tc>
          <w:tcPr>
            <w:tcW w:w="1142" w:type="dxa"/>
          </w:tcPr>
          <w:p w14:paraId="1D9AF3F2">
            <w:pPr>
              <w:pStyle w:val="2"/>
              <w:rPr>
                <w:color w:val="000000" w:themeColor="text1"/>
                <w:kern w:val="0"/>
                <w:sz w:val="20"/>
                <w14:textFill>
                  <w14:solidFill>
                    <w14:schemeClr w14:val="tx1"/>
                  </w14:solidFill>
                </w14:textFill>
              </w:rPr>
            </w:pPr>
          </w:p>
        </w:tc>
        <w:tc>
          <w:tcPr>
            <w:tcW w:w="1109" w:type="dxa"/>
          </w:tcPr>
          <w:p w14:paraId="0C18A1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CBD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68A44C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19</w:t>
            </w:r>
          </w:p>
        </w:tc>
        <w:tc>
          <w:tcPr>
            <w:tcW w:w="1752" w:type="dxa"/>
          </w:tcPr>
          <w:p w14:paraId="1148BC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安全模块</w:t>
            </w:r>
          </w:p>
        </w:tc>
        <w:tc>
          <w:tcPr>
            <w:tcW w:w="2086" w:type="dxa"/>
          </w:tcPr>
          <w:p w14:paraId="5560543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6ES7148-4FC00-0AB0</w:t>
            </w:r>
          </w:p>
        </w:tc>
        <w:tc>
          <w:tcPr>
            <w:tcW w:w="4049" w:type="dxa"/>
            <w:noWrap/>
          </w:tcPr>
          <w:p w14:paraId="41497F2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1A0E3D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988E3B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391A5EF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D3FAC22">
            <w:pPr>
              <w:pStyle w:val="2"/>
              <w:rPr>
                <w:color w:val="000000" w:themeColor="text1"/>
                <w:kern w:val="0"/>
                <w:sz w:val="20"/>
                <w14:textFill>
                  <w14:solidFill>
                    <w14:schemeClr w14:val="tx1"/>
                  </w14:solidFill>
                </w14:textFill>
              </w:rPr>
            </w:pPr>
          </w:p>
        </w:tc>
        <w:tc>
          <w:tcPr>
            <w:tcW w:w="1142" w:type="dxa"/>
          </w:tcPr>
          <w:p w14:paraId="1C059F25">
            <w:pPr>
              <w:pStyle w:val="2"/>
              <w:rPr>
                <w:color w:val="000000" w:themeColor="text1"/>
                <w:kern w:val="0"/>
                <w:sz w:val="20"/>
                <w14:textFill>
                  <w14:solidFill>
                    <w14:schemeClr w14:val="tx1"/>
                  </w14:solidFill>
                </w14:textFill>
              </w:rPr>
            </w:pPr>
          </w:p>
        </w:tc>
        <w:tc>
          <w:tcPr>
            <w:tcW w:w="1109" w:type="dxa"/>
          </w:tcPr>
          <w:p w14:paraId="15C9705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808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1A26E93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w:t>
            </w:r>
          </w:p>
        </w:tc>
        <w:tc>
          <w:tcPr>
            <w:tcW w:w="1752" w:type="dxa"/>
          </w:tcPr>
          <w:p w14:paraId="79BBD4C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NCU模块</w:t>
            </w:r>
          </w:p>
        </w:tc>
        <w:tc>
          <w:tcPr>
            <w:tcW w:w="2086" w:type="dxa"/>
          </w:tcPr>
          <w:p w14:paraId="41604A8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6FC5372-0AA30-0AB0</w:t>
            </w:r>
          </w:p>
        </w:tc>
        <w:tc>
          <w:tcPr>
            <w:tcW w:w="4049" w:type="dxa"/>
            <w:noWrap/>
          </w:tcPr>
          <w:p w14:paraId="610AF8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ACE5C4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FCD64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2F8B00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3F6FCBAC">
            <w:pPr>
              <w:pStyle w:val="2"/>
              <w:rPr>
                <w:color w:val="000000" w:themeColor="text1"/>
                <w:kern w:val="0"/>
                <w:sz w:val="20"/>
                <w14:textFill>
                  <w14:solidFill>
                    <w14:schemeClr w14:val="tx1"/>
                  </w14:solidFill>
                </w14:textFill>
              </w:rPr>
            </w:pPr>
          </w:p>
        </w:tc>
        <w:tc>
          <w:tcPr>
            <w:tcW w:w="1142" w:type="dxa"/>
          </w:tcPr>
          <w:p w14:paraId="6CF7233A">
            <w:pPr>
              <w:pStyle w:val="2"/>
              <w:rPr>
                <w:color w:val="000000" w:themeColor="text1"/>
                <w:kern w:val="0"/>
                <w:sz w:val="20"/>
                <w14:textFill>
                  <w14:solidFill>
                    <w14:schemeClr w14:val="tx1"/>
                  </w14:solidFill>
                </w14:textFill>
              </w:rPr>
            </w:pPr>
          </w:p>
        </w:tc>
        <w:tc>
          <w:tcPr>
            <w:tcW w:w="1109" w:type="dxa"/>
          </w:tcPr>
          <w:p w14:paraId="454A494D">
            <w:pPr>
              <w:pStyle w:val="2"/>
              <w:rPr>
                <w:color w:val="000000" w:themeColor="text1"/>
                <w:kern w:val="0"/>
                <w:sz w:val="20"/>
                <w14:textFill>
                  <w14:solidFill>
                    <w14:schemeClr w14:val="tx1"/>
                  </w14:solidFill>
                </w14:textFill>
              </w:rPr>
            </w:pPr>
          </w:p>
        </w:tc>
      </w:tr>
      <w:tr w14:paraId="6F58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C0B842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21</w:t>
            </w:r>
          </w:p>
        </w:tc>
        <w:tc>
          <w:tcPr>
            <w:tcW w:w="1752" w:type="dxa"/>
          </w:tcPr>
          <w:p w14:paraId="6EAEC1B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连接模块</w:t>
            </w:r>
          </w:p>
        </w:tc>
        <w:tc>
          <w:tcPr>
            <w:tcW w:w="2086" w:type="dxa"/>
          </w:tcPr>
          <w:p w14:paraId="7018B9A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6ES7 194-3AA00-0BA0</w:t>
            </w:r>
          </w:p>
        </w:tc>
        <w:tc>
          <w:tcPr>
            <w:tcW w:w="4049" w:type="dxa"/>
            <w:noWrap/>
          </w:tcPr>
          <w:p w14:paraId="40403A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13B5BD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4314D36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69D76CB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04FBB34">
            <w:pPr>
              <w:pStyle w:val="2"/>
              <w:rPr>
                <w:color w:val="000000" w:themeColor="text1"/>
                <w:kern w:val="0"/>
                <w:sz w:val="20"/>
                <w14:textFill>
                  <w14:solidFill>
                    <w14:schemeClr w14:val="tx1"/>
                  </w14:solidFill>
                </w14:textFill>
              </w:rPr>
            </w:pPr>
          </w:p>
        </w:tc>
        <w:tc>
          <w:tcPr>
            <w:tcW w:w="1142" w:type="dxa"/>
          </w:tcPr>
          <w:p w14:paraId="7A58B621">
            <w:pPr>
              <w:pStyle w:val="2"/>
              <w:rPr>
                <w:color w:val="000000" w:themeColor="text1"/>
                <w:kern w:val="0"/>
                <w:sz w:val="20"/>
                <w14:textFill>
                  <w14:solidFill>
                    <w14:schemeClr w14:val="tx1"/>
                  </w14:solidFill>
                </w14:textFill>
              </w:rPr>
            </w:pPr>
          </w:p>
        </w:tc>
        <w:tc>
          <w:tcPr>
            <w:tcW w:w="1109" w:type="dxa"/>
          </w:tcPr>
          <w:p w14:paraId="79171CA5">
            <w:pPr>
              <w:pStyle w:val="2"/>
              <w:rPr>
                <w:color w:val="000000" w:themeColor="text1"/>
                <w:kern w:val="0"/>
                <w:sz w:val="20"/>
                <w14:textFill>
                  <w14:solidFill>
                    <w14:schemeClr w14:val="tx1"/>
                  </w14:solidFill>
                </w14:textFill>
              </w:rPr>
            </w:pPr>
          </w:p>
        </w:tc>
      </w:tr>
      <w:tr w14:paraId="3F2E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197D0C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22</w:t>
            </w:r>
          </w:p>
        </w:tc>
        <w:tc>
          <w:tcPr>
            <w:tcW w:w="1752" w:type="dxa"/>
          </w:tcPr>
          <w:p w14:paraId="3966BBE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IM151-DP</w:t>
            </w:r>
          </w:p>
        </w:tc>
        <w:tc>
          <w:tcPr>
            <w:tcW w:w="2086" w:type="dxa"/>
          </w:tcPr>
          <w:p w14:paraId="7B8A43D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6ES7 154-1AA01-0AB0</w:t>
            </w:r>
          </w:p>
        </w:tc>
        <w:tc>
          <w:tcPr>
            <w:tcW w:w="4049" w:type="dxa"/>
            <w:noWrap/>
          </w:tcPr>
          <w:p w14:paraId="6054D8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C363D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454DC42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08A12BA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817BD26">
            <w:pPr>
              <w:pStyle w:val="2"/>
              <w:rPr>
                <w:color w:val="000000" w:themeColor="text1"/>
                <w:kern w:val="0"/>
                <w:sz w:val="20"/>
                <w14:textFill>
                  <w14:solidFill>
                    <w14:schemeClr w14:val="tx1"/>
                  </w14:solidFill>
                </w14:textFill>
              </w:rPr>
            </w:pPr>
          </w:p>
        </w:tc>
        <w:tc>
          <w:tcPr>
            <w:tcW w:w="1142" w:type="dxa"/>
          </w:tcPr>
          <w:p w14:paraId="4E5208D6">
            <w:pPr>
              <w:pStyle w:val="2"/>
              <w:rPr>
                <w:color w:val="000000" w:themeColor="text1"/>
                <w:kern w:val="0"/>
                <w:sz w:val="20"/>
                <w14:textFill>
                  <w14:solidFill>
                    <w14:schemeClr w14:val="tx1"/>
                  </w14:solidFill>
                </w14:textFill>
              </w:rPr>
            </w:pPr>
          </w:p>
        </w:tc>
        <w:tc>
          <w:tcPr>
            <w:tcW w:w="1109" w:type="dxa"/>
          </w:tcPr>
          <w:p w14:paraId="24ADEA68">
            <w:pPr>
              <w:pStyle w:val="2"/>
              <w:rPr>
                <w:color w:val="000000" w:themeColor="text1"/>
                <w:kern w:val="0"/>
                <w:sz w:val="20"/>
                <w14:textFill>
                  <w14:solidFill>
                    <w14:schemeClr w14:val="tx1"/>
                  </w14:solidFill>
                </w14:textFill>
              </w:rPr>
            </w:pPr>
          </w:p>
        </w:tc>
      </w:tr>
      <w:tr w14:paraId="3063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23C751B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23</w:t>
            </w:r>
          </w:p>
        </w:tc>
        <w:tc>
          <w:tcPr>
            <w:tcW w:w="1752" w:type="dxa"/>
          </w:tcPr>
          <w:p w14:paraId="42A429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电源模块</w:t>
            </w:r>
          </w:p>
        </w:tc>
        <w:tc>
          <w:tcPr>
            <w:tcW w:w="2086" w:type="dxa"/>
          </w:tcPr>
          <w:p w14:paraId="148D01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6ES7 194-4AD00-0AA0</w:t>
            </w:r>
          </w:p>
        </w:tc>
        <w:tc>
          <w:tcPr>
            <w:tcW w:w="4049" w:type="dxa"/>
            <w:noWrap/>
          </w:tcPr>
          <w:p w14:paraId="69354CA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C0CBD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BD7BCC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09E9531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82ECADC">
            <w:pPr>
              <w:pStyle w:val="2"/>
              <w:rPr>
                <w:color w:val="000000" w:themeColor="text1"/>
                <w:kern w:val="0"/>
                <w:sz w:val="20"/>
                <w14:textFill>
                  <w14:solidFill>
                    <w14:schemeClr w14:val="tx1"/>
                  </w14:solidFill>
                </w14:textFill>
              </w:rPr>
            </w:pPr>
          </w:p>
        </w:tc>
        <w:tc>
          <w:tcPr>
            <w:tcW w:w="1142" w:type="dxa"/>
          </w:tcPr>
          <w:p w14:paraId="685C8361">
            <w:pPr>
              <w:pStyle w:val="2"/>
              <w:rPr>
                <w:color w:val="000000" w:themeColor="text1"/>
                <w:kern w:val="0"/>
                <w:sz w:val="20"/>
                <w14:textFill>
                  <w14:solidFill>
                    <w14:schemeClr w14:val="tx1"/>
                  </w14:solidFill>
                </w14:textFill>
              </w:rPr>
            </w:pPr>
          </w:p>
        </w:tc>
        <w:tc>
          <w:tcPr>
            <w:tcW w:w="1109" w:type="dxa"/>
          </w:tcPr>
          <w:p w14:paraId="3AF94EF9">
            <w:pPr>
              <w:pStyle w:val="2"/>
              <w:rPr>
                <w:color w:val="000000" w:themeColor="text1"/>
                <w:kern w:val="0"/>
                <w:sz w:val="20"/>
                <w14:textFill>
                  <w14:solidFill>
                    <w14:schemeClr w14:val="tx1"/>
                  </w14:solidFill>
                </w14:textFill>
              </w:rPr>
            </w:pPr>
          </w:p>
        </w:tc>
      </w:tr>
      <w:tr w14:paraId="2CBE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A0717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24</w:t>
            </w:r>
          </w:p>
        </w:tc>
        <w:tc>
          <w:tcPr>
            <w:tcW w:w="1752" w:type="dxa"/>
          </w:tcPr>
          <w:p w14:paraId="2BE49F3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4D3A03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6ES7 141-3BF00-0XA0</w:t>
            </w:r>
          </w:p>
        </w:tc>
        <w:tc>
          <w:tcPr>
            <w:tcW w:w="4049" w:type="dxa"/>
            <w:noWrap/>
          </w:tcPr>
          <w:p w14:paraId="04F88BE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5EB5DD9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178648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5348FD8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A6C1C47">
            <w:pPr>
              <w:pStyle w:val="2"/>
              <w:rPr>
                <w:color w:val="000000" w:themeColor="text1"/>
                <w:kern w:val="0"/>
                <w:sz w:val="20"/>
                <w14:textFill>
                  <w14:solidFill>
                    <w14:schemeClr w14:val="tx1"/>
                  </w14:solidFill>
                </w14:textFill>
              </w:rPr>
            </w:pPr>
          </w:p>
        </w:tc>
        <w:tc>
          <w:tcPr>
            <w:tcW w:w="1142" w:type="dxa"/>
          </w:tcPr>
          <w:p w14:paraId="68F5D2B1">
            <w:pPr>
              <w:pStyle w:val="2"/>
              <w:rPr>
                <w:color w:val="000000" w:themeColor="text1"/>
                <w:kern w:val="0"/>
                <w:sz w:val="20"/>
                <w14:textFill>
                  <w14:solidFill>
                    <w14:schemeClr w14:val="tx1"/>
                  </w14:solidFill>
                </w14:textFill>
              </w:rPr>
            </w:pPr>
          </w:p>
        </w:tc>
        <w:tc>
          <w:tcPr>
            <w:tcW w:w="1109" w:type="dxa"/>
          </w:tcPr>
          <w:p w14:paraId="0A85B8B6">
            <w:pPr>
              <w:pStyle w:val="2"/>
              <w:rPr>
                <w:color w:val="000000" w:themeColor="text1"/>
                <w:kern w:val="0"/>
                <w:sz w:val="20"/>
                <w14:textFill>
                  <w14:solidFill>
                    <w14:schemeClr w14:val="tx1"/>
                  </w14:solidFill>
                </w14:textFill>
              </w:rPr>
            </w:pPr>
          </w:p>
        </w:tc>
      </w:tr>
      <w:tr w14:paraId="5C51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435E93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25</w:t>
            </w:r>
          </w:p>
        </w:tc>
        <w:tc>
          <w:tcPr>
            <w:tcW w:w="1752" w:type="dxa"/>
          </w:tcPr>
          <w:p w14:paraId="07C4D46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51FD3F2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6ES7 142-4BF00-0AA0</w:t>
            </w:r>
          </w:p>
        </w:tc>
        <w:tc>
          <w:tcPr>
            <w:tcW w:w="4049" w:type="dxa"/>
            <w:noWrap/>
          </w:tcPr>
          <w:p w14:paraId="46D5834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6D9919D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BF8A5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61175DA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06FB79A3">
            <w:pPr>
              <w:pStyle w:val="2"/>
              <w:rPr>
                <w:color w:val="000000" w:themeColor="text1"/>
                <w:kern w:val="0"/>
                <w:sz w:val="20"/>
                <w14:textFill>
                  <w14:solidFill>
                    <w14:schemeClr w14:val="tx1"/>
                  </w14:solidFill>
                </w14:textFill>
              </w:rPr>
            </w:pPr>
          </w:p>
        </w:tc>
        <w:tc>
          <w:tcPr>
            <w:tcW w:w="1142" w:type="dxa"/>
          </w:tcPr>
          <w:p w14:paraId="543BE6B2">
            <w:pPr>
              <w:pStyle w:val="2"/>
              <w:rPr>
                <w:color w:val="000000" w:themeColor="text1"/>
                <w:kern w:val="0"/>
                <w:sz w:val="20"/>
                <w14:textFill>
                  <w14:solidFill>
                    <w14:schemeClr w14:val="tx1"/>
                  </w14:solidFill>
                </w14:textFill>
              </w:rPr>
            </w:pPr>
          </w:p>
        </w:tc>
        <w:tc>
          <w:tcPr>
            <w:tcW w:w="1109" w:type="dxa"/>
          </w:tcPr>
          <w:p w14:paraId="41886C3C">
            <w:pPr>
              <w:pStyle w:val="2"/>
              <w:rPr>
                <w:color w:val="000000" w:themeColor="text1"/>
                <w:kern w:val="0"/>
                <w:sz w:val="20"/>
                <w14:textFill>
                  <w14:solidFill>
                    <w14:schemeClr w14:val="tx1"/>
                  </w14:solidFill>
                </w14:textFill>
              </w:rPr>
            </w:pPr>
          </w:p>
        </w:tc>
      </w:tr>
      <w:tr w14:paraId="6C97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6AB9B8C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26</w:t>
            </w:r>
          </w:p>
        </w:tc>
        <w:tc>
          <w:tcPr>
            <w:tcW w:w="1752" w:type="dxa"/>
          </w:tcPr>
          <w:p w14:paraId="0AFE10E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连接模块</w:t>
            </w:r>
          </w:p>
        </w:tc>
        <w:tc>
          <w:tcPr>
            <w:tcW w:w="2086" w:type="dxa"/>
          </w:tcPr>
          <w:p w14:paraId="32B64F3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6ES7 194-4CA00-0AA0</w:t>
            </w:r>
          </w:p>
        </w:tc>
        <w:tc>
          <w:tcPr>
            <w:tcW w:w="4049" w:type="dxa"/>
            <w:noWrap/>
          </w:tcPr>
          <w:p w14:paraId="27322AE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BAAFB4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4D36A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3F461FE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67FC788">
            <w:pPr>
              <w:pStyle w:val="2"/>
              <w:rPr>
                <w:color w:val="000000" w:themeColor="text1"/>
                <w:kern w:val="0"/>
                <w:sz w:val="20"/>
                <w14:textFill>
                  <w14:solidFill>
                    <w14:schemeClr w14:val="tx1"/>
                  </w14:solidFill>
                </w14:textFill>
              </w:rPr>
            </w:pPr>
          </w:p>
        </w:tc>
        <w:tc>
          <w:tcPr>
            <w:tcW w:w="1142" w:type="dxa"/>
          </w:tcPr>
          <w:p w14:paraId="2519526C">
            <w:pPr>
              <w:pStyle w:val="2"/>
              <w:rPr>
                <w:color w:val="000000" w:themeColor="text1"/>
                <w:kern w:val="0"/>
                <w:sz w:val="20"/>
                <w14:textFill>
                  <w14:solidFill>
                    <w14:schemeClr w14:val="tx1"/>
                  </w14:solidFill>
                </w14:textFill>
              </w:rPr>
            </w:pPr>
          </w:p>
        </w:tc>
        <w:tc>
          <w:tcPr>
            <w:tcW w:w="1109" w:type="dxa"/>
          </w:tcPr>
          <w:p w14:paraId="27055618">
            <w:pPr>
              <w:pStyle w:val="2"/>
              <w:rPr>
                <w:color w:val="000000" w:themeColor="text1"/>
                <w:kern w:val="0"/>
                <w:sz w:val="20"/>
                <w14:textFill>
                  <w14:solidFill>
                    <w14:schemeClr w14:val="tx1"/>
                  </w14:solidFill>
                </w14:textFill>
              </w:rPr>
            </w:pPr>
          </w:p>
        </w:tc>
      </w:tr>
      <w:tr w14:paraId="4349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646" w:type="dxa"/>
            <w:noWrap/>
          </w:tcPr>
          <w:p w14:paraId="2ABF54F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27</w:t>
            </w:r>
          </w:p>
        </w:tc>
        <w:tc>
          <w:tcPr>
            <w:tcW w:w="1752" w:type="dxa"/>
          </w:tcPr>
          <w:p w14:paraId="5FB835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653B2D5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6ES7 321-1BL00-0AA0</w:t>
            </w:r>
          </w:p>
        </w:tc>
        <w:tc>
          <w:tcPr>
            <w:tcW w:w="4049" w:type="dxa"/>
            <w:noWrap/>
          </w:tcPr>
          <w:p w14:paraId="245E2F6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DB410B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254780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F07E1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490D4764">
            <w:pPr>
              <w:pStyle w:val="2"/>
              <w:rPr>
                <w:color w:val="000000" w:themeColor="text1"/>
                <w:kern w:val="0"/>
                <w:sz w:val="20"/>
                <w14:textFill>
                  <w14:solidFill>
                    <w14:schemeClr w14:val="tx1"/>
                  </w14:solidFill>
                </w14:textFill>
              </w:rPr>
            </w:pPr>
          </w:p>
        </w:tc>
        <w:tc>
          <w:tcPr>
            <w:tcW w:w="1142" w:type="dxa"/>
          </w:tcPr>
          <w:p w14:paraId="5BA49C7E">
            <w:pPr>
              <w:pStyle w:val="2"/>
              <w:rPr>
                <w:color w:val="000000" w:themeColor="text1"/>
                <w:kern w:val="0"/>
                <w:sz w:val="20"/>
                <w14:textFill>
                  <w14:solidFill>
                    <w14:schemeClr w14:val="tx1"/>
                  </w14:solidFill>
                </w14:textFill>
              </w:rPr>
            </w:pPr>
          </w:p>
        </w:tc>
        <w:tc>
          <w:tcPr>
            <w:tcW w:w="1109" w:type="dxa"/>
          </w:tcPr>
          <w:p w14:paraId="5F093B43">
            <w:pPr>
              <w:pStyle w:val="2"/>
              <w:rPr>
                <w:color w:val="000000" w:themeColor="text1"/>
                <w:kern w:val="0"/>
                <w:sz w:val="20"/>
                <w14:textFill>
                  <w14:solidFill>
                    <w14:schemeClr w14:val="tx1"/>
                  </w14:solidFill>
                </w14:textFill>
              </w:rPr>
            </w:pPr>
          </w:p>
        </w:tc>
      </w:tr>
      <w:tr w14:paraId="380F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6E496E5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28</w:t>
            </w:r>
          </w:p>
        </w:tc>
        <w:tc>
          <w:tcPr>
            <w:tcW w:w="1752" w:type="dxa"/>
          </w:tcPr>
          <w:p w14:paraId="318889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输出模块</w:t>
            </w:r>
          </w:p>
        </w:tc>
        <w:tc>
          <w:tcPr>
            <w:tcW w:w="2086" w:type="dxa"/>
          </w:tcPr>
          <w:p w14:paraId="788E73D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6ES7 322-1BL00-0AA0</w:t>
            </w:r>
          </w:p>
        </w:tc>
        <w:tc>
          <w:tcPr>
            <w:tcW w:w="4049" w:type="dxa"/>
            <w:noWrap/>
          </w:tcPr>
          <w:p w14:paraId="6B53140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F3390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9191D5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11B707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551519CA">
            <w:pPr>
              <w:pStyle w:val="2"/>
              <w:rPr>
                <w:color w:val="000000" w:themeColor="text1"/>
                <w:kern w:val="0"/>
                <w:sz w:val="20"/>
                <w14:textFill>
                  <w14:solidFill>
                    <w14:schemeClr w14:val="tx1"/>
                  </w14:solidFill>
                </w14:textFill>
              </w:rPr>
            </w:pPr>
          </w:p>
        </w:tc>
        <w:tc>
          <w:tcPr>
            <w:tcW w:w="1142" w:type="dxa"/>
          </w:tcPr>
          <w:p w14:paraId="420D25C2">
            <w:pPr>
              <w:pStyle w:val="2"/>
              <w:rPr>
                <w:color w:val="000000" w:themeColor="text1"/>
                <w:kern w:val="0"/>
                <w:sz w:val="20"/>
                <w14:textFill>
                  <w14:solidFill>
                    <w14:schemeClr w14:val="tx1"/>
                  </w14:solidFill>
                </w14:textFill>
              </w:rPr>
            </w:pPr>
          </w:p>
        </w:tc>
        <w:tc>
          <w:tcPr>
            <w:tcW w:w="1109" w:type="dxa"/>
          </w:tcPr>
          <w:p w14:paraId="6D1F7E45">
            <w:pPr>
              <w:pStyle w:val="2"/>
              <w:rPr>
                <w:color w:val="000000" w:themeColor="text1"/>
                <w:kern w:val="0"/>
                <w:sz w:val="20"/>
                <w14:textFill>
                  <w14:solidFill>
                    <w14:schemeClr w14:val="tx1"/>
                  </w14:solidFill>
                </w14:textFill>
              </w:rPr>
            </w:pPr>
          </w:p>
        </w:tc>
      </w:tr>
      <w:tr w14:paraId="0825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45D42A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29</w:t>
            </w:r>
          </w:p>
        </w:tc>
        <w:tc>
          <w:tcPr>
            <w:tcW w:w="1752" w:type="dxa"/>
          </w:tcPr>
          <w:p w14:paraId="2D36729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7/8"连接头</w:t>
            </w:r>
          </w:p>
        </w:tc>
        <w:tc>
          <w:tcPr>
            <w:tcW w:w="2086" w:type="dxa"/>
          </w:tcPr>
          <w:p w14:paraId="5ECFB6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6GK1905-0FB00</w:t>
            </w:r>
          </w:p>
        </w:tc>
        <w:tc>
          <w:tcPr>
            <w:tcW w:w="4049" w:type="dxa"/>
            <w:noWrap/>
          </w:tcPr>
          <w:p w14:paraId="40F25D5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79A899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AB71B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0F2B70B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57C07D4">
            <w:pPr>
              <w:pStyle w:val="2"/>
              <w:rPr>
                <w:color w:val="000000" w:themeColor="text1"/>
                <w:kern w:val="0"/>
                <w:sz w:val="20"/>
                <w14:textFill>
                  <w14:solidFill>
                    <w14:schemeClr w14:val="tx1"/>
                  </w14:solidFill>
                </w14:textFill>
              </w:rPr>
            </w:pPr>
          </w:p>
        </w:tc>
        <w:tc>
          <w:tcPr>
            <w:tcW w:w="1142" w:type="dxa"/>
          </w:tcPr>
          <w:p w14:paraId="11C20606">
            <w:pPr>
              <w:pStyle w:val="2"/>
              <w:rPr>
                <w:color w:val="000000" w:themeColor="text1"/>
                <w:kern w:val="0"/>
                <w:sz w:val="20"/>
                <w14:textFill>
                  <w14:solidFill>
                    <w14:schemeClr w14:val="tx1"/>
                  </w14:solidFill>
                </w14:textFill>
              </w:rPr>
            </w:pPr>
          </w:p>
        </w:tc>
        <w:tc>
          <w:tcPr>
            <w:tcW w:w="1109" w:type="dxa"/>
          </w:tcPr>
          <w:p w14:paraId="7B5303B7">
            <w:pPr>
              <w:pStyle w:val="2"/>
              <w:rPr>
                <w:color w:val="000000" w:themeColor="text1"/>
                <w:kern w:val="0"/>
                <w:sz w:val="20"/>
                <w14:textFill>
                  <w14:solidFill>
                    <w14:schemeClr w14:val="tx1"/>
                  </w14:solidFill>
                </w14:textFill>
              </w:rPr>
            </w:pPr>
          </w:p>
        </w:tc>
      </w:tr>
      <w:tr w14:paraId="3E53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0CA14E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30</w:t>
            </w:r>
          </w:p>
        </w:tc>
        <w:tc>
          <w:tcPr>
            <w:tcW w:w="1752" w:type="dxa"/>
          </w:tcPr>
          <w:p w14:paraId="6D21839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7/8"连接头</w:t>
            </w:r>
          </w:p>
        </w:tc>
        <w:tc>
          <w:tcPr>
            <w:tcW w:w="2086" w:type="dxa"/>
          </w:tcPr>
          <w:p w14:paraId="1BFF80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6GK1905-0FA00</w:t>
            </w:r>
          </w:p>
        </w:tc>
        <w:tc>
          <w:tcPr>
            <w:tcW w:w="4049" w:type="dxa"/>
            <w:noWrap/>
          </w:tcPr>
          <w:p w14:paraId="421FEED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90A1C0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31C765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3930282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3B7CFCC7">
            <w:pPr>
              <w:pStyle w:val="2"/>
              <w:rPr>
                <w:color w:val="000000" w:themeColor="text1"/>
                <w:kern w:val="0"/>
                <w:sz w:val="20"/>
                <w14:textFill>
                  <w14:solidFill>
                    <w14:schemeClr w14:val="tx1"/>
                  </w14:solidFill>
                </w14:textFill>
              </w:rPr>
            </w:pPr>
          </w:p>
        </w:tc>
        <w:tc>
          <w:tcPr>
            <w:tcW w:w="1142" w:type="dxa"/>
          </w:tcPr>
          <w:p w14:paraId="03ECBA6C">
            <w:pPr>
              <w:pStyle w:val="2"/>
              <w:rPr>
                <w:color w:val="000000" w:themeColor="text1"/>
                <w:kern w:val="0"/>
                <w:sz w:val="20"/>
                <w14:textFill>
                  <w14:solidFill>
                    <w14:schemeClr w14:val="tx1"/>
                  </w14:solidFill>
                </w14:textFill>
              </w:rPr>
            </w:pPr>
          </w:p>
        </w:tc>
        <w:tc>
          <w:tcPr>
            <w:tcW w:w="1109" w:type="dxa"/>
          </w:tcPr>
          <w:p w14:paraId="2B225EB1">
            <w:pPr>
              <w:pStyle w:val="2"/>
              <w:rPr>
                <w:color w:val="000000" w:themeColor="text1"/>
                <w:kern w:val="0"/>
                <w:sz w:val="20"/>
                <w14:textFill>
                  <w14:solidFill>
                    <w14:schemeClr w14:val="tx1"/>
                  </w14:solidFill>
                </w14:textFill>
              </w:rPr>
            </w:pPr>
          </w:p>
        </w:tc>
      </w:tr>
      <w:tr w14:paraId="6973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646" w:type="dxa"/>
            <w:noWrap/>
          </w:tcPr>
          <w:p w14:paraId="73AD1D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31</w:t>
            </w:r>
          </w:p>
        </w:tc>
        <w:tc>
          <w:tcPr>
            <w:tcW w:w="1752" w:type="dxa"/>
          </w:tcPr>
          <w:p w14:paraId="56AE822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BUS接头</w:t>
            </w:r>
          </w:p>
        </w:tc>
        <w:tc>
          <w:tcPr>
            <w:tcW w:w="2086" w:type="dxa"/>
          </w:tcPr>
          <w:p w14:paraId="6001B1F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6GK1905-0EA00</w:t>
            </w:r>
          </w:p>
        </w:tc>
        <w:tc>
          <w:tcPr>
            <w:tcW w:w="4049" w:type="dxa"/>
            <w:noWrap/>
          </w:tcPr>
          <w:p w14:paraId="5051BA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2737C2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BB6F0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553E4F0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94134D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 </w:t>
            </w:r>
          </w:p>
        </w:tc>
        <w:tc>
          <w:tcPr>
            <w:tcW w:w="1142" w:type="dxa"/>
          </w:tcPr>
          <w:p w14:paraId="1BCE82B9">
            <w:pPr>
              <w:pStyle w:val="2"/>
              <w:rPr>
                <w:color w:val="000000" w:themeColor="text1"/>
                <w:kern w:val="0"/>
                <w:sz w:val="20"/>
                <w14:textFill>
                  <w14:solidFill>
                    <w14:schemeClr w14:val="tx1"/>
                  </w14:solidFill>
                </w14:textFill>
              </w:rPr>
            </w:pPr>
          </w:p>
        </w:tc>
        <w:tc>
          <w:tcPr>
            <w:tcW w:w="1109" w:type="dxa"/>
          </w:tcPr>
          <w:p w14:paraId="3EF5E1B9">
            <w:pPr>
              <w:pStyle w:val="2"/>
              <w:rPr>
                <w:color w:val="000000" w:themeColor="text1"/>
                <w:kern w:val="0"/>
                <w:sz w:val="20"/>
                <w14:textFill>
                  <w14:solidFill>
                    <w14:schemeClr w14:val="tx1"/>
                  </w14:solidFill>
                </w14:textFill>
              </w:rPr>
            </w:pPr>
          </w:p>
        </w:tc>
      </w:tr>
      <w:tr w14:paraId="17D0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2931C6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32</w:t>
            </w:r>
          </w:p>
        </w:tc>
        <w:tc>
          <w:tcPr>
            <w:tcW w:w="1752" w:type="dxa"/>
          </w:tcPr>
          <w:p w14:paraId="115E15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BUS接头</w:t>
            </w:r>
          </w:p>
        </w:tc>
        <w:tc>
          <w:tcPr>
            <w:tcW w:w="2086" w:type="dxa"/>
          </w:tcPr>
          <w:p w14:paraId="57686E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6GK1905-0EB00</w:t>
            </w:r>
          </w:p>
        </w:tc>
        <w:tc>
          <w:tcPr>
            <w:tcW w:w="4049" w:type="dxa"/>
            <w:noWrap/>
          </w:tcPr>
          <w:p w14:paraId="592062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3AE1D8A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554206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72FAA1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13956D5">
            <w:pPr>
              <w:pStyle w:val="2"/>
              <w:rPr>
                <w:color w:val="000000" w:themeColor="text1"/>
                <w:kern w:val="0"/>
                <w:sz w:val="20"/>
                <w14:textFill>
                  <w14:solidFill>
                    <w14:schemeClr w14:val="tx1"/>
                  </w14:solidFill>
                </w14:textFill>
              </w:rPr>
            </w:pPr>
          </w:p>
        </w:tc>
        <w:tc>
          <w:tcPr>
            <w:tcW w:w="1142" w:type="dxa"/>
          </w:tcPr>
          <w:p w14:paraId="21BFA302">
            <w:pPr>
              <w:pStyle w:val="2"/>
              <w:rPr>
                <w:color w:val="000000" w:themeColor="text1"/>
                <w:kern w:val="0"/>
                <w:sz w:val="20"/>
                <w14:textFill>
                  <w14:solidFill>
                    <w14:schemeClr w14:val="tx1"/>
                  </w14:solidFill>
                </w14:textFill>
              </w:rPr>
            </w:pPr>
          </w:p>
        </w:tc>
        <w:tc>
          <w:tcPr>
            <w:tcW w:w="1109" w:type="dxa"/>
          </w:tcPr>
          <w:p w14:paraId="4D5D1B0F">
            <w:pPr>
              <w:pStyle w:val="2"/>
              <w:rPr>
                <w:color w:val="000000" w:themeColor="text1"/>
                <w:kern w:val="0"/>
                <w:sz w:val="20"/>
                <w14:textFill>
                  <w14:solidFill>
                    <w14:schemeClr w14:val="tx1"/>
                  </w14:solidFill>
                </w14:textFill>
              </w:rPr>
            </w:pPr>
          </w:p>
        </w:tc>
      </w:tr>
      <w:tr w14:paraId="50CB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CAEA27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33</w:t>
            </w:r>
          </w:p>
        </w:tc>
        <w:tc>
          <w:tcPr>
            <w:tcW w:w="1752" w:type="dxa"/>
          </w:tcPr>
          <w:p w14:paraId="3BEBEF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终端电阻</w:t>
            </w:r>
          </w:p>
        </w:tc>
        <w:tc>
          <w:tcPr>
            <w:tcW w:w="2086" w:type="dxa"/>
          </w:tcPr>
          <w:p w14:paraId="1BEEE4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6GK1905-0EC00</w:t>
            </w:r>
          </w:p>
        </w:tc>
        <w:tc>
          <w:tcPr>
            <w:tcW w:w="4049" w:type="dxa"/>
            <w:noWrap/>
          </w:tcPr>
          <w:p w14:paraId="5925850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55E1875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1FF4D9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1198" w:type="dxa"/>
            <w:noWrap/>
          </w:tcPr>
          <w:p w14:paraId="2009E35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4FB517E">
            <w:pPr>
              <w:pStyle w:val="2"/>
              <w:rPr>
                <w:color w:val="000000" w:themeColor="text1"/>
                <w:kern w:val="0"/>
                <w:sz w:val="20"/>
                <w14:textFill>
                  <w14:solidFill>
                    <w14:schemeClr w14:val="tx1"/>
                  </w14:solidFill>
                </w14:textFill>
              </w:rPr>
            </w:pPr>
          </w:p>
        </w:tc>
        <w:tc>
          <w:tcPr>
            <w:tcW w:w="1142" w:type="dxa"/>
          </w:tcPr>
          <w:p w14:paraId="2FD477CC">
            <w:pPr>
              <w:pStyle w:val="2"/>
              <w:rPr>
                <w:color w:val="000000" w:themeColor="text1"/>
                <w:kern w:val="0"/>
                <w:sz w:val="20"/>
                <w14:textFill>
                  <w14:solidFill>
                    <w14:schemeClr w14:val="tx1"/>
                  </w14:solidFill>
                </w14:textFill>
              </w:rPr>
            </w:pPr>
          </w:p>
        </w:tc>
        <w:tc>
          <w:tcPr>
            <w:tcW w:w="1109" w:type="dxa"/>
          </w:tcPr>
          <w:p w14:paraId="2C71436E">
            <w:pPr>
              <w:pStyle w:val="2"/>
              <w:rPr>
                <w:color w:val="000000" w:themeColor="text1"/>
                <w:kern w:val="0"/>
                <w:sz w:val="20"/>
                <w14:textFill>
                  <w14:solidFill>
                    <w14:schemeClr w14:val="tx1"/>
                  </w14:solidFill>
                </w14:textFill>
              </w:rPr>
            </w:pPr>
          </w:p>
        </w:tc>
      </w:tr>
      <w:tr w14:paraId="441C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646" w:type="dxa"/>
            <w:noWrap/>
          </w:tcPr>
          <w:p w14:paraId="5B03D36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34</w:t>
            </w:r>
          </w:p>
        </w:tc>
        <w:tc>
          <w:tcPr>
            <w:tcW w:w="1752" w:type="dxa"/>
          </w:tcPr>
          <w:p w14:paraId="024345C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模块基座</w:t>
            </w:r>
          </w:p>
        </w:tc>
        <w:tc>
          <w:tcPr>
            <w:tcW w:w="2086" w:type="dxa"/>
          </w:tcPr>
          <w:p w14:paraId="38A122A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6ES7194-4GA00-0AA0</w:t>
            </w:r>
          </w:p>
        </w:tc>
        <w:tc>
          <w:tcPr>
            <w:tcW w:w="4049" w:type="dxa"/>
            <w:noWrap/>
          </w:tcPr>
          <w:p w14:paraId="31A19D4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67EEE45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D645D8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41D475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A3F1C1F">
            <w:pPr>
              <w:pStyle w:val="2"/>
              <w:rPr>
                <w:color w:val="000000" w:themeColor="text1"/>
                <w:kern w:val="0"/>
                <w:sz w:val="20"/>
                <w14:textFill>
                  <w14:solidFill>
                    <w14:schemeClr w14:val="tx1"/>
                  </w14:solidFill>
                </w14:textFill>
              </w:rPr>
            </w:pPr>
          </w:p>
        </w:tc>
        <w:tc>
          <w:tcPr>
            <w:tcW w:w="1142" w:type="dxa"/>
          </w:tcPr>
          <w:p w14:paraId="1E21185D">
            <w:pPr>
              <w:pStyle w:val="2"/>
              <w:rPr>
                <w:color w:val="000000" w:themeColor="text1"/>
                <w:kern w:val="0"/>
                <w:sz w:val="20"/>
                <w14:textFill>
                  <w14:solidFill>
                    <w14:schemeClr w14:val="tx1"/>
                  </w14:solidFill>
                </w14:textFill>
              </w:rPr>
            </w:pPr>
          </w:p>
        </w:tc>
        <w:tc>
          <w:tcPr>
            <w:tcW w:w="1109" w:type="dxa"/>
          </w:tcPr>
          <w:p w14:paraId="1F9336A3">
            <w:pPr>
              <w:pStyle w:val="2"/>
              <w:rPr>
                <w:color w:val="000000" w:themeColor="text1"/>
                <w:kern w:val="0"/>
                <w:sz w:val="20"/>
                <w14:textFill>
                  <w14:solidFill>
                    <w14:schemeClr w14:val="tx1"/>
                  </w14:solidFill>
                </w14:textFill>
              </w:rPr>
            </w:pPr>
          </w:p>
        </w:tc>
      </w:tr>
      <w:tr w14:paraId="47E2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5B2562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35</w:t>
            </w:r>
          </w:p>
        </w:tc>
        <w:tc>
          <w:tcPr>
            <w:tcW w:w="1752" w:type="dxa"/>
          </w:tcPr>
          <w:p w14:paraId="59B1E20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总线接头</w:t>
            </w:r>
          </w:p>
        </w:tc>
        <w:tc>
          <w:tcPr>
            <w:tcW w:w="2086" w:type="dxa"/>
          </w:tcPr>
          <w:p w14:paraId="7C48D00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6ES7 972-0BB52-0XA0</w:t>
            </w:r>
          </w:p>
        </w:tc>
        <w:tc>
          <w:tcPr>
            <w:tcW w:w="4049" w:type="dxa"/>
            <w:noWrap/>
          </w:tcPr>
          <w:p w14:paraId="13D1B0E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5681223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7FFB9D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10</w:t>
            </w:r>
          </w:p>
        </w:tc>
        <w:tc>
          <w:tcPr>
            <w:tcW w:w="1198" w:type="dxa"/>
            <w:noWrap/>
          </w:tcPr>
          <w:p w14:paraId="01B44F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36A3C0A6">
            <w:pPr>
              <w:pStyle w:val="2"/>
              <w:rPr>
                <w:color w:val="000000" w:themeColor="text1"/>
                <w:kern w:val="0"/>
                <w:sz w:val="20"/>
                <w14:textFill>
                  <w14:solidFill>
                    <w14:schemeClr w14:val="tx1"/>
                  </w14:solidFill>
                </w14:textFill>
              </w:rPr>
            </w:pPr>
          </w:p>
        </w:tc>
        <w:tc>
          <w:tcPr>
            <w:tcW w:w="1142" w:type="dxa"/>
          </w:tcPr>
          <w:p w14:paraId="2E9CE787">
            <w:pPr>
              <w:pStyle w:val="2"/>
              <w:rPr>
                <w:color w:val="000000" w:themeColor="text1"/>
                <w:kern w:val="0"/>
                <w:sz w:val="20"/>
                <w14:textFill>
                  <w14:solidFill>
                    <w14:schemeClr w14:val="tx1"/>
                  </w14:solidFill>
                </w14:textFill>
              </w:rPr>
            </w:pPr>
          </w:p>
        </w:tc>
        <w:tc>
          <w:tcPr>
            <w:tcW w:w="1109" w:type="dxa"/>
          </w:tcPr>
          <w:p w14:paraId="61478A00">
            <w:pPr>
              <w:pStyle w:val="2"/>
              <w:rPr>
                <w:color w:val="000000" w:themeColor="text1"/>
                <w:kern w:val="0"/>
                <w:sz w:val="20"/>
                <w14:textFill>
                  <w14:solidFill>
                    <w14:schemeClr w14:val="tx1"/>
                  </w14:solidFill>
                </w14:textFill>
              </w:rPr>
            </w:pPr>
          </w:p>
        </w:tc>
      </w:tr>
      <w:tr w14:paraId="065F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646" w:type="dxa"/>
            <w:noWrap/>
          </w:tcPr>
          <w:p w14:paraId="743F735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36</w:t>
            </w:r>
          </w:p>
        </w:tc>
        <w:tc>
          <w:tcPr>
            <w:tcW w:w="1752" w:type="dxa"/>
          </w:tcPr>
          <w:p w14:paraId="1A7DD3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导轨</w:t>
            </w:r>
          </w:p>
        </w:tc>
        <w:tc>
          <w:tcPr>
            <w:tcW w:w="2086" w:type="dxa"/>
          </w:tcPr>
          <w:p w14:paraId="3044C5D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6ES7390-1AF85-0AA0</w:t>
            </w:r>
          </w:p>
        </w:tc>
        <w:tc>
          <w:tcPr>
            <w:tcW w:w="4049" w:type="dxa"/>
            <w:noWrap/>
          </w:tcPr>
          <w:p w14:paraId="24D8FA0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001B0B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CA119A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5EBE301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4AB91118">
            <w:pPr>
              <w:pStyle w:val="2"/>
              <w:rPr>
                <w:color w:val="000000" w:themeColor="text1"/>
                <w:kern w:val="0"/>
                <w:sz w:val="20"/>
                <w14:textFill>
                  <w14:solidFill>
                    <w14:schemeClr w14:val="tx1"/>
                  </w14:solidFill>
                </w14:textFill>
              </w:rPr>
            </w:pPr>
          </w:p>
        </w:tc>
        <w:tc>
          <w:tcPr>
            <w:tcW w:w="1142" w:type="dxa"/>
          </w:tcPr>
          <w:p w14:paraId="000111B0">
            <w:pPr>
              <w:pStyle w:val="2"/>
              <w:rPr>
                <w:color w:val="000000" w:themeColor="text1"/>
                <w:kern w:val="0"/>
                <w:sz w:val="20"/>
                <w14:textFill>
                  <w14:solidFill>
                    <w14:schemeClr w14:val="tx1"/>
                  </w14:solidFill>
                </w14:textFill>
              </w:rPr>
            </w:pPr>
          </w:p>
        </w:tc>
        <w:tc>
          <w:tcPr>
            <w:tcW w:w="1109" w:type="dxa"/>
          </w:tcPr>
          <w:p w14:paraId="0EEC351A">
            <w:pPr>
              <w:pStyle w:val="2"/>
              <w:rPr>
                <w:color w:val="000000" w:themeColor="text1"/>
                <w:kern w:val="0"/>
                <w:sz w:val="20"/>
                <w14:textFill>
                  <w14:solidFill>
                    <w14:schemeClr w14:val="tx1"/>
                  </w14:solidFill>
                </w14:textFill>
              </w:rPr>
            </w:pPr>
          </w:p>
        </w:tc>
      </w:tr>
      <w:tr w14:paraId="09B5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46" w:type="dxa"/>
            <w:noWrap/>
          </w:tcPr>
          <w:p w14:paraId="241FDEB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37</w:t>
            </w:r>
          </w:p>
        </w:tc>
        <w:tc>
          <w:tcPr>
            <w:tcW w:w="1752" w:type="dxa"/>
          </w:tcPr>
          <w:p w14:paraId="201A34A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旋转单元</w:t>
            </w:r>
          </w:p>
        </w:tc>
        <w:tc>
          <w:tcPr>
            <w:tcW w:w="2086" w:type="dxa"/>
          </w:tcPr>
          <w:p w14:paraId="047E1C2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OSE-A40-4-2（OSE-A 40-4改制）</w:t>
            </w:r>
          </w:p>
        </w:tc>
        <w:tc>
          <w:tcPr>
            <w:tcW w:w="4049" w:type="dxa"/>
          </w:tcPr>
          <w:p w14:paraId="33B5E76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订货号30023500</w:t>
            </w:r>
          </w:p>
        </w:tc>
        <w:tc>
          <w:tcPr>
            <w:tcW w:w="402" w:type="dxa"/>
          </w:tcPr>
          <w:p w14:paraId="315185B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31691B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357EED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SCHUNK（德国）</w:t>
            </w:r>
          </w:p>
        </w:tc>
        <w:tc>
          <w:tcPr>
            <w:tcW w:w="1462" w:type="dxa"/>
          </w:tcPr>
          <w:p w14:paraId="79412405">
            <w:pPr>
              <w:pStyle w:val="2"/>
              <w:rPr>
                <w:color w:val="000000" w:themeColor="text1"/>
                <w:kern w:val="0"/>
                <w:sz w:val="20"/>
                <w14:textFill>
                  <w14:solidFill>
                    <w14:schemeClr w14:val="tx1"/>
                  </w14:solidFill>
                </w14:textFill>
              </w:rPr>
            </w:pPr>
          </w:p>
        </w:tc>
        <w:tc>
          <w:tcPr>
            <w:tcW w:w="1142" w:type="dxa"/>
          </w:tcPr>
          <w:p w14:paraId="32779076">
            <w:pPr>
              <w:pStyle w:val="2"/>
              <w:rPr>
                <w:color w:val="000000" w:themeColor="text1"/>
                <w:kern w:val="0"/>
                <w:sz w:val="20"/>
                <w14:textFill>
                  <w14:solidFill>
                    <w14:schemeClr w14:val="tx1"/>
                  </w14:solidFill>
                </w14:textFill>
              </w:rPr>
            </w:pPr>
          </w:p>
        </w:tc>
        <w:tc>
          <w:tcPr>
            <w:tcW w:w="1109" w:type="dxa"/>
          </w:tcPr>
          <w:p w14:paraId="7BC69B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2A44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2C04C7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38</w:t>
            </w:r>
          </w:p>
        </w:tc>
        <w:tc>
          <w:tcPr>
            <w:tcW w:w="1752" w:type="dxa"/>
          </w:tcPr>
          <w:p w14:paraId="3DB1794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旋转单元</w:t>
            </w:r>
          </w:p>
        </w:tc>
        <w:tc>
          <w:tcPr>
            <w:tcW w:w="2086" w:type="dxa"/>
          </w:tcPr>
          <w:p w14:paraId="3709A3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OSE-A40-4-2（OSE-A 40-4改制）</w:t>
            </w:r>
          </w:p>
        </w:tc>
        <w:tc>
          <w:tcPr>
            <w:tcW w:w="4049" w:type="dxa"/>
          </w:tcPr>
          <w:p w14:paraId="3ADAF19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订货号30023501</w:t>
            </w:r>
          </w:p>
        </w:tc>
        <w:tc>
          <w:tcPr>
            <w:tcW w:w="402" w:type="dxa"/>
          </w:tcPr>
          <w:p w14:paraId="47A3A14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93E778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0D5E5B3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SCHUNK（德国）</w:t>
            </w:r>
          </w:p>
        </w:tc>
        <w:tc>
          <w:tcPr>
            <w:tcW w:w="1462" w:type="dxa"/>
          </w:tcPr>
          <w:p w14:paraId="146EDE4C">
            <w:pPr>
              <w:pStyle w:val="2"/>
              <w:rPr>
                <w:color w:val="000000" w:themeColor="text1"/>
                <w:kern w:val="0"/>
                <w:sz w:val="20"/>
                <w14:textFill>
                  <w14:solidFill>
                    <w14:schemeClr w14:val="tx1"/>
                  </w14:solidFill>
                </w14:textFill>
              </w:rPr>
            </w:pPr>
          </w:p>
        </w:tc>
        <w:tc>
          <w:tcPr>
            <w:tcW w:w="1142" w:type="dxa"/>
          </w:tcPr>
          <w:p w14:paraId="19962C4E">
            <w:pPr>
              <w:pStyle w:val="2"/>
              <w:rPr>
                <w:color w:val="000000" w:themeColor="text1"/>
                <w:kern w:val="0"/>
                <w:sz w:val="20"/>
                <w14:textFill>
                  <w14:solidFill>
                    <w14:schemeClr w14:val="tx1"/>
                  </w14:solidFill>
                </w14:textFill>
              </w:rPr>
            </w:pPr>
          </w:p>
        </w:tc>
        <w:tc>
          <w:tcPr>
            <w:tcW w:w="1109" w:type="dxa"/>
            <w:noWrap/>
          </w:tcPr>
          <w:p w14:paraId="0F2DDE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04A0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2C9F251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39</w:t>
            </w:r>
          </w:p>
        </w:tc>
        <w:tc>
          <w:tcPr>
            <w:tcW w:w="1752" w:type="dxa"/>
          </w:tcPr>
          <w:p w14:paraId="6D1A64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旋转单元</w:t>
            </w:r>
          </w:p>
        </w:tc>
        <w:tc>
          <w:tcPr>
            <w:tcW w:w="2086" w:type="dxa"/>
          </w:tcPr>
          <w:p w14:paraId="4E9043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OSE-EDF-A45-8</w:t>
            </w:r>
          </w:p>
        </w:tc>
        <w:tc>
          <w:tcPr>
            <w:tcW w:w="4049" w:type="dxa"/>
          </w:tcPr>
          <w:p w14:paraId="7082F6E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订货号356540</w:t>
            </w:r>
          </w:p>
        </w:tc>
        <w:tc>
          <w:tcPr>
            <w:tcW w:w="402" w:type="dxa"/>
          </w:tcPr>
          <w:p w14:paraId="0ADE2B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BAA212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7241E4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SCHUNK（德国）</w:t>
            </w:r>
          </w:p>
        </w:tc>
        <w:tc>
          <w:tcPr>
            <w:tcW w:w="1462" w:type="dxa"/>
          </w:tcPr>
          <w:p w14:paraId="56D707F5">
            <w:pPr>
              <w:pStyle w:val="2"/>
              <w:rPr>
                <w:color w:val="000000" w:themeColor="text1"/>
                <w:kern w:val="0"/>
                <w:sz w:val="20"/>
                <w14:textFill>
                  <w14:solidFill>
                    <w14:schemeClr w14:val="tx1"/>
                  </w14:solidFill>
                </w14:textFill>
              </w:rPr>
            </w:pPr>
          </w:p>
        </w:tc>
        <w:tc>
          <w:tcPr>
            <w:tcW w:w="1142" w:type="dxa"/>
          </w:tcPr>
          <w:p w14:paraId="02D2D953">
            <w:pPr>
              <w:pStyle w:val="2"/>
              <w:rPr>
                <w:color w:val="000000" w:themeColor="text1"/>
                <w:kern w:val="0"/>
                <w:sz w:val="20"/>
                <w14:textFill>
                  <w14:solidFill>
                    <w14:schemeClr w14:val="tx1"/>
                  </w14:solidFill>
                </w14:textFill>
              </w:rPr>
            </w:pPr>
          </w:p>
        </w:tc>
        <w:tc>
          <w:tcPr>
            <w:tcW w:w="1109" w:type="dxa"/>
            <w:noWrap/>
          </w:tcPr>
          <w:p w14:paraId="7A9BE09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1FD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646" w:type="dxa"/>
            <w:noWrap/>
          </w:tcPr>
          <w:p w14:paraId="46394F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40</w:t>
            </w:r>
          </w:p>
        </w:tc>
        <w:tc>
          <w:tcPr>
            <w:tcW w:w="1752" w:type="dxa"/>
          </w:tcPr>
          <w:p w14:paraId="0C4382B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系统控制显示</w:t>
            </w:r>
          </w:p>
        </w:tc>
        <w:tc>
          <w:tcPr>
            <w:tcW w:w="2086" w:type="dxa"/>
          </w:tcPr>
          <w:p w14:paraId="2CAC468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6AV2124-0MC01-0AX0</w:t>
            </w:r>
          </w:p>
        </w:tc>
        <w:tc>
          <w:tcPr>
            <w:tcW w:w="4049" w:type="dxa"/>
          </w:tcPr>
          <w:p w14:paraId="7C61F44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SIMATIC HMI TP1200 Comfort， 精智面板， 触摸操作， 12" 宽屏 TFT 显示</w:t>
            </w:r>
          </w:p>
        </w:tc>
        <w:tc>
          <w:tcPr>
            <w:tcW w:w="402" w:type="dxa"/>
          </w:tcPr>
          <w:p w14:paraId="2AF53C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D362EA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F12032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200EB572">
            <w:pPr>
              <w:pStyle w:val="2"/>
              <w:rPr>
                <w:color w:val="000000" w:themeColor="text1"/>
                <w:kern w:val="0"/>
                <w:sz w:val="20"/>
                <w14:textFill>
                  <w14:solidFill>
                    <w14:schemeClr w14:val="tx1"/>
                  </w14:solidFill>
                </w14:textFill>
              </w:rPr>
            </w:pPr>
          </w:p>
        </w:tc>
        <w:tc>
          <w:tcPr>
            <w:tcW w:w="1142" w:type="dxa"/>
          </w:tcPr>
          <w:p w14:paraId="21A0FB58">
            <w:pPr>
              <w:pStyle w:val="2"/>
              <w:rPr>
                <w:color w:val="000000" w:themeColor="text1"/>
                <w:kern w:val="0"/>
                <w:sz w:val="20"/>
                <w14:textFill>
                  <w14:solidFill>
                    <w14:schemeClr w14:val="tx1"/>
                  </w14:solidFill>
                </w14:textFill>
              </w:rPr>
            </w:pPr>
          </w:p>
        </w:tc>
        <w:tc>
          <w:tcPr>
            <w:tcW w:w="1109" w:type="dxa"/>
          </w:tcPr>
          <w:p w14:paraId="31327E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223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46" w:type="dxa"/>
            <w:noWrap/>
          </w:tcPr>
          <w:p w14:paraId="7BA7A5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41</w:t>
            </w:r>
          </w:p>
        </w:tc>
        <w:tc>
          <w:tcPr>
            <w:tcW w:w="1752" w:type="dxa"/>
          </w:tcPr>
          <w:p w14:paraId="5CDECAB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新增PLC程序及程序</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修改</w:t>
            </w:r>
          </w:p>
        </w:tc>
        <w:tc>
          <w:tcPr>
            <w:tcW w:w="2086" w:type="dxa"/>
          </w:tcPr>
          <w:p w14:paraId="458A98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5DAA7C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S7-1500PLC程序涉及与原有系统840D做信号交互，逻辑互锁等；HMI人机界面程序，伺服控制程序；工控机程序等程序编制。将新增设备全部融入到原有的系统</w:t>
            </w:r>
          </w:p>
        </w:tc>
        <w:tc>
          <w:tcPr>
            <w:tcW w:w="402" w:type="dxa"/>
          </w:tcPr>
          <w:p w14:paraId="1F3626B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18E6303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2699EC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3117A0BC">
            <w:pPr>
              <w:pStyle w:val="2"/>
              <w:rPr>
                <w:color w:val="000000" w:themeColor="text1"/>
                <w:kern w:val="0"/>
                <w:sz w:val="20"/>
                <w14:textFill>
                  <w14:solidFill>
                    <w14:schemeClr w14:val="tx1"/>
                  </w14:solidFill>
                </w14:textFill>
              </w:rPr>
            </w:pPr>
          </w:p>
        </w:tc>
        <w:tc>
          <w:tcPr>
            <w:tcW w:w="1142" w:type="dxa"/>
          </w:tcPr>
          <w:p w14:paraId="0D4E4ACE">
            <w:pPr>
              <w:pStyle w:val="2"/>
              <w:rPr>
                <w:color w:val="000000" w:themeColor="text1"/>
                <w:kern w:val="0"/>
                <w:sz w:val="20"/>
                <w14:textFill>
                  <w14:solidFill>
                    <w14:schemeClr w14:val="tx1"/>
                  </w14:solidFill>
                </w14:textFill>
              </w:rPr>
            </w:pPr>
          </w:p>
        </w:tc>
        <w:tc>
          <w:tcPr>
            <w:tcW w:w="1109" w:type="dxa"/>
            <w:noWrap/>
          </w:tcPr>
          <w:p w14:paraId="40A0ECE3">
            <w:pPr>
              <w:pStyle w:val="2"/>
              <w:rPr>
                <w:color w:val="000000" w:themeColor="text1"/>
                <w:kern w:val="0"/>
                <w:sz w:val="20"/>
                <w:u w:val="single"/>
                <w14:textFill>
                  <w14:solidFill>
                    <w14:schemeClr w14:val="tx1"/>
                  </w14:solidFill>
                </w14:textFill>
              </w:rPr>
            </w:pPr>
          </w:p>
        </w:tc>
      </w:tr>
      <w:tr w14:paraId="17BA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46" w:type="dxa"/>
            <w:noWrap/>
          </w:tcPr>
          <w:p w14:paraId="47EE06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42</w:t>
            </w:r>
          </w:p>
        </w:tc>
        <w:tc>
          <w:tcPr>
            <w:tcW w:w="1752" w:type="dxa"/>
          </w:tcPr>
          <w:p w14:paraId="4DF78F1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渗膜式干燥器、除油、除尘套装</w:t>
            </w:r>
          </w:p>
        </w:tc>
        <w:tc>
          <w:tcPr>
            <w:tcW w:w="2086" w:type="dxa"/>
          </w:tcPr>
          <w:p w14:paraId="3AFA3A5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DM20G48CA、S075FWF、S075SWF</w:t>
            </w:r>
          </w:p>
        </w:tc>
        <w:tc>
          <w:tcPr>
            <w:tcW w:w="4049" w:type="dxa"/>
          </w:tcPr>
          <w:p w14:paraId="6F7A29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干燥、除油、除尘，能够有效过滤掉气溶胶和固体颗粒。为达到 ISO 8573-1 标准的1级的压缩空气质量。</w:t>
            </w:r>
          </w:p>
        </w:tc>
        <w:tc>
          <w:tcPr>
            <w:tcW w:w="402" w:type="dxa"/>
          </w:tcPr>
          <w:p w14:paraId="2517379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7F2D6CF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E71BF0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BEKO</w:t>
            </w:r>
            <w:r>
              <w:rPr>
                <w:color w:val="000000" w:themeColor="text1"/>
                <w:kern w:val="0"/>
                <w:sz w:val="20"/>
                <w14:textFill>
                  <w14:solidFill>
                    <w14:schemeClr w14:val="tx1"/>
                  </w14:solidFill>
                </w14:textFill>
              </w:rPr>
              <w:t>(</w:t>
            </w:r>
            <w:r>
              <w:rPr>
                <w:rFonts w:hint="eastAsia"/>
                <w:color w:val="000000" w:themeColor="text1"/>
                <w:kern w:val="0"/>
                <w:sz w:val="20"/>
                <w14:textFill>
                  <w14:solidFill>
                    <w14:schemeClr w14:val="tx1"/>
                  </w14:solidFill>
                </w14:textFill>
              </w:rPr>
              <w:t>英国</w:t>
            </w:r>
            <w:r>
              <w:rPr>
                <w:color w:val="000000" w:themeColor="text1"/>
                <w:kern w:val="0"/>
                <w:sz w:val="20"/>
                <w14:textFill>
                  <w14:solidFill>
                    <w14:schemeClr w14:val="tx1"/>
                  </w14:solidFill>
                </w14:textFill>
              </w:rPr>
              <w:t>)</w:t>
            </w:r>
          </w:p>
        </w:tc>
        <w:tc>
          <w:tcPr>
            <w:tcW w:w="1462" w:type="dxa"/>
          </w:tcPr>
          <w:p w14:paraId="31C496CF">
            <w:pPr>
              <w:pStyle w:val="2"/>
              <w:rPr>
                <w:color w:val="000000" w:themeColor="text1"/>
                <w:kern w:val="0"/>
                <w:sz w:val="20"/>
                <w14:textFill>
                  <w14:solidFill>
                    <w14:schemeClr w14:val="tx1"/>
                  </w14:solidFill>
                </w14:textFill>
              </w:rPr>
            </w:pPr>
          </w:p>
        </w:tc>
        <w:tc>
          <w:tcPr>
            <w:tcW w:w="1142" w:type="dxa"/>
          </w:tcPr>
          <w:p w14:paraId="2B48E3B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 </w:t>
            </w:r>
          </w:p>
        </w:tc>
        <w:tc>
          <w:tcPr>
            <w:tcW w:w="1109" w:type="dxa"/>
            <w:noWrap/>
          </w:tcPr>
          <w:p w14:paraId="569D35E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F19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46" w:type="dxa"/>
            <w:noWrap/>
          </w:tcPr>
          <w:p w14:paraId="76A33D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43</w:t>
            </w:r>
          </w:p>
        </w:tc>
        <w:tc>
          <w:tcPr>
            <w:tcW w:w="1752" w:type="dxa"/>
          </w:tcPr>
          <w:p w14:paraId="223EEA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电器柜空调</w:t>
            </w:r>
          </w:p>
        </w:tc>
        <w:tc>
          <w:tcPr>
            <w:tcW w:w="2086" w:type="dxa"/>
          </w:tcPr>
          <w:p w14:paraId="4BE1E68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SK3382500</w:t>
            </w:r>
          </w:p>
        </w:tc>
        <w:tc>
          <w:tcPr>
            <w:tcW w:w="4049" w:type="dxa"/>
          </w:tcPr>
          <w:p w14:paraId="17D865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高能效型 Blue e 顶装式空调，制冷功率从 500 W 到 4000 W。标准内嵌舒适型控制器和电气式冷凝液蒸发器</w:t>
            </w:r>
          </w:p>
        </w:tc>
        <w:tc>
          <w:tcPr>
            <w:tcW w:w="402" w:type="dxa"/>
          </w:tcPr>
          <w:p w14:paraId="72D6C9C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0A8110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446B58F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威图（德国）</w:t>
            </w:r>
          </w:p>
        </w:tc>
        <w:tc>
          <w:tcPr>
            <w:tcW w:w="1462" w:type="dxa"/>
          </w:tcPr>
          <w:p w14:paraId="2DF9D1D2">
            <w:pPr>
              <w:pStyle w:val="2"/>
              <w:rPr>
                <w:color w:val="000000" w:themeColor="text1"/>
                <w:kern w:val="0"/>
                <w:sz w:val="20"/>
                <w14:textFill>
                  <w14:solidFill>
                    <w14:schemeClr w14:val="tx1"/>
                  </w14:solidFill>
                </w14:textFill>
              </w:rPr>
            </w:pPr>
          </w:p>
        </w:tc>
        <w:tc>
          <w:tcPr>
            <w:tcW w:w="1142" w:type="dxa"/>
          </w:tcPr>
          <w:p w14:paraId="0EA67DF0">
            <w:pPr>
              <w:pStyle w:val="2"/>
              <w:rPr>
                <w:color w:val="000000" w:themeColor="text1"/>
                <w:kern w:val="0"/>
                <w:sz w:val="20"/>
                <w14:textFill>
                  <w14:solidFill>
                    <w14:schemeClr w14:val="tx1"/>
                  </w14:solidFill>
                </w14:textFill>
              </w:rPr>
            </w:pPr>
          </w:p>
        </w:tc>
        <w:tc>
          <w:tcPr>
            <w:tcW w:w="1109" w:type="dxa"/>
            <w:noWrap/>
          </w:tcPr>
          <w:p w14:paraId="4034694E">
            <w:pPr>
              <w:pStyle w:val="2"/>
              <w:rPr>
                <w:color w:val="000000" w:themeColor="text1"/>
                <w:kern w:val="0"/>
                <w:sz w:val="20"/>
                <w:u w:val="single"/>
                <w14:textFill>
                  <w14:solidFill>
                    <w14:schemeClr w14:val="tx1"/>
                  </w14:solidFill>
                </w14:textFill>
              </w:rPr>
            </w:pPr>
          </w:p>
        </w:tc>
      </w:tr>
      <w:tr w14:paraId="1258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6" w:type="dxa"/>
            <w:noWrap/>
          </w:tcPr>
          <w:p w14:paraId="286D74D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44</w:t>
            </w:r>
          </w:p>
        </w:tc>
        <w:tc>
          <w:tcPr>
            <w:tcW w:w="1752" w:type="dxa"/>
          </w:tcPr>
          <w:p w14:paraId="2359400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电器柜空调</w:t>
            </w:r>
          </w:p>
        </w:tc>
        <w:tc>
          <w:tcPr>
            <w:tcW w:w="2086" w:type="dxa"/>
          </w:tcPr>
          <w:p w14:paraId="424DC7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619C4E6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根据电气元件整体设计，尺寸：800×500×1800，防护等级IP54以上</w:t>
            </w:r>
          </w:p>
        </w:tc>
        <w:tc>
          <w:tcPr>
            <w:tcW w:w="402" w:type="dxa"/>
          </w:tcPr>
          <w:p w14:paraId="4E35BDC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C9B592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0A9BBDA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威图（德国）</w:t>
            </w:r>
          </w:p>
        </w:tc>
        <w:tc>
          <w:tcPr>
            <w:tcW w:w="1462" w:type="dxa"/>
          </w:tcPr>
          <w:p w14:paraId="3AD90FC1">
            <w:pPr>
              <w:pStyle w:val="2"/>
              <w:rPr>
                <w:color w:val="000000" w:themeColor="text1"/>
                <w:kern w:val="0"/>
                <w:sz w:val="20"/>
                <w14:textFill>
                  <w14:solidFill>
                    <w14:schemeClr w14:val="tx1"/>
                  </w14:solidFill>
                </w14:textFill>
              </w:rPr>
            </w:pPr>
          </w:p>
        </w:tc>
        <w:tc>
          <w:tcPr>
            <w:tcW w:w="1142" w:type="dxa"/>
          </w:tcPr>
          <w:p w14:paraId="625F17C3">
            <w:pPr>
              <w:pStyle w:val="2"/>
              <w:rPr>
                <w:color w:val="000000" w:themeColor="text1"/>
                <w:kern w:val="0"/>
                <w:sz w:val="20"/>
                <w14:textFill>
                  <w14:solidFill>
                    <w14:schemeClr w14:val="tx1"/>
                  </w14:solidFill>
                </w14:textFill>
              </w:rPr>
            </w:pPr>
          </w:p>
        </w:tc>
        <w:tc>
          <w:tcPr>
            <w:tcW w:w="1109" w:type="dxa"/>
            <w:noWrap/>
          </w:tcPr>
          <w:p w14:paraId="79361C9F">
            <w:pPr>
              <w:pStyle w:val="2"/>
              <w:rPr>
                <w:color w:val="000000" w:themeColor="text1"/>
                <w:kern w:val="0"/>
                <w:sz w:val="20"/>
                <w:u w:val="single"/>
                <w14:textFill>
                  <w14:solidFill>
                    <w14:schemeClr w14:val="tx1"/>
                  </w14:solidFill>
                </w14:textFill>
              </w:rPr>
            </w:pPr>
          </w:p>
        </w:tc>
      </w:tr>
      <w:tr w14:paraId="548C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260CA5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45</w:t>
            </w:r>
          </w:p>
        </w:tc>
        <w:tc>
          <w:tcPr>
            <w:tcW w:w="1752" w:type="dxa"/>
          </w:tcPr>
          <w:p w14:paraId="19A589F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控制电缆</w:t>
            </w:r>
          </w:p>
        </w:tc>
        <w:tc>
          <w:tcPr>
            <w:tcW w:w="2086" w:type="dxa"/>
          </w:tcPr>
          <w:p w14:paraId="4D77843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CF130.15.07.UL</w:t>
            </w:r>
          </w:p>
        </w:tc>
        <w:tc>
          <w:tcPr>
            <w:tcW w:w="4049" w:type="dxa"/>
          </w:tcPr>
          <w:p w14:paraId="3818D7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高柔性控制电缆 CF130.UL</w:t>
            </w:r>
          </w:p>
        </w:tc>
        <w:tc>
          <w:tcPr>
            <w:tcW w:w="402" w:type="dxa"/>
          </w:tcPr>
          <w:p w14:paraId="181E997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米</w:t>
            </w:r>
          </w:p>
        </w:tc>
        <w:tc>
          <w:tcPr>
            <w:tcW w:w="497" w:type="dxa"/>
          </w:tcPr>
          <w:p w14:paraId="3796433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300</w:t>
            </w:r>
          </w:p>
        </w:tc>
        <w:tc>
          <w:tcPr>
            <w:tcW w:w="1198" w:type="dxa"/>
            <w:noWrap/>
          </w:tcPr>
          <w:p w14:paraId="5C740A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易格斯（德国）</w:t>
            </w:r>
          </w:p>
        </w:tc>
        <w:tc>
          <w:tcPr>
            <w:tcW w:w="1462" w:type="dxa"/>
          </w:tcPr>
          <w:p w14:paraId="41DB40C3">
            <w:pPr>
              <w:pStyle w:val="2"/>
              <w:rPr>
                <w:color w:val="000000" w:themeColor="text1"/>
                <w:kern w:val="0"/>
                <w:sz w:val="20"/>
                <w14:textFill>
                  <w14:solidFill>
                    <w14:schemeClr w14:val="tx1"/>
                  </w14:solidFill>
                </w14:textFill>
              </w:rPr>
            </w:pPr>
          </w:p>
        </w:tc>
        <w:tc>
          <w:tcPr>
            <w:tcW w:w="1142" w:type="dxa"/>
          </w:tcPr>
          <w:p w14:paraId="649AFE77">
            <w:pPr>
              <w:pStyle w:val="2"/>
              <w:rPr>
                <w:color w:val="000000" w:themeColor="text1"/>
                <w:kern w:val="0"/>
                <w:sz w:val="20"/>
                <w14:textFill>
                  <w14:solidFill>
                    <w14:schemeClr w14:val="tx1"/>
                  </w14:solidFill>
                </w14:textFill>
              </w:rPr>
            </w:pPr>
          </w:p>
        </w:tc>
        <w:tc>
          <w:tcPr>
            <w:tcW w:w="1109" w:type="dxa"/>
            <w:noWrap/>
          </w:tcPr>
          <w:p w14:paraId="0D4E8B0A">
            <w:pPr>
              <w:pStyle w:val="2"/>
              <w:rPr>
                <w:color w:val="000000" w:themeColor="text1"/>
                <w:kern w:val="0"/>
                <w:sz w:val="20"/>
                <w:u w:val="single"/>
                <w14:textFill>
                  <w14:solidFill>
                    <w14:schemeClr w14:val="tx1"/>
                  </w14:solidFill>
                </w14:textFill>
              </w:rPr>
            </w:pPr>
          </w:p>
        </w:tc>
      </w:tr>
      <w:tr w14:paraId="0AE1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ADBBC1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46</w:t>
            </w:r>
          </w:p>
        </w:tc>
        <w:tc>
          <w:tcPr>
            <w:tcW w:w="1752" w:type="dxa"/>
          </w:tcPr>
          <w:p w14:paraId="7A1BEC9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数据电缆</w:t>
            </w:r>
          </w:p>
        </w:tc>
        <w:tc>
          <w:tcPr>
            <w:tcW w:w="2086" w:type="dxa"/>
          </w:tcPr>
          <w:p w14:paraId="2D43F3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CF240.01.04</w:t>
            </w:r>
          </w:p>
        </w:tc>
        <w:tc>
          <w:tcPr>
            <w:tcW w:w="4049" w:type="dxa"/>
          </w:tcPr>
          <w:p w14:paraId="2A2193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CF240 高柔性数据电缆</w:t>
            </w:r>
          </w:p>
        </w:tc>
        <w:tc>
          <w:tcPr>
            <w:tcW w:w="402" w:type="dxa"/>
          </w:tcPr>
          <w:p w14:paraId="6118606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米</w:t>
            </w:r>
          </w:p>
        </w:tc>
        <w:tc>
          <w:tcPr>
            <w:tcW w:w="497" w:type="dxa"/>
          </w:tcPr>
          <w:p w14:paraId="4A00484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300</w:t>
            </w:r>
          </w:p>
        </w:tc>
        <w:tc>
          <w:tcPr>
            <w:tcW w:w="1198" w:type="dxa"/>
            <w:noWrap/>
          </w:tcPr>
          <w:p w14:paraId="729DC4C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易格斯（德国）</w:t>
            </w:r>
          </w:p>
        </w:tc>
        <w:tc>
          <w:tcPr>
            <w:tcW w:w="1462" w:type="dxa"/>
          </w:tcPr>
          <w:p w14:paraId="7CFDF840">
            <w:pPr>
              <w:pStyle w:val="2"/>
              <w:rPr>
                <w:color w:val="000000" w:themeColor="text1"/>
                <w:kern w:val="0"/>
                <w:sz w:val="20"/>
                <w14:textFill>
                  <w14:solidFill>
                    <w14:schemeClr w14:val="tx1"/>
                  </w14:solidFill>
                </w14:textFill>
              </w:rPr>
            </w:pPr>
          </w:p>
        </w:tc>
        <w:tc>
          <w:tcPr>
            <w:tcW w:w="1142" w:type="dxa"/>
          </w:tcPr>
          <w:p w14:paraId="096F21DA">
            <w:pPr>
              <w:pStyle w:val="2"/>
              <w:rPr>
                <w:color w:val="000000" w:themeColor="text1"/>
                <w:kern w:val="0"/>
                <w:sz w:val="20"/>
                <w14:textFill>
                  <w14:solidFill>
                    <w14:schemeClr w14:val="tx1"/>
                  </w14:solidFill>
                </w14:textFill>
              </w:rPr>
            </w:pPr>
          </w:p>
        </w:tc>
        <w:tc>
          <w:tcPr>
            <w:tcW w:w="1109" w:type="dxa"/>
            <w:noWrap/>
          </w:tcPr>
          <w:p w14:paraId="1CA2DD63">
            <w:pPr>
              <w:pStyle w:val="2"/>
              <w:rPr>
                <w:color w:val="000000" w:themeColor="text1"/>
                <w:kern w:val="0"/>
                <w:sz w:val="20"/>
                <w:u w:val="single"/>
                <w14:textFill>
                  <w14:solidFill>
                    <w14:schemeClr w14:val="tx1"/>
                  </w14:solidFill>
                </w14:textFill>
              </w:rPr>
            </w:pPr>
          </w:p>
        </w:tc>
      </w:tr>
      <w:tr w14:paraId="3C76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46" w:type="dxa"/>
            <w:noWrap/>
          </w:tcPr>
          <w:p w14:paraId="3CD295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47</w:t>
            </w:r>
          </w:p>
        </w:tc>
        <w:tc>
          <w:tcPr>
            <w:tcW w:w="1752" w:type="dxa"/>
          </w:tcPr>
          <w:p w14:paraId="2A9734D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安装辅料</w:t>
            </w:r>
          </w:p>
        </w:tc>
        <w:tc>
          <w:tcPr>
            <w:tcW w:w="2086" w:type="dxa"/>
          </w:tcPr>
          <w:p w14:paraId="461B2DB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302BBE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坦克链，螺丝，润滑油，Profibus线缆，工业千兆网线，信号快插接头，地线模块，接线端子、压缩空气管路等</w:t>
            </w:r>
          </w:p>
        </w:tc>
        <w:tc>
          <w:tcPr>
            <w:tcW w:w="402" w:type="dxa"/>
          </w:tcPr>
          <w:p w14:paraId="002173E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59D6453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829AE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527C0B07">
            <w:pPr>
              <w:pStyle w:val="2"/>
              <w:rPr>
                <w:color w:val="000000" w:themeColor="text1"/>
                <w:kern w:val="0"/>
                <w:sz w:val="20"/>
                <w14:textFill>
                  <w14:solidFill>
                    <w14:schemeClr w14:val="tx1"/>
                  </w14:solidFill>
                </w14:textFill>
              </w:rPr>
            </w:pPr>
          </w:p>
        </w:tc>
        <w:tc>
          <w:tcPr>
            <w:tcW w:w="1142" w:type="dxa"/>
          </w:tcPr>
          <w:p w14:paraId="4905B3B6">
            <w:pPr>
              <w:pStyle w:val="2"/>
              <w:rPr>
                <w:color w:val="000000" w:themeColor="text1"/>
                <w:kern w:val="0"/>
                <w:sz w:val="20"/>
                <w14:textFill>
                  <w14:solidFill>
                    <w14:schemeClr w14:val="tx1"/>
                  </w14:solidFill>
                </w14:textFill>
              </w:rPr>
            </w:pPr>
          </w:p>
        </w:tc>
        <w:tc>
          <w:tcPr>
            <w:tcW w:w="1109" w:type="dxa"/>
            <w:noWrap/>
          </w:tcPr>
          <w:p w14:paraId="1FA98F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7814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759639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48</w:t>
            </w:r>
          </w:p>
        </w:tc>
        <w:tc>
          <w:tcPr>
            <w:tcW w:w="1752" w:type="dxa"/>
            <w:vMerge w:val="restart"/>
          </w:tcPr>
          <w:p w14:paraId="53C517E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整套系统设备集成调试</w:t>
            </w:r>
          </w:p>
        </w:tc>
        <w:tc>
          <w:tcPr>
            <w:tcW w:w="2086" w:type="dxa"/>
          </w:tcPr>
          <w:p w14:paraId="0C47606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7CA4264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6人4周</w:t>
            </w:r>
          </w:p>
        </w:tc>
        <w:tc>
          <w:tcPr>
            <w:tcW w:w="402" w:type="dxa"/>
          </w:tcPr>
          <w:p w14:paraId="0A526EF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13500A1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120</w:t>
            </w:r>
          </w:p>
        </w:tc>
        <w:tc>
          <w:tcPr>
            <w:tcW w:w="1198" w:type="dxa"/>
            <w:noWrap/>
          </w:tcPr>
          <w:p w14:paraId="50E0A1E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ALFING国内工程师</w:t>
            </w:r>
          </w:p>
        </w:tc>
        <w:tc>
          <w:tcPr>
            <w:tcW w:w="1462" w:type="dxa"/>
          </w:tcPr>
          <w:p w14:paraId="75D596AC">
            <w:pPr>
              <w:pStyle w:val="2"/>
              <w:rPr>
                <w:color w:val="000000" w:themeColor="text1"/>
                <w:kern w:val="0"/>
                <w:sz w:val="20"/>
                <w14:textFill>
                  <w14:solidFill>
                    <w14:schemeClr w14:val="tx1"/>
                  </w14:solidFill>
                </w14:textFill>
              </w:rPr>
            </w:pPr>
          </w:p>
        </w:tc>
        <w:tc>
          <w:tcPr>
            <w:tcW w:w="1142" w:type="dxa"/>
          </w:tcPr>
          <w:p w14:paraId="78FED3C4">
            <w:pPr>
              <w:pStyle w:val="2"/>
              <w:rPr>
                <w:color w:val="000000" w:themeColor="text1"/>
                <w:kern w:val="0"/>
                <w:sz w:val="20"/>
                <w14:textFill>
                  <w14:solidFill>
                    <w14:schemeClr w14:val="tx1"/>
                  </w14:solidFill>
                </w14:textFill>
              </w:rPr>
            </w:pPr>
          </w:p>
        </w:tc>
        <w:tc>
          <w:tcPr>
            <w:tcW w:w="1109" w:type="dxa"/>
            <w:noWrap/>
          </w:tcPr>
          <w:p w14:paraId="069ADB6C">
            <w:pPr>
              <w:pStyle w:val="2"/>
              <w:rPr>
                <w:color w:val="000000" w:themeColor="text1"/>
                <w:kern w:val="0"/>
                <w:sz w:val="20"/>
                <w:u w:val="single"/>
                <w14:textFill>
                  <w14:solidFill>
                    <w14:schemeClr w14:val="tx1"/>
                  </w14:solidFill>
                </w14:textFill>
              </w:rPr>
            </w:pPr>
          </w:p>
        </w:tc>
      </w:tr>
      <w:tr w14:paraId="3D0A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158DD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49</w:t>
            </w:r>
          </w:p>
        </w:tc>
        <w:tc>
          <w:tcPr>
            <w:tcW w:w="1752" w:type="dxa"/>
            <w:vMerge w:val="continue"/>
          </w:tcPr>
          <w:p w14:paraId="7B846CD5">
            <w:pPr>
              <w:pStyle w:val="2"/>
              <w:rPr>
                <w:color w:val="000000" w:themeColor="text1"/>
                <w:kern w:val="0"/>
                <w:sz w:val="20"/>
                <w14:textFill>
                  <w14:solidFill>
                    <w14:schemeClr w14:val="tx1"/>
                  </w14:solidFill>
                </w14:textFill>
              </w:rPr>
            </w:pPr>
          </w:p>
        </w:tc>
        <w:tc>
          <w:tcPr>
            <w:tcW w:w="2086" w:type="dxa"/>
          </w:tcPr>
          <w:p w14:paraId="1FC980E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2B84A7C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2人2周，德国工程师激光、</w:t>
            </w:r>
          </w:p>
        </w:tc>
        <w:tc>
          <w:tcPr>
            <w:tcW w:w="402" w:type="dxa"/>
          </w:tcPr>
          <w:p w14:paraId="64044BA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197ACF9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w:t>
            </w:r>
          </w:p>
        </w:tc>
        <w:tc>
          <w:tcPr>
            <w:tcW w:w="1198" w:type="dxa"/>
            <w:noWrap/>
          </w:tcPr>
          <w:p w14:paraId="143DF38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IPG/ALFING德国工程师</w:t>
            </w:r>
          </w:p>
        </w:tc>
        <w:tc>
          <w:tcPr>
            <w:tcW w:w="1462" w:type="dxa"/>
          </w:tcPr>
          <w:p w14:paraId="5824D61B">
            <w:pPr>
              <w:pStyle w:val="2"/>
              <w:rPr>
                <w:color w:val="000000" w:themeColor="text1"/>
                <w:kern w:val="0"/>
                <w:sz w:val="20"/>
                <w14:textFill>
                  <w14:solidFill>
                    <w14:schemeClr w14:val="tx1"/>
                  </w14:solidFill>
                </w14:textFill>
              </w:rPr>
            </w:pPr>
          </w:p>
        </w:tc>
        <w:tc>
          <w:tcPr>
            <w:tcW w:w="1142" w:type="dxa"/>
          </w:tcPr>
          <w:p w14:paraId="409D7E05">
            <w:pPr>
              <w:pStyle w:val="2"/>
              <w:rPr>
                <w:color w:val="000000" w:themeColor="text1"/>
                <w:kern w:val="0"/>
                <w:sz w:val="20"/>
                <w14:textFill>
                  <w14:solidFill>
                    <w14:schemeClr w14:val="tx1"/>
                  </w14:solidFill>
                </w14:textFill>
              </w:rPr>
            </w:pPr>
          </w:p>
        </w:tc>
        <w:tc>
          <w:tcPr>
            <w:tcW w:w="1109" w:type="dxa"/>
            <w:noWrap/>
          </w:tcPr>
          <w:p w14:paraId="035457C2">
            <w:pPr>
              <w:pStyle w:val="2"/>
              <w:rPr>
                <w:color w:val="000000" w:themeColor="text1"/>
                <w:kern w:val="0"/>
                <w:sz w:val="20"/>
                <w:u w:val="single"/>
                <w14:textFill>
                  <w14:solidFill>
                    <w14:schemeClr w14:val="tx1"/>
                  </w14:solidFill>
                </w14:textFill>
              </w:rPr>
            </w:pPr>
          </w:p>
        </w:tc>
      </w:tr>
      <w:tr w14:paraId="1BF7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0E92EDA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50</w:t>
            </w:r>
          </w:p>
        </w:tc>
        <w:tc>
          <w:tcPr>
            <w:tcW w:w="1752" w:type="dxa"/>
          </w:tcPr>
          <w:p w14:paraId="512F5FB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设计费</w:t>
            </w:r>
          </w:p>
        </w:tc>
        <w:tc>
          <w:tcPr>
            <w:tcW w:w="2086" w:type="dxa"/>
          </w:tcPr>
          <w:p w14:paraId="1DB0493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5376558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包括机械设计，电气设计，激光光路设计</w:t>
            </w:r>
          </w:p>
        </w:tc>
        <w:tc>
          <w:tcPr>
            <w:tcW w:w="402" w:type="dxa"/>
          </w:tcPr>
          <w:p w14:paraId="5A930E0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68ABD71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9B8A92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2F6485E2">
            <w:pPr>
              <w:pStyle w:val="2"/>
              <w:rPr>
                <w:color w:val="000000" w:themeColor="text1"/>
                <w:kern w:val="0"/>
                <w:sz w:val="20"/>
                <w14:textFill>
                  <w14:solidFill>
                    <w14:schemeClr w14:val="tx1"/>
                  </w14:solidFill>
                </w14:textFill>
              </w:rPr>
            </w:pPr>
          </w:p>
        </w:tc>
        <w:tc>
          <w:tcPr>
            <w:tcW w:w="1142" w:type="dxa"/>
          </w:tcPr>
          <w:p w14:paraId="0A78BF7C">
            <w:pPr>
              <w:pStyle w:val="2"/>
              <w:rPr>
                <w:color w:val="000000" w:themeColor="text1"/>
                <w:kern w:val="0"/>
                <w:sz w:val="20"/>
                <w14:textFill>
                  <w14:solidFill>
                    <w14:schemeClr w14:val="tx1"/>
                  </w14:solidFill>
                </w14:textFill>
              </w:rPr>
            </w:pPr>
          </w:p>
        </w:tc>
        <w:tc>
          <w:tcPr>
            <w:tcW w:w="1109" w:type="dxa"/>
            <w:noWrap/>
          </w:tcPr>
          <w:p w14:paraId="6125CAE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27B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07A2176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51</w:t>
            </w:r>
          </w:p>
        </w:tc>
        <w:tc>
          <w:tcPr>
            <w:tcW w:w="1752" w:type="dxa"/>
          </w:tcPr>
          <w:p w14:paraId="2CE036C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差旅费（住宿和市内交通费）</w:t>
            </w:r>
          </w:p>
        </w:tc>
        <w:tc>
          <w:tcPr>
            <w:tcW w:w="2086" w:type="dxa"/>
          </w:tcPr>
          <w:p w14:paraId="61963B2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6C2F522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6人4周</w:t>
            </w:r>
          </w:p>
        </w:tc>
        <w:tc>
          <w:tcPr>
            <w:tcW w:w="402" w:type="dxa"/>
          </w:tcPr>
          <w:p w14:paraId="1EE0072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4B8CE11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120</w:t>
            </w:r>
          </w:p>
        </w:tc>
        <w:tc>
          <w:tcPr>
            <w:tcW w:w="1198" w:type="dxa"/>
            <w:noWrap/>
          </w:tcPr>
          <w:p w14:paraId="36ED2C2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5B09F2F0">
            <w:pPr>
              <w:pStyle w:val="2"/>
              <w:rPr>
                <w:color w:val="000000" w:themeColor="text1"/>
                <w:kern w:val="0"/>
                <w:sz w:val="20"/>
                <w14:textFill>
                  <w14:solidFill>
                    <w14:schemeClr w14:val="tx1"/>
                  </w14:solidFill>
                </w14:textFill>
              </w:rPr>
            </w:pPr>
          </w:p>
        </w:tc>
        <w:tc>
          <w:tcPr>
            <w:tcW w:w="1142" w:type="dxa"/>
          </w:tcPr>
          <w:p w14:paraId="74D605D5">
            <w:pPr>
              <w:pStyle w:val="2"/>
              <w:rPr>
                <w:color w:val="000000" w:themeColor="text1"/>
                <w:kern w:val="0"/>
                <w:sz w:val="20"/>
                <w14:textFill>
                  <w14:solidFill>
                    <w14:schemeClr w14:val="tx1"/>
                  </w14:solidFill>
                </w14:textFill>
              </w:rPr>
            </w:pPr>
          </w:p>
        </w:tc>
        <w:tc>
          <w:tcPr>
            <w:tcW w:w="1109" w:type="dxa"/>
            <w:noWrap/>
          </w:tcPr>
          <w:p w14:paraId="18342C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538F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54F14C5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52</w:t>
            </w:r>
          </w:p>
        </w:tc>
        <w:tc>
          <w:tcPr>
            <w:tcW w:w="1752" w:type="dxa"/>
          </w:tcPr>
          <w:p w14:paraId="4FB1969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差旅费（住宿和市内交通费）</w:t>
            </w:r>
          </w:p>
        </w:tc>
        <w:tc>
          <w:tcPr>
            <w:tcW w:w="2086" w:type="dxa"/>
          </w:tcPr>
          <w:p w14:paraId="474A981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364A398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2人2周，德国工程师</w:t>
            </w:r>
          </w:p>
        </w:tc>
        <w:tc>
          <w:tcPr>
            <w:tcW w:w="402" w:type="dxa"/>
          </w:tcPr>
          <w:p w14:paraId="574C71E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5738E2E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28</w:t>
            </w:r>
          </w:p>
        </w:tc>
        <w:tc>
          <w:tcPr>
            <w:tcW w:w="1198" w:type="dxa"/>
            <w:noWrap/>
          </w:tcPr>
          <w:p w14:paraId="0DB7491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17BF8EEF">
            <w:pPr>
              <w:pStyle w:val="2"/>
              <w:rPr>
                <w:color w:val="000000" w:themeColor="text1"/>
                <w:kern w:val="0"/>
                <w:sz w:val="20"/>
                <w14:textFill>
                  <w14:solidFill>
                    <w14:schemeClr w14:val="tx1"/>
                  </w14:solidFill>
                </w14:textFill>
              </w:rPr>
            </w:pPr>
          </w:p>
        </w:tc>
        <w:tc>
          <w:tcPr>
            <w:tcW w:w="1142" w:type="dxa"/>
          </w:tcPr>
          <w:p w14:paraId="23AEB284">
            <w:pPr>
              <w:pStyle w:val="2"/>
              <w:rPr>
                <w:color w:val="000000" w:themeColor="text1"/>
                <w:kern w:val="0"/>
                <w:sz w:val="20"/>
                <w14:textFill>
                  <w14:solidFill>
                    <w14:schemeClr w14:val="tx1"/>
                  </w14:solidFill>
                </w14:textFill>
              </w:rPr>
            </w:pPr>
          </w:p>
        </w:tc>
        <w:tc>
          <w:tcPr>
            <w:tcW w:w="1109" w:type="dxa"/>
            <w:noWrap/>
          </w:tcPr>
          <w:p w14:paraId="627533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C02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5F1DD0D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53</w:t>
            </w:r>
          </w:p>
        </w:tc>
        <w:tc>
          <w:tcPr>
            <w:tcW w:w="1752" w:type="dxa"/>
          </w:tcPr>
          <w:p w14:paraId="0E0F61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往返交通费(苏州、德国-济南)</w:t>
            </w:r>
          </w:p>
        </w:tc>
        <w:tc>
          <w:tcPr>
            <w:tcW w:w="2086" w:type="dxa"/>
          </w:tcPr>
          <w:p w14:paraId="174BB62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018023A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6人往返苏州费用，1人往返德国费</w:t>
            </w:r>
          </w:p>
        </w:tc>
        <w:tc>
          <w:tcPr>
            <w:tcW w:w="402" w:type="dxa"/>
          </w:tcPr>
          <w:p w14:paraId="5779F3A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项</w:t>
            </w:r>
          </w:p>
        </w:tc>
        <w:tc>
          <w:tcPr>
            <w:tcW w:w="497" w:type="dxa"/>
          </w:tcPr>
          <w:p w14:paraId="4E31F43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213442E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770CEA07">
            <w:pPr>
              <w:pStyle w:val="2"/>
              <w:rPr>
                <w:color w:val="000000" w:themeColor="text1"/>
                <w:kern w:val="0"/>
                <w:sz w:val="20"/>
                <w14:textFill>
                  <w14:solidFill>
                    <w14:schemeClr w14:val="tx1"/>
                  </w14:solidFill>
                </w14:textFill>
              </w:rPr>
            </w:pPr>
          </w:p>
        </w:tc>
        <w:tc>
          <w:tcPr>
            <w:tcW w:w="1142" w:type="dxa"/>
          </w:tcPr>
          <w:p w14:paraId="66CF872A">
            <w:pPr>
              <w:pStyle w:val="2"/>
              <w:rPr>
                <w:color w:val="000000" w:themeColor="text1"/>
                <w:kern w:val="0"/>
                <w:sz w:val="20"/>
                <w14:textFill>
                  <w14:solidFill>
                    <w14:schemeClr w14:val="tx1"/>
                  </w14:solidFill>
                </w14:textFill>
              </w:rPr>
            </w:pPr>
          </w:p>
        </w:tc>
        <w:tc>
          <w:tcPr>
            <w:tcW w:w="1109" w:type="dxa"/>
            <w:noWrap/>
          </w:tcPr>
          <w:p w14:paraId="7748CFC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FDE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2AC90B7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54</w:t>
            </w:r>
          </w:p>
        </w:tc>
        <w:tc>
          <w:tcPr>
            <w:tcW w:w="1752" w:type="dxa"/>
          </w:tcPr>
          <w:p w14:paraId="5FD62FE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运输保险费</w:t>
            </w:r>
          </w:p>
        </w:tc>
        <w:tc>
          <w:tcPr>
            <w:tcW w:w="2086" w:type="dxa"/>
          </w:tcPr>
          <w:p w14:paraId="223C22F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6E48AF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基础运费8000、特殊包装费1000,保险费用20000</w:t>
            </w:r>
          </w:p>
        </w:tc>
        <w:tc>
          <w:tcPr>
            <w:tcW w:w="402" w:type="dxa"/>
          </w:tcPr>
          <w:p w14:paraId="593958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26BC5E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059299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1E6B0169">
            <w:pPr>
              <w:pStyle w:val="2"/>
              <w:rPr>
                <w:color w:val="000000" w:themeColor="text1"/>
                <w:kern w:val="0"/>
                <w:sz w:val="20"/>
                <w14:textFill>
                  <w14:solidFill>
                    <w14:schemeClr w14:val="tx1"/>
                  </w14:solidFill>
                </w14:textFill>
              </w:rPr>
            </w:pPr>
          </w:p>
        </w:tc>
        <w:tc>
          <w:tcPr>
            <w:tcW w:w="1142" w:type="dxa"/>
          </w:tcPr>
          <w:p w14:paraId="533A139F">
            <w:pPr>
              <w:pStyle w:val="2"/>
              <w:rPr>
                <w:color w:val="000000" w:themeColor="text1"/>
                <w:kern w:val="0"/>
                <w:sz w:val="20"/>
                <w14:textFill>
                  <w14:solidFill>
                    <w14:schemeClr w14:val="tx1"/>
                  </w14:solidFill>
                </w14:textFill>
              </w:rPr>
            </w:pPr>
          </w:p>
        </w:tc>
        <w:tc>
          <w:tcPr>
            <w:tcW w:w="1109" w:type="dxa"/>
          </w:tcPr>
          <w:p w14:paraId="5F7885C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585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46" w:type="dxa"/>
            <w:noWrap/>
          </w:tcPr>
          <w:p w14:paraId="442D1575">
            <w:pPr>
              <w:pStyle w:val="2"/>
              <w:rPr>
                <w:color w:val="000000" w:themeColor="text1"/>
                <w:kern w:val="0"/>
                <w:sz w:val="20"/>
                <w14:textFill>
                  <w14:solidFill>
                    <w14:schemeClr w14:val="tx1"/>
                  </w14:solidFill>
                </w14:textFill>
              </w:rPr>
            </w:pPr>
          </w:p>
        </w:tc>
        <w:tc>
          <w:tcPr>
            <w:tcW w:w="9984" w:type="dxa"/>
            <w:gridSpan w:val="6"/>
          </w:tcPr>
          <w:p w14:paraId="0C086599">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总价合计列入价格汇总表 </w:t>
            </w:r>
            <w:r>
              <w:rPr>
                <w:color w:val="000000" w:themeColor="text1"/>
                <w:kern w:val="0"/>
                <w:sz w:val="20"/>
                <w14:textFill>
                  <w14:solidFill>
                    <w14:schemeClr w14:val="tx1"/>
                  </w14:solidFill>
                </w14:textFill>
              </w:rPr>
              <w:t>9-5</w:t>
            </w:r>
          </w:p>
        </w:tc>
        <w:tc>
          <w:tcPr>
            <w:tcW w:w="3713" w:type="dxa"/>
            <w:gridSpan w:val="3"/>
          </w:tcPr>
          <w:p w14:paraId="53A6B670">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总价合计（不含税）￥  元</w:t>
            </w:r>
          </w:p>
        </w:tc>
      </w:tr>
    </w:tbl>
    <w:p w14:paraId="544EC0A5">
      <w:pPr>
        <w:pStyle w:val="2"/>
        <w:rPr>
          <w:color w:val="000000" w:themeColor="text1"/>
          <w14:textFill>
            <w14:solidFill>
              <w14:schemeClr w14:val="tx1"/>
            </w14:solidFill>
          </w14:textFill>
        </w:rPr>
      </w:pPr>
    </w:p>
    <w:p w14:paraId="6B7FDCD2"/>
    <w:p w14:paraId="44033844">
      <w:pPr>
        <w:pStyle w:val="2"/>
      </w:pPr>
    </w:p>
    <w:p w14:paraId="2B7B2737">
      <w:pPr>
        <w:spacing w:before="58" w:line="219" w:lineRule="auto"/>
        <w:ind w:left="8"/>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pacing w:val="-8"/>
          <w:szCs w:val="21"/>
          <w14:textFill>
            <w14:solidFill>
              <w14:schemeClr w14:val="tx1"/>
            </w14:solidFill>
          </w14:textFill>
        </w:rPr>
        <w:t>注：</w:t>
      </w:r>
      <w:r>
        <w:rPr>
          <w:rFonts w:hint="eastAsia" w:ascii="宋体" w:hAnsi="宋体" w:eastAsia="宋体" w:cs="宋体"/>
          <w:color w:val="000000" w:themeColor="text1"/>
          <w:spacing w:val="-8"/>
          <w:szCs w:val="21"/>
          <w14:textFill>
            <w14:solidFill>
              <w14:schemeClr w14:val="tx1"/>
            </w14:solidFill>
          </w14:textFill>
        </w:rPr>
        <w:t xml:space="preserve"> </w:t>
      </w:r>
      <w:r>
        <w:rPr>
          <w:rFonts w:ascii="宋体" w:hAnsi="宋体" w:eastAsia="宋体" w:cs="宋体"/>
          <w:color w:val="000000" w:themeColor="text1"/>
          <w:spacing w:val="-8"/>
          <w:szCs w:val="21"/>
          <w14:textFill>
            <w14:solidFill>
              <w14:schemeClr w14:val="tx1"/>
            </w14:solidFill>
          </w14:textFill>
        </w:rPr>
        <w:t>1.以上</w:t>
      </w:r>
      <w:r>
        <w:rPr>
          <w:rFonts w:ascii="宋体" w:hAnsi="宋体" w:eastAsia="宋体" w:cs="宋体"/>
          <w:color w:val="000000" w:themeColor="text1"/>
          <w:spacing w:val="-5"/>
          <w:szCs w:val="21"/>
          <w14:textFill>
            <w14:solidFill>
              <w14:schemeClr w14:val="tx1"/>
            </w14:solidFill>
          </w14:textFill>
        </w:rPr>
        <w:t>是</w:t>
      </w:r>
      <w:r>
        <w:rPr>
          <w:rFonts w:ascii="宋体" w:hAnsi="宋体" w:eastAsia="宋体" w:cs="宋体"/>
          <w:color w:val="000000" w:themeColor="text1"/>
          <w:spacing w:val="-4"/>
          <w:szCs w:val="21"/>
          <w14:textFill>
            <w14:solidFill>
              <w14:schemeClr w14:val="tx1"/>
            </w14:solidFill>
          </w14:textFill>
        </w:rPr>
        <w:t>各单体设备分项报价应包括的内容， 但不限于此，表中“总价合计”构成主机价格的一部分。</w:t>
      </w:r>
    </w:p>
    <w:p w14:paraId="454CD1EA">
      <w:pPr>
        <w:spacing w:before="78" w:line="219" w:lineRule="auto"/>
        <w:ind w:left="431"/>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pacing w:val="-6"/>
          <w:szCs w:val="21"/>
          <w14:textFill>
            <w14:solidFill>
              <w14:schemeClr w14:val="tx1"/>
            </w14:solidFill>
          </w14:textFill>
        </w:rPr>
        <w:t>2.如果按单</w:t>
      </w:r>
      <w:r>
        <w:rPr>
          <w:rFonts w:ascii="宋体" w:hAnsi="宋体" w:eastAsia="宋体" w:cs="宋体"/>
          <w:color w:val="000000" w:themeColor="text1"/>
          <w:spacing w:val="-5"/>
          <w:szCs w:val="21"/>
          <w14:textFill>
            <w14:solidFill>
              <w14:schemeClr w14:val="tx1"/>
            </w14:solidFill>
          </w14:textFill>
        </w:rPr>
        <w:t>价</w:t>
      </w:r>
      <w:r>
        <w:rPr>
          <w:rFonts w:ascii="宋体" w:hAnsi="宋体" w:eastAsia="宋体" w:cs="宋体"/>
          <w:color w:val="000000" w:themeColor="text1"/>
          <w:spacing w:val="-3"/>
          <w:szCs w:val="21"/>
          <w14:textFill>
            <w14:solidFill>
              <w14:schemeClr w14:val="tx1"/>
            </w14:solidFill>
          </w14:textFill>
        </w:rPr>
        <w:t>计算的结果与总价不一致，以单价为准修正总价。</w:t>
      </w:r>
    </w:p>
    <w:p w14:paraId="621FA4C0">
      <w:pPr>
        <w:spacing w:before="85" w:line="198" w:lineRule="auto"/>
        <w:ind w:left="432"/>
        <w:rPr>
          <w:color w:val="000000" w:themeColor="text1"/>
          <w14:textFill>
            <w14:solidFill>
              <w14:schemeClr w14:val="tx1"/>
            </w14:solidFill>
          </w14:textFill>
        </w:rPr>
      </w:pPr>
      <w:r>
        <w:rPr>
          <w:rFonts w:ascii="宋体" w:hAnsi="宋体" w:eastAsia="宋体" w:cs="宋体"/>
          <w:color w:val="000000" w:themeColor="text1"/>
          <w:spacing w:val="-4"/>
          <w:szCs w:val="21"/>
          <w14:textFill>
            <w14:solidFill>
              <w14:schemeClr w14:val="tx1"/>
            </w14:solidFill>
          </w14:textFill>
        </w:rPr>
        <w:t>3.此分项报价，仅是为</w:t>
      </w:r>
      <w:r>
        <w:rPr>
          <w:rFonts w:ascii="宋体" w:hAnsi="宋体" w:eastAsia="宋体" w:cs="宋体"/>
          <w:color w:val="000000" w:themeColor="text1"/>
          <w:spacing w:val="-2"/>
          <w:szCs w:val="21"/>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14:textFill>
            <w14:solidFill>
              <w14:schemeClr w14:val="tx1"/>
            </w14:solidFill>
          </w14:textFill>
        </w:rPr>
        <w:t>。</w:t>
      </w:r>
    </w:p>
    <w:p w14:paraId="4C45D71A">
      <w:pPr>
        <w:spacing w:before="78" w:line="219" w:lineRule="auto"/>
        <w:ind w:left="431"/>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4.如上表中的有关费用投标人免费提供，请注明“免费”字样。</w:t>
      </w:r>
    </w:p>
    <w:p w14:paraId="273A3D0E">
      <w:pPr>
        <w:spacing w:before="78" w:line="219" w:lineRule="auto"/>
        <w:ind w:left="431"/>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5.该明细表所有信息均为必填项，不得删减，价格部分不得合并，可细化可增加。</w:t>
      </w:r>
    </w:p>
    <w:p w14:paraId="5C8D31AF">
      <w:pPr>
        <w:spacing w:before="78" w:line="219" w:lineRule="auto"/>
        <w:ind w:left="431"/>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6.因填写不规范造成废标及终止招标的，责任由投标人自负。</w:t>
      </w:r>
    </w:p>
    <w:p w14:paraId="17D4845A">
      <w:pPr>
        <w:spacing w:line="105" w:lineRule="exact"/>
        <w:rPr>
          <w:color w:val="000000" w:themeColor="text1"/>
          <w14:textFill>
            <w14:solidFill>
              <w14:schemeClr w14:val="tx1"/>
            </w14:solidFill>
          </w14:textFill>
        </w:rPr>
      </w:pPr>
    </w:p>
    <w:p w14:paraId="2F608208">
      <w:pPr>
        <w:rPr>
          <w:color w:val="000000" w:themeColor="text1"/>
          <w14:textFill>
            <w14:solidFill>
              <w14:schemeClr w14:val="tx1"/>
            </w14:solidFill>
          </w14:textFill>
        </w:rPr>
        <w:sectPr>
          <w:footerReference r:id="rId28" w:type="default"/>
          <w:pgSz w:w="16841" w:h="11907" w:orient="landscape"/>
          <w:pgMar w:top="400" w:right="1387" w:bottom="1168" w:left="1473" w:header="0" w:footer="990" w:gutter="0"/>
          <w:cols w:equalWidth="0" w:num="1">
            <w:col w:w="13980"/>
          </w:cols>
        </w:sectPr>
      </w:pPr>
    </w:p>
    <w:p w14:paraId="50BCD574">
      <w:pPr>
        <w:spacing w:before="85" w:line="198" w:lineRule="auto"/>
        <w:ind w:left="142" w:right="-1758" w:rightChars="-837"/>
        <w:rPr>
          <w:rFonts w:hint="eastAsia"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 xml:space="preserve">投标人(章)： </w:t>
      </w:r>
      <w:r>
        <w:rPr>
          <w:rFonts w:ascii="宋体" w:hAnsi="宋体" w:eastAsia="宋体" w:cs="宋体"/>
          <w:color w:val="000000" w:themeColor="text1"/>
          <w:spacing w:val="-4"/>
          <w:sz w:val="24"/>
          <w:szCs w:val="24"/>
          <w14:textFill>
            <w14:solidFill>
              <w14:schemeClr w14:val="tx1"/>
            </w14:solidFill>
          </w14:textFill>
        </w:rPr>
        <w:t xml:space="preserve">                               </w:t>
      </w:r>
      <w:r>
        <w:rPr>
          <w:rFonts w:hint="eastAsia" w:ascii="宋体" w:hAnsi="宋体" w:eastAsia="宋体" w:cs="宋体"/>
          <w:color w:val="000000" w:themeColor="text1"/>
          <w:spacing w:val="-2"/>
          <w:sz w:val="24"/>
          <w:szCs w:val="24"/>
          <w14:textFill>
            <w14:solidFill>
              <w14:schemeClr w14:val="tx1"/>
            </w14:solidFill>
          </w14:textFill>
        </w:rPr>
        <w:t>授权代表(签字)：</w:t>
      </w:r>
      <w:r>
        <w:rPr>
          <w:rFonts w:hint="eastAsia" w:ascii="宋体" w:hAnsi="宋体" w:eastAsia="宋体" w:cs="宋体"/>
          <w:color w:val="000000" w:themeColor="text1"/>
          <w:spacing w:val="4"/>
          <w:sz w:val="24"/>
          <w:szCs w:val="24"/>
          <w14:textFill>
            <w14:solidFill>
              <w14:schemeClr w14:val="tx1"/>
            </w14:solidFill>
          </w14:textFill>
        </w:rPr>
        <w:t xml:space="preserve"> </w:t>
      </w:r>
      <w:r>
        <w:rPr>
          <w:rFonts w:hint="eastAsia" w:ascii="宋体" w:hAnsi="宋体" w:eastAsia="宋体" w:cs="宋体"/>
          <w:color w:val="000000" w:themeColor="text1"/>
          <w:spacing w:val="3"/>
          <w:sz w:val="24"/>
          <w:szCs w:val="24"/>
          <w14:textFill>
            <w14:solidFill>
              <w14:schemeClr w14:val="tx1"/>
            </w14:solidFill>
          </w14:textFill>
        </w:rPr>
        <w:t xml:space="preserve">                         </w:t>
      </w:r>
      <w:r>
        <w:rPr>
          <w:rFonts w:hint="eastAsia" w:ascii="宋体" w:hAnsi="宋体" w:eastAsia="宋体" w:cs="宋体"/>
          <w:color w:val="000000" w:themeColor="text1"/>
          <w:spacing w:val="-2"/>
          <w:sz w:val="24"/>
          <w:szCs w:val="24"/>
          <w14:textFill>
            <w14:solidFill>
              <w14:schemeClr w14:val="tx1"/>
            </w14:solidFill>
          </w14:textFill>
        </w:rPr>
        <w:t>年    月    日</w:t>
      </w:r>
    </w:p>
    <w:p w14:paraId="0F7B73F4">
      <w:pPr>
        <w:pStyle w:val="2"/>
        <w:rPr>
          <w:rFonts w:hint="eastAsia" w:ascii="宋体" w:hAnsi="宋体" w:eastAsia="宋体" w:cs="宋体"/>
          <w:color w:val="000000" w:themeColor="text1"/>
          <w:spacing w:val="-2"/>
          <w:sz w:val="24"/>
          <w:szCs w:val="24"/>
          <w14:textFill>
            <w14:solidFill>
              <w14:schemeClr w14:val="tx1"/>
            </w14:solidFill>
          </w14:textFill>
        </w:rPr>
      </w:pPr>
    </w:p>
    <w:p w14:paraId="2FCCFB1A">
      <w:pPr>
        <w:rPr>
          <w:rFonts w:hint="eastAsia" w:ascii="宋体" w:hAnsi="宋体" w:eastAsia="宋体" w:cs="宋体"/>
          <w:color w:val="000000" w:themeColor="text1"/>
          <w:spacing w:val="-2"/>
          <w:sz w:val="24"/>
          <w:szCs w:val="24"/>
          <w14:textFill>
            <w14:solidFill>
              <w14:schemeClr w14:val="tx1"/>
            </w14:solidFill>
          </w14:textFill>
        </w:rPr>
      </w:pPr>
    </w:p>
    <w:p w14:paraId="51500D50">
      <w:pPr>
        <w:pStyle w:val="2"/>
        <w:rPr>
          <w:rFonts w:hint="eastAsia" w:ascii="宋体" w:hAnsi="宋体" w:eastAsia="宋体" w:cs="宋体"/>
          <w:color w:val="000000" w:themeColor="text1"/>
          <w:spacing w:val="-2"/>
          <w:sz w:val="24"/>
          <w:szCs w:val="24"/>
          <w14:textFill>
            <w14:solidFill>
              <w14:schemeClr w14:val="tx1"/>
            </w14:solidFill>
          </w14:textFill>
        </w:rPr>
      </w:pPr>
    </w:p>
    <w:p w14:paraId="4D91AEE5">
      <w:pPr>
        <w:rPr>
          <w:rFonts w:hint="eastAsia" w:ascii="宋体" w:hAnsi="宋体" w:eastAsia="宋体" w:cs="宋体"/>
          <w:color w:val="000000" w:themeColor="text1"/>
          <w:spacing w:val="-2"/>
          <w:sz w:val="24"/>
          <w:szCs w:val="24"/>
          <w14:textFill>
            <w14:solidFill>
              <w14:schemeClr w14:val="tx1"/>
            </w14:solidFill>
          </w14:textFill>
        </w:rPr>
      </w:pPr>
    </w:p>
    <w:p w14:paraId="5B3207A5">
      <w:pPr>
        <w:pStyle w:val="2"/>
        <w:rPr>
          <w:rFonts w:hint="eastAsia" w:ascii="宋体" w:hAnsi="宋体" w:eastAsia="宋体" w:cs="宋体"/>
          <w:color w:val="000000" w:themeColor="text1"/>
          <w:spacing w:val="-2"/>
          <w:sz w:val="24"/>
          <w:szCs w:val="24"/>
          <w14:textFill>
            <w14:solidFill>
              <w14:schemeClr w14:val="tx1"/>
            </w14:solidFill>
          </w14:textFill>
        </w:rPr>
      </w:pPr>
    </w:p>
    <w:p w14:paraId="6D799559">
      <w:pPr>
        <w:rPr>
          <w:rFonts w:hint="eastAsia" w:ascii="宋体" w:hAnsi="宋体" w:eastAsia="宋体" w:cs="宋体"/>
          <w:color w:val="000000" w:themeColor="text1"/>
          <w:spacing w:val="-2"/>
          <w:sz w:val="24"/>
          <w:szCs w:val="24"/>
          <w14:textFill>
            <w14:solidFill>
              <w14:schemeClr w14:val="tx1"/>
            </w14:solidFill>
          </w14:textFill>
        </w:rPr>
      </w:pPr>
    </w:p>
    <w:p w14:paraId="624AD9D2">
      <w:pPr>
        <w:pStyle w:val="2"/>
        <w:rPr>
          <w:rFonts w:hint="eastAsia" w:ascii="宋体" w:hAnsi="宋体" w:eastAsia="宋体" w:cs="宋体"/>
          <w:color w:val="000000" w:themeColor="text1"/>
          <w:spacing w:val="-2"/>
          <w:sz w:val="24"/>
          <w:szCs w:val="24"/>
          <w14:textFill>
            <w14:solidFill>
              <w14:schemeClr w14:val="tx1"/>
            </w14:solidFill>
          </w14:textFill>
        </w:rPr>
      </w:pPr>
    </w:p>
    <w:p w14:paraId="2D86CE3B">
      <w:pPr>
        <w:rPr>
          <w:rFonts w:hint="eastAsia" w:ascii="宋体" w:hAnsi="宋体" w:eastAsia="宋体" w:cs="宋体"/>
          <w:color w:val="000000" w:themeColor="text1"/>
          <w:spacing w:val="-2"/>
          <w:sz w:val="24"/>
          <w:szCs w:val="24"/>
          <w14:textFill>
            <w14:solidFill>
              <w14:schemeClr w14:val="tx1"/>
            </w14:solidFill>
          </w14:textFill>
        </w:rPr>
      </w:pPr>
    </w:p>
    <w:p w14:paraId="25EA9AAE">
      <w:pPr>
        <w:pStyle w:val="2"/>
        <w:rPr>
          <w:rFonts w:hint="eastAsia" w:ascii="宋体" w:hAnsi="宋体" w:eastAsia="宋体" w:cs="宋体"/>
          <w:color w:val="000000" w:themeColor="text1"/>
          <w:spacing w:val="-2"/>
          <w:sz w:val="24"/>
          <w:szCs w:val="24"/>
          <w14:textFill>
            <w14:solidFill>
              <w14:schemeClr w14:val="tx1"/>
            </w14:solidFill>
          </w14:textFill>
        </w:rPr>
      </w:pPr>
    </w:p>
    <w:p w14:paraId="2BF355C9">
      <w:pPr>
        <w:rPr>
          <w:rFonts w:hint="eastAsia" w:ascii="宋体" w:hAnsi="宋体" w:eastAsia="宋体" w:cs="宋体"/>
          <w:color w:val="000000" w:themeColor="text1"/>
          <w:spacing w:val="-2"/>
          <w:sz w:val="24"/>
          <w:szCs w:val="24"/>
          <w14:textFill>
            <w14:solidFill>
              <w14:schemeClr w14:val="tx1"/>
            </w14:solidFill>
          </w14:textFill>
        </w:rPr>
      </w:pPr>
    </w:p>
    <w:p w14:paraId="1827C4F6">
      <w:pPr>
        <w:pStyle w:val="2"/>
        <w:rPr>
          <w:rFonts w:hint="eastAsia" w:ascii="宋体" w:hAnsi="宋体" w:eastAsia="宋体" w:cs="宋体"/>
          <w:color w:val="000000" w:themeColor="text1"/>
          <w:spacing w:val="-2"/>
          <w:sz w:val="24"/>
          <w:szCs w:val="24"/>
          <w14:textFill>
            <w14:solidFill>
              <w14:schemeClr w14:val="tx1"/>
            </w14:solidFill>
          </w14:textFill>
        </w:rPr>
      </w:pPr>
    </w:p>
    <w:p w14:paraId="1586457B">
      <w:pPr>
        <w:rPr>
          <w:rFonts w:hint="eastAsia" w:ascii="宋体" w:hAnsi="宋体" w:eastAsia="宋体" w:cs="宋体"/>
          <w:color w:val="000000" w:themeColor="text1"/>
          <w:spacing w:val="-2"/>
          <w:sz w:val="24"/>
          <w:szCs w:val="24"/>
          <w14:textFill>
            <w14:solidFill>
              <w14:schemeClr w14:val="tx1"/>
            </w14:solidFill>
          </w14:textFill>
        </w:rPr>
      </w:pPr>
    </w:p>
    <w:p w14:paraId="3DAE58FC">
      <w:pPr>
        <w:pStyle w:val="2"/>
        <w:rPr>
          <w:rFonts w:hint="eastAsia" w:ascii="宋体" w:hAnsi="宋体" w:eastAsia="宋体" w:cs="宋体"/>
          <w:color w:val="000000" w:themeColor="text1"/>
          <w:spacing w:val="-2"/>
          <w:sz w:val="24"/>
          <w:szCs w:val="24"/>
          <w14:textFill>
            <w14:solidFill>
              <w14:schemeClr w14:val="tx1"/>
            </w14:solidFill>
          </w14:textFill>
        </w:rPr>
      </w:pPr>
    </w:p>
    <w:p w14:paraId="6FAD4AB3">
      <w:pPr>
        <w:rPr>
          <w:rFonts w:hint="eastAsia" w:ascii="宋体" w:hAnsi="宋体" w:eastAsia="宋体" w:cs="宋体"/>
          <w:color w:val="000000" w:themeColor="text1"/>
          <w:spacing w:val="-2"/>
          <w:sz w:val="24"/>
          <w:szCs w:val="24"/>
          <w14:textFill>
            <w14:solidFill>
              <w14:schemeClr w14:val="tx1"/>
            </w14:solidFill>
          </w14:textFill>
        </w:rPr>
      </w:pPr>
    </w:p>
    <w:p w14:paraId="1A6AA068">
      <w:pPr>
        <w:pStyle w:val="2"/>
        <w:rPr>
          <w:rFonts w:hint="eastAsia" w:ascii="宋体" w:hAnsi="宋体" w:eastAsia="宋体" w:cs="宋体"/>
          <w:color w:val="000000" w:themeColor="text1"/>
          <w:spacing w:val="-2"/>
          <w:sz w:val="24"/>
          <w:szCs w:val="24"/>
          <w14:textFill>
            <w14:solidFill>
              <w14:schemeClr w14:val="tx1"/>
            </w14:solidFill>
          </w14:textFill>
        </w:rPr>
      </w:pPr>
    </w:p>
    <w:p w14:paraId="31D1A6DD">
      <w:pPr>
        <w:rPr>
          <w:rFonts w:hint="eastAsia" w:ascii="宋体" w:hAnsi="宋体" w:eastAsia="宋体" w:cs="宋体"/>
          <w:color w:val="000000" w:themeColor="text1"/>
          <w:spacing w:val="-2"/>
          <w:sz w:val="24"/>
          <w:szCs w:val="24"/>
          <w14:textFill>
            <w14:solidFill>
              <w14:schemeClr w14:val="tx1"/>
            </w14:solidFill>
          </w14:textFill>
        </w:rPr>
      </w:pPr>
    </w:p>
    <w:p w14:paraId="7C79B53E">
      <w:pPr>
        <w:pStyle w:val="2"/>
        <w:rPr>
          <w:rFonts w:hint="eastAsia" w:ascii="宋体" w:hAnsi="宋体" w:eastAsia="宋体" w:cs="宋体"/>
          <w:color w:val="000000" w:themeColor="text1"/>
          <w:spacing w:val="-2"/>
          <w:sz w:val="24"/>
          <w:szCs w:val="24"/>
          <w14:textFill>
            <w14:solidFill>
              <w14:schemeClr w14:val="tx1"/>
            </w14:solidFill>
          </w14:textFill>
        </w:rPr>
      </w:pPr>
    </w:p>
    <w:p w14:paraId="27082D6C">
      <w:pPr>
        <w:rPr>
          <w:rFonts w:hint="eastAsia" w:ascii="宋体" w:hAnsi="宋体" w:eastAsia="宋体" w:cs="宋体"/>
          <w:color w:val="000000" w:themeColor="text1"/>
          <w:spacing w:val="-2"/>
          <w:sz w:val="24"/>
          <w:szCs w:val="24"/>
          <w14:textFill>
            <w14:solidFill>
              <w14:schemeClr w14:val="tx1"/>
            </w14:solidFill>
          </w14:textFill>
        </w:rPr>
      </w:pPr>
    </w:p>
    <w:p w14:paraId="0DAA7D15">
      <w:pPr>
        <w:pStyle w:val="2"/>
        <w:rPr>
          <w:rFonts w:hint="eastAsia" w:ascii="宋体" w:hAnsi="宋体" w:eastAsia="宋体" w:cs="宋体"/>
          <w:color w:val="000000" w:themeColor="text1"/>
          <w:spacing w:val="-2"/>
          <w:sz w:val="24"/>
          <w:szCs w:val="24"/>
          <w14:textFill>
            <w14:solidFill>
              <w14:schemeClr w14:val="tx1"/>
            </w14:solidFill>
          </w14:textFill>
        </w:rPr>
      </w:pPr>
    </w:p>
    <w:p w14:paraId="4EAF7A8F">
      <w:pPr>
        <w:rPr>
          <w:rFonts w:hint="eastAsia" w:ascii="宋体" w:hAnsi="宋体" w:eastAsia="宋体" w:cs="宋体"/>
          <w:color w:val="000000" w:themeColor="text1"/>
          <w:spacing w:val="-2"/>
          <w:sz w:val="24"/>
          <w:szCs w:val="24"/>
          <w14:textFill>
            <w14:solidFill>
              <w14:schemeClr w14:val="tx1"/>
            </w14:solidFill>
          </w14:textFill>
        </w:rPr>
      </w:pPr>
    </w:p>
    <w:p w14:paraId="3E6E1533">
      <w:pPr>
        <w:pStyle w:val="2"/>
        <w:rPr>
          <w:rFonts w:hint="eastAsia" w:ascii="宋体" w:hAnsi="宋体" w:eastAsia="宋体" w:cs="宋体"/>
          <w:color w:val="000000" w:themeColor="text1"/>
          <w:spacing w:val="-2"/>
          <w:sz w:val="24"/>
          <w:szCs w:val="24"/>
          <w14:textFill>
            <w14:solidFill>
              <w14:schemeClr w14:val="tx1"/>
            </w14:solidFill>
          </w14:textFill>
        </w:rPr>
      </w:pPr>
    </w:p>
    <w:p w14:paraId="35D5B306">
      <w:pPr>
        <w:rPr>
          <w:rFonts w:hint="eastAsia" w:ascii="宋体" w:hAnsi="宋体" w:eastAsia="宋体" w:cs="宋体"/>
          <w:color w:val="000000" w:themeColor="text1"/>
          <w:spacing w:val="-2"/>
          <w:sz w:val="24"/>
          <w:szCs w:val="24"/>
          <w14:textFill>
            <w14:solidFill>
              <w14:schemeClr w14:val="tx1"/>
            </w14:solidFill>
          </w14:textFill>
        </w:rPr>
      </w:pPr>
    </w:p>
    <w:p w14:paraId="625256CE">
      <w:pPr>
        <w:pStyle w:val="2"/>
        <w:rPr>
          <w:rFonts w:hint="eastAsia" w:ascii="宋体" w:hAnsi="宋体" w:eastAsia="宋体" w:cs="宋体"/>
          <w:color w:val="000000" w:themeColor="text1"/>
          <w:spacing w:val="-2"/>
          <w:sz w:val="24"/>
          <w:szCs w:val="24"/>
          <w14:textFill>
            <w14:solidFill>
              <w14:schemeClr w14:val="tx1"/>
            </w14:solidFill>
          </w14:textFill>
        </w:rPr>
      </w:pPr>
    </w:p>
    <w:p w14:paraId="790F3F27">
      <w:pPr>
        <w:rPr>
          <w:rFonts w:hint="eastAsia" w:ascii="宋体" w:hAnsi="宋体" w:eastAsia="宋体" w:cs="宋体"/>
          <w:color w:val="000000" w:themeColor="text1"/>
          <w:spacing w:val="-2"/>
          <w:sz w:val="24"/>
          <w:szCs w:val="24"/>
          <w14:textFill>
            <w14:solidFill>
              <w14:schemeClr w14:val="tx1"/>
            </w14:solidFill>
          </w14:textFill>
        </w:rPr>
      </w:pPr>
    </w:p>
    <w:p w14:paraId="161018C4">
      <w:pPr>
        <w:pStyle w:val="2"/>
        <w:rPr>
          <w:rFonts w:hint="eastAsia" w:ascii="宋体" w:hAnsi="宋体" w:eastAsia="宋体" w:cs="宋体"/>
          <w:color w:val="000000" w:themeColor="text1"/>
          <w:spacing w:val="-2"/>
          <w:sz w:val="24"/>
          <w:szCs w:val="24"/>
          <w14:textFill>
            <w14:solidFill>
              <w14:schemeClr w14:val="tx1"/>
            </w14:solidFill>
          </w14:textFill>
        </w:rPr>
      </w:pPr>
    </w:p>
    <w:p w14:paraId="0255E1BA">
      <w:pPr>
        <w:rPr>
          <w:rFonts w:hint="eastAsia" w:ascii="宋体" w:hAnsi="宋体" w:eastAsia="宋体" w:cs="宋体"/>
          <w:color w:val="000000" w:themeColor="text1"/>
          <w:spacing w:val="-2"/>
          <w:sz w:val="24"/>
          <w:szCs w:val="24"/>
          <w14:textFill>
            <w14:solidFill>
              <w14:schemeClr w14:val="tx1"/>
            </w14:solidFill>
          </w14:textFill>
        </w:rPr>
      </w:pPr>
    </w:p>
    <w:p w14:paraId="1BF27FEB">
      <w:pPr>
        <w:pStyle w:val="2"/>
        <w:rPr>
          <w:rFonts w:hint="eastAsia" w:ascii="宋体" w:hAnsi="宋体" w:eastAsia="宋体" w:cs="宋体"/>
          <w:color w:val="000000" w:themeColor="text1"/>
          <w:spacing w:val="-2"/>
          <w:sz w:val="24"/>
          <w:szCs w:val="24"/>
          <w14:textFill>
            <w14:solidFill>
              <w14:schemeClr w14:val="tx1"/>
            </w14:solidFill>
          </w14:textFill>
        </w:rPr>
      </w:pPr>
    </w:p>
    <w:p w14:paraId="2881CFEC">
      <w:pPr>
        <w:rPr>
          <w:rFonts w:hint="eastAsia" w:ascii="宋体" w:hAnsi="宋体" w:eastAsia="宋体" w:cs="宋体"/>
          <w:color w:val="000000" w:themeColor="text1"/>
          <w:spacing w:val="-2"/>
          <w:sz w:val="24"/>
          <w:szCs w:val="24"/>
          <w14:textFill>
            <w14:solidFill>
              <w14:schemeClr w14:val="tx1"/>
            </w14:solidFill>
          </w14:textFill>
        </w:rPr>
      </w:pPr>
    </w:p>
    <w:p w14:paraId="30945868">
      <w:pPr>
        <w:pStyle w:val="2"/>
        <w:rPr>
          <w:rFonts w:hint="eastAsia" w:ascii="宋体" w:hAnsi="宋体" w:eastAsia="宋体" w:cs="宋体"/>
          <w:color w:val="000000" w:themeColor="text1"/>
          <w:spacing w:val="-2"/>
          <w:sz w:val="24"/>
          <w:szCs w:val="24"/>
          <w14:textFill>
            <w14:solidFill>
              <w14:schemeClr w14:val="tx1"/>
            </w14:solidFill>
          </w14:textFill>
        </w:rPr>
      </w:pPr>
    </w:p>
    <w:p w14:paraId="79A36561">
      <w:pPr>
        <w:rPr>
          <w:rFonts w:hint="eastAsia" w:ascii="宋体" w:hAnsi="宋体" w:eastAsia="宋体" w:cs="宋体"/>
          <w:color w:val="000000" w:themeColor="text1"/>
          <w:spacing w:val="-2"/>
          <w:sz w:val="24"/>
          <w:szCs w:val="24"/>
          <w14:textFill>
            <w14:solidFill>
              <w14:schemeClr w14:val="tx1"/>
            </w14:solidFill>
          </w14:textFill>
        </w:rPr>
      </w:pPr>
    </w:p>
    <w:p w14:paraId="6D59CEBE">
      <w:pPr>
        <w:pStyle w:val="2"/>
        <w:rPr>
          <w:rFonts w:hint="eastAsia" w:ascii="宋体" w:hAnsi="宋体" w:eastAsia="宋体" w:cs="宋体"/>
          <w:color w:val="000000" w:themeColor="text1"/>
          <w:spacing w:val="-2"/>
          <w:sz w:val="24"/>
          <w:szCs w:val="24"/>
          <w14:textFill>
            <w14:solidFill>
              <w14:schemeClr w14:val="tx1"/>
            </w14:solidFill>
          </w14:textFill>
        </w:rPr>
      </w:pPr>
    </w:p>
    <w:p w14:paraId="39532EBD"/>
    <w:p w14:paraId="613F50F5">
      <w:pPr>
        <w:spacing w:before="85" w:line="198" w:lineRule="auto"/>
        <w:ind w:left="-1800" w:leftChars="-857" w:right="-1617" w:rightChars="-770"/>
        <w:rPr>
          <w:rFonts w:ascii="宋体" w:hAnsi="宋体" w:eastAsia="宋体" w:cs="宋体"/>
          <w:color w:val="000000" w:themeColor="text1"/>
          <w:spacing w:val="-4"/>
          <w:sz w:val="24"/>
          <w:szCs w:val="24"/>
          <w14:textFill>
            <w14:solidFill>
              <w14:schemeClr w14:val="tx1"/>
            </w14:solidFill>
          </w14:textFill>
        </w:rPr>
      </w:pP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涨断机激光系统升级改造项目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531B9FA6">
      <w:pPr>
        <w:rPr>
          <w:rFonts w:ascii="宋体" w:hAnsi="Calibri" w:eastAsia="宋体" w:cs="宋体"/>
          <w:b/>
          <w:bCs/>
          <w:color w:val="000000"/>
          <w:sz w:val="28"/>
          <w:szCs w:val="20"/>
        </w:rPr>
        <w:sectPr>
          <w:headerReference r:id="rId29" w:type="default"/>
          <w:footerReference r:id="rId30" w:type="default"/>
          <w:pgSz w:w="11906" w:h="16838"/>
          <w:pgMar w:top="1588" w:right="1418" w:bottom="1134" w:left="1418" w:header="851" w:footer="992" w:gutter="0"/>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spacing w:line="272" w:lineRule="auto"/>
        <w:rPr>
          <w:rFonts w:ascii="Arial"/>
        </w:rPr>
      </w:pPr>
    </w:p>
    <w:p w14:paraId="11C05ED1">
      <w:pPr>
        <w:spacing w:before="75" w:line="228" w:lineRule="auto"/>
        <w:ind w:left="134"/>
        <w:rPr>
          <w:rFonts w:hint="eastAsia" w:ascii="宋体" w:hAnsi="宋体" w:eastAsia="宋体" w:cs="宋体"/>
          <w:sz w:val="24"/>
          <w:szCs w:val="24"/>
          <w:highlight w:val="none"/>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highlight w:val="none"/>
          <w:u w:val="single"/>
          <w:lang w:eastAsia="zh-CN"/>
        </w:rPr>
        <w:t>涨断机激光系统升级改造项目</w:t>
      </w:r>
    </w:p>
    <w:p w14:paraId="1C022C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 w14:paraId="36D349FF">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rPr>
          <w:rFonts w:ascii="Times New Roman" w:hAnsi="Times New Roman" w:eastAsia="宋体" w:cs="Times New Roman"/>
          <w:b/>
          <w:bCs/>
          <w:color w:val="000000"/>
          <w:sz w:val="24"/>
          <w:szCs w:val="24"/>
        </w:rPr>
      </w:pPr>
    </w:p>
    <w:p w14:paraId="34FD54A0">
      <w:pPr>
        <w:spacing w:before="75" w:line="227" w:lineRule="auto"/>
        <w:ind w:left="135"/>
        <w:rPr>
          <w:rFonts w:ascii="宋体" w:hAnsi="宋体" w:eastAsia="宋体" w:cs="宋体"/>
          <w:spacing w:val="-2"/>
          <w:sz w:val="24"/>
          <w:szCs w:val="24"/>
        </w:rPr>
      </w:pPr>
    </w:p>
    <w:p w14:paraId="75A454F7">
      <w:pPr>
        <w:spacing w:before="75" w:line="227" w:lineRule="auto"/>
        <w:ind w:left="135"/>
        <w:rPr>
          <w:rFonts w:ascii="宋体" w:hAnsi="宋体" w:eastAsia="宋体" w:cs="宋体"/>
          <w:spacing w:val="-2"/>
          <w:sz w:val="24"/>
          <w:szCs w:val="24"/>
        </w:rPr>
      </w:pPr>
    </w:p>
    <w:p w14:paraId="69DD557B">
      <w:pPr>
        <w:spacing w:before="75" w:line="227" w:lineRule="auto"/>
        <w:ind w:left="135"/>
        <w:rPr>
          <w:rFonts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none"/>
          <w:u w:val="single"/>
          <w:lang w:eastAsia="zh-CN"/>
        </w:rPr>
        <w:t>涨断机激光系统升级改造项目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17"/>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04E070C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541EF3DD">
      <w:p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3904A8E4">
      <w:pPr>
        <w:spacing w:line="360" w:lineRule="auto"/>
        <w:outlineLvl w:val="2"/>
        <w:rPr>
          <w:rFonts w:hint="eastAsia" w:ascii="宋体" w:hAnsi="Calibri" w:eastAsia="宋体" w:cs="Times New Roman"/>
          <w:sz w:val="24"/>
          <w:szCs w:val="20"/>
          <w:highlight w:val="none"/>
          <w:u w:val="single"/>
          <w:lang w:eastAsia="zh-CN"/>
        </w:rPr>
      </w:pPr>
      <w:bookmarkStart w:id="146" w:name="_GoBack"/>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3技术标评分标准</w:t>
      </w:r>
    </w:p>
    <w:bookmarkEnd w:id="146"/>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46"/>
        <w:gridCol w:w="611"/>
        <w:gridCol w:w="467"/>
        <w:gridCol w:w="2383"/>
        <w:gridCol w:w="505"/>
        <w:gridCol w:w="4599"/>
      </w:tblGrid>
      <w:tr w14:paraId="40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Align w:val="center"/>
          </w:tcPr>
          <w:p w14:paraId="792BCC83">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评价类型</w:t>
            </w:r>
          </w:p>
        </w:tc>
        <w:tc>
          <w:tcPr>
            <w:tcW w:w="335" w:type="pct"/>
            <w:vAlign w:val="center"/>
          </w:tcPr>
          <w:p w14:paraId="24091540">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评审内容</w:t>
            </w:r>
          </w:p>
        </w:tc>
        <w:tc>
          <w:tcPr>
            <w:tcW w:w="256" w:type="pct"/>
            <w:vAlign w:val="center"/>
          </w:tcPr>
          <w:p w14:paraId="5D7F9BC6">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序号</w:t>
            </w:r>
          </w:p>
        </w:tc>
        <w:tc>
          <w:tcPr>
            <w:tcW w:w="1307" w:type="pct"/>
            <w:vAlign w:val="center"/>
          </w:tcPr>
          <w:p w14:paraId="06650892">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内   容</w:t>
            </w:r>
          </w:p>
        </w:tc>
        <w:tc>
          <w:tcPr>
            <w:tcW w:w="277" w:type="pct"/>
            <w:vAlign w:val="center"/>
          </w:tcPr>
          <w:p w14:paraId="1CFAC543">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标准分</w:t>
            </w:r>
          </w:p>
        </w:tc>
        <w:tc>
          <w:tcPr>
            <w:tcW w:w="2523" w:type="pct"/>
            <w:vAlign w:val="center"/>
          </w:tcPr>
          <w:p w14:paraId="638E30C8">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评分标准</w:t>
            </w:r>
          </w:p>
        </w:tc>
      </w:tr>
      <w:tr w14:paraId="7591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restart"/>
            <w:vAlign w:val="center"/>
          </w:tcPr>
          <w:p w14:paraId="5DC5B85F">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技术标100分</w:t>
            </w:r>
          </w:p>
        </w:tc>
        <w:tc>
          <w:tcPr>
            <w:tcW w:w="335" w:type="pct"/>
            <w:vAlign w:val="center"/>
          </w:tcPr>
          <w:p w14:paraId="2EECBADF">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业绩</w:t>
            </w:r>
          </w:p>
        </w:tc>
        <w:tc>
          <w:tcPr>
            <w:tcW w:w="256" w:type="pct"/>
            <w:vAlign w:val="center"/>
          </w:tcPr>
          <w:p w14:paraId="246E7D6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1</w:t>
            </w:r>
          </w:p>
        </w:tc>
        <w:tc>
          <w:tcPr>
            <w:tcW w:w="1307" w:type="pct"/>
            <w:vAlign w:val="center"/>
          </w:tcPr>
          <w:p w14:paraId="55D39BC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设备制造商同 类型项目业绩</w:t>
            </w:r>
          </w:p>
        </w:tc>
        <w:tc>
          <w:tcPr>
            <w:tcW w:w="277" w:type="pct"/>
            <w:vAlign w:val="center"/>
          </w:tcPr>
          <w:p w14:paraId="5D53F52E">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1E307217">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305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6A39C70F">
            <w:pPr>
              <w:tabs>
                <w:tab w:val="left" w:pos="13965"/>
              </w:tabs>
              <w:overflowPunct w:val="0"/>
              <w:snapToGrid w:val="0"/>
              <w:jc w:val="center"/>
              <w:rPr>
                <w:rFonts w:ascii="宋体" w:hAnsi="宋体" w:eastAsia="宋体" w:cs="宋体"/>
                <w:szCs w:val="21"/>
              </w:rPr>
            </w:pPr>
          </w:p>
        </w:tc>
        <w:tc>
          <w:tcPr>
            <w:tcW w:w="335" w:type="pct"/>
            <w:vMerge w:val="restart"/>
            <w:vAlign w:val="center"/>
          </w:tcPr>
          <w:p w14:paraId="1BB80FF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产品技术</w:t>
            </w:r>
          </w:p>
        </w:tc>
        <w:tc>
          <w:tcPr>
            <w:tcW w:w="256" w:type="pct"/>
            <w:vAlign w:val="center"/>
          </w:tcPr>
          <w:p w14:paraId="143C2D77">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2</w:t>
            </w:r>
          </w:p>
        </w:tc>
        <w:tc>
          <w:tcPr>
            <w:tcW w:w="1307" w:type="pct"/>
            <w:vAlign w:val="center"/>
          </w:tcPr>
          <w:p w14:paraId="6E59C8E4">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设备制造商装备制造能力、生产设备、加工工艺、完善程度</w:t>
            </w:r>
          </w:p>
        </w:tc>
        <w:tc>
          <w:tcPr>
            <w:tcW w:w="277" w:type="pct"/>
            <w:vAlign w:val="center"/>
          </w:tcPr>
          <w:p w14:paraId="3ED3536D">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14C5BBD9">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r w14:paraId="421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2D8B6750">
            <w:pPr>
              <w:tabs>
                <w:tab w:val="left" w:pos="13965"/>
              </w:tabs>
              <w:overflowPunct w:val="0"/>
              <w:snapToGrid w:val="0"/>
              <w:jc w:val="center"/>
              <w:rPr>
                <w:rFonts w:ascii="宋体" w:hAnsi="宋体" w:eastAsia="宋体" w:cs="宋体"/>
                <w:szCs w:val="21"/>
              </w:rPr>
            </w:pPr>
          </w:p>
        </w:tc>
        <w:tc>
          <w:tcPr>
            <w:tcW w:w="335" w:type="pct"/>
            <w:vMerge w:val="continue"/>
            <w:vAlign w:val="center"/>
          </w:tcPr>
          <w:p w14:paraId="2F9FF5A4">
            <w:pPr>
              <w:tabs>
                <w:tab w:val="left" w:pos="13965"/>
              </w:tabs>
              <w:overflowPunct w:val="0"/>
              <w:snapToGrid w:val="0"/>
              <w:jc w:val="center"/>
              <w:rPr>
                <w:rFonts w:ascii="宋体" w:hAnsi="宋体" w:eastAsia="宋体" w:cs="宋体"/>
                <w:szCs w:val="21"/>
              </w:rPr>
            </w:pPr>
          </w:p>
        </w:tc>
        <w:tc>
          <w:tcPr>
            <w:tcW w:w="256" w:type="pct"/>
            <w:vAlign w:val="center"/>
          </w:tcPr>
          <w:p w14:paraId="0C4C28EF">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3</w:t>
            </w:r>
          </w:p>
        </w:tc>
        <w:tc>
          <w:tcPr>
            <w:tcW w:w="1307" w:type="pct"/>
            <w:vAlign w:val="center"/>
          </w:tcPr>
          <w:p w14:paraId="57B71939">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产品方案技术先进、各系统完善、性能可靠，设备主要核心部件，具备自身技术优势</w:t>
            </w:r>
          </w:p>
        </w:tc>
        <w:tc>
          <w:tcPr>
            <w:tcW w:w="277" w:type="pct"/>
            <w:vAlign w:val="center"/>
          </w:tcPr>
          <w:p w14:paraId="0B134AB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50</w:t>
            </w:r>
          </w:p>
        </w:tc>
        <w:tc>
          <w:tcPr>
            <w:tcW w:w="2523" w:type="pct"/>
            <w:vAlign w:val="center"/>
          </w:tcPr>
          <w:p w14:paraId="5A27B51B">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以下各项由评标委员会成员独立进行客观、公正的评价打分。</w:t>
            </w:r>
          </w:p>
          <w:p w14:paraId="781ADA8E">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①定制系统方案已到达招标要求，设备主要核心部件，具备自身技术优势，打分0-16分。</w:t>
            </w:r>
          </w:p>
          <w:p w14:paraId="71E968EE">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②系统配置齐全，其精度、参数、技术水平、可靠性等优势明显，打分0-16分。</w:t>
            </w:r>
          </w:p>
          <w:p w14:paraId="106C73A1">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③操作灵活方便，系统开放程度高，打分0-10分。</w:t>
            </w:r>
          </w:p>
          <w:p w14:paraId="05B25699">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④综合评价，打分0-8分。</w:t>
            </w:r>
          </w:p>
        </w:tc>
      </w:tr>
      <w:tr w14:paraId="78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572FE7F9">
            <w:pPr>
              <w:tabs>
                <w:tab w:val="left" w:pos="13965"/>
              </w:tabs>
              <w:overflowPunct w:val="0"/>
              <w:snapToGrid w:val="0"/>
              <w:jc w:val="center"/>
              <w:rPr>
                <w:rFonts w:ascii="宋体" w:hAnsi="宋体" w:eastAsia="宋体" w:cs="宋体"/>
                <w:szCs w:val="21"/>
              </w:rPr>
            </w:pPr>
          </w:p>
        </w:tc>
        <w:tc>
          <w:tcPr>
            <w:tcW w:w="335" w:type="pct"/>
            <w:vAlign w:val="center"/>
          </w:tcPr>
          <w:p w14:paraId="1E45F0C5">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答疑</w:t>
            </w:r>
          </w:p>
        </w:tc>
        <w:tc>
          <w:tcPr>
            <w:tcW w:w="256" w:type="pct"/>
            <w:vAlign w:val="center"/>
          </w:tcPr>
          <w:p w14:paraId="5498FEB8">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4</w:t>
            </w:r>
          </w:p>
        </w:tc>
        <w:tc>
          <w:tcPr>
            <w:tcW w:w="1307" w:type="pct"/>
            <w:vAlign w:val="center"/>
          </w:tcPr>
          <w:p w14:paraId="719716DE">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现场答疑</w:t>
            </w:r>
          </w:p>
        </w:tc>
        <w:tc>
          <w:tcPr>
            <w:tcW w:w="277" w:type="pct"/>
            <w:vAlign w:val="center"/>
          </w:tcPr>
          <w:p w14:paraId="5026505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8</w:t>
            </w:r>
          </w:p>
        </w:tc>
        <w:tc>
          <w:tcPr>
            <w:tcW w:w="2523" w:type="pct"/>
            <w:vAlign w:val="center"/>
          </w:tcPr>
          <w:p w14:paraId="567CF97F">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投标人代表对方案、技术优势的讲解，</w:t>
            </w:r>
          </w:p>
          <w:p w14:paraId="20285964">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以及就该项目难点回答评标专家现场提问，打分0-8分。</w:t>
            </w:r>
          </w:p>
        </w:tc>
      </w:tr>
      <w:tr w14:paraId="27C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2B31677E">
            <w:pPr>
              <w:tabs>
                <w:tab w:val="left" w:pos="13965"/>
              </w:tabs>
              <w:overflowPunct w:val="0"/>
              <w:snapToGrid w:val="0"/>
              <w:jc w:val="center"/>
              <w:rPr>
                <w:rFonts w:ascii="宋体" w:hAnsi="宋体" w:eastAsia="宋体" w:cs="宋体"/>
                <w:szCs w:val="21"/>
              </w:rPr>
            </w:pPr>
          </w:p>
        </w:tc>
        <w:tc>
          <w:tcPr>
            <w:tcW w:w="335" w:type="pct"/>
            <w:vAlign w:val="center"/>
          </w:tcPr>
          <w:p w14:paraId="517B1447">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技术偏离</w:t>
            </w:r>
          </w:p>
        </w:tc>
        <w:tc>
          <w:tcPr>
            <w:tcW w:w="256" w:type="pct"/>
            <w:vAlign w:val="center"/>
          </w:tcPr>
          <w:p w14:paraId="460B9393">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5</w:t>
            </w:r>
          </w:p>
        </w:tc>
        <w:tc>
          <w:tcPr>
            <w:tcW w:w="1307" w:type="pct"/>
            <w:vAlign w:val="center"/>
          </w:tcPr>
          <w:p w14:paraId="4D5D766A">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技术偏离</w:t>
            </w:r>
          </w:p>
        </w:tc>
        <w:tc>
          <w:tcPr>
            <w:tcW w:w="277" w:type="pct"/>
            <w:vAlign w:val="center"/>
          </w:tcPr>
          <w:p w14:paraId="2644F919">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12</w:t>
            </w:r>
          </w:p>
        </w:tc>
        <w:tc>
          <w:tcPr>
            <w:tcW w:w="2523" w:type="pct"/>
            <w:vAlign w:val="center"/>
          </w:tcPr>
          <w:p w14:paraId="147374E2">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250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67138327">
            <w:pPr>
              <w:tabs>
                <w:tab w:val="left" w:pos="13965"/>
              </w:tabs>
              <w:overflowPunct w:val="0"/>
              <w:snapToGrid w:val="0"/>
              <w:jc w:val="center"/>
              <w:rPr>
                <w:rFonts w:ascii="宋体" w:hAnsi="宋体" w:eastAsia="宋体" w:cs="宋体"/>
                <w:szCs w:val="21"/>
              </w:rPr>
            </w:pPr>
          </w:p>
        </w:tc>
        <w:tc>
          <w:tcPr>
            <w:tcW w:w="335" w:type="pct"/>
            <w:vMerge w:val="restart"/>
            <w:vAlign w:val="center"/>
          </w:tcPr>
          <w:p w14:paraId="0601A3E7">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售后服务</w:t>
            </w:r>
          </w:p>
        </w:tc>
        <w:tc>
          <w:tcPr>
            <w:tcW w:w="256" w:type="pct"/>
            <w:vAlign w:val="center"/>
          </w:tcPr>
          <w:p w14:paraId="12D88B1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1307" w:type="pct"/>
            <w:vAlign w:val="center"/>
          </w:tcPr>
          <w:p w14:paraId="01E225F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技术培训方案：对招标方人员的技术培训方案安排科学、合理、可行</w:t>
            </w:r>
          </w:p>
        </w:tc>
        <w:tc>
          <w:tcPr>
            <w:tcW w:w="277" w:type="pct"/>
            <w:vAlign w:val="center"/>
          </w:tcPr>
          <w:p w14:paraId="1234DD33">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2EBFD8E2">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r w14:paraId="702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4DE9C1CB">
            <w:pPr>
              <w:tabs>
                <w:tab w:val="left" w:pos="13965"/>
              </w:tabs>
              <w:overflowPunct w:val="0"/>
              <w:snapToGrid w:val="0"/>
              <w:jc w:val="center"/>
              <w:rPr>
                <w:rFonts w:ascii="宋体" w:hAnsi="宋体" w:eastAsia="宋体" w:cs="宋体"/>
                <w:szCs w:val="21"/>
              </w:rPr>
            </w:pPr>
          </w:p>
        </w:tc>
        <w:tc>
          <w:tcPr>
            <w:tcW w:w="335" w:type="pct"/>
            <w:vMerge w:val="continue"/>
            <w:vAlign w:val="center"/>
          </w:tcPr>
          <w:p w14:paraId="636DA90C">
            <w:pPr>
              <w:tabs>
                <w:tab w:val="left" w:pos="13965"/>
              </w:tabs>
              <w:overflowPunct w:val="0"/>
              <w:snapToGrid w:val="0"/>
              <w:jc w:val="center"/>
              <w:rPr>
                <w:rFonts w:ascii="宋体" w:hAnsi="宋体" w:eastAsia="宋体" w:cs="宋体"/>
                <w:szCs w:val="21"/>
              </w:rPr>
            </w:pPr>
          </w:p>
        </w:tc>
        <w:tc>
          <w:tcPr>
            <w:tcW w:w="256" w:type="pct"/>
            <w:vAlign w:val="center"/>
          </w:tcPr>
          <w:p w14:paraId="3820D2E3">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7</w:t>
            </w:r>
          </w:p>
        </w:tc>
        <w:tc>
          <w:tcPr>
            <w:tcW w:w="1307" w:type="pct"/>
            <w:vAlign w:val="center"/>
          </w:tcPr>
          <w:p w14:paraId="3D280A7E">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安装调试方案：有详尽的安装调试计划及方案，方案科学合理，可实施性强。</w:t>
            </w:r>
          </w:p>
        </w:tc>
        <w:tc>
          <w:tcPr>
            <w:tcW w:w="277" w:type="pct"/>
            <w:vAlign w:val="center"/>
          </w:tcPr>
          <w:p w14:paraId="48DE5255">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21B8FEC2">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r w14:paraId="4F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47218E70">
            <w:pPr>
              <w:tabs>
                <w:tab w:val="left" w:pos="13965"/>
              </w:tabs>
              <w:overflowPunct w:val="0"/>
              <w:snapToGrid w:val="0"/>
              <w:jc w:val="center"/>
              <w:rPr>
                <w:rFonts w:ascii="宋体" w:hAnsi="宋体" w:eastAsia="宋体" w:cs="宋体"/>
                <w:szCs w:val="21"/>
              </w:rPr>
            </w:pPr>
          </w:p>
        </w:tc>
        <w:tc>
          <w:tcPr>
            <w:tcW w:w="335" w:type="pct"/>
            <w:vMerge w:val="continue"/>
            <w:vAlign w:val="center"/>
          </w:tcPr>
          <w:p w14:paraId="073CD52D">
            <w:pPr>
              <w:tabs>
                <w:tab w:val="left" w:pos="13965"/>
              </w:tabs>
              <w:overflowPunct w:val="0"/>
              <w:snapToGrid w:val="0"/>
              <w:jc w:val="center"/>
              <w:rPr>
                <w:rFonts w:ascii="宋体" w:hAnsi="宋体" w:eastAsia="宋体" w:cs="宋体"/>
                <w:szCs w:val="21"/>
              </w:rPr>
            </w:pPr>
          </w:p>
        </w:tc>
        <w:tc>
          <w:tcPr>
            <w:tcW w:w="256" w:type="pct"/>
            <w:vAlign w:val="center"/>
          </w:tcPr>
          <w:p w14:paraId="560ABD2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8</w:t>
            </w:r>
          </w:p>
        </w:tc>
        <w:tc>
          <w:tcPr>
            <w:tcW w:w="1307" w:type="pct"/>
            <w:vAlign w:val="center"/>
          </w:tcPr>
          <w:p w14:paraId="4F7E3C9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售后服务及时周到，有相应 的服务承诺和具体的保证措施</w:t>
            </w:r>
          </w:p>
        </w:tc>
        <w:tc>
          <w:tcPr>
            <w:tcW w:w="277" w:type="pct"/>
            <w:vAlign w:val="center"/>
          </w:tcPr>
          <w:p w14:paraId="128C4DA5">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6EDA1607">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bl>
    <w:p w14:paraId="098013FD">
      <w:pPr>
        <w:pStyle w:val="17"/>
      </w:pPr>
    </w:p>
    <w:p w14:paraId="48450E94">
      <w:pPr>
        <w:pStyle w:val="17"/>
      </w:pPr>
    </w:p>
    <w:p w14:paraId="1E0C27C1">
      <w:pPr>
        <w:pStyle w:val="17"/>
      </w:pPr>
    </w:p>
    <w:p w14:paraId="174D9253">
      <w:pPr>
        <w:pStyle w:val="17"/>
      </w:pPr>
    </w:p>
    <w:p w14:paraId="05FD2729">
      <w:pPr>
        <w:pStyle w:val="17"/>
      </w:pPr>
    </w:p>
    <w:p w14:paraId="32771200">
      <w:pPr>
        <w:pStyle w:val="17"/>
      </w:pPr>
    </w:p>
    <w:p w14:paraId="4B1CB760">
      <w:pPr>
        <w:pStyle w:val="17"/>
      </w:pPr>
    </w:p>
    <w:p w14:paraId="5A24526E">
      <w:pPr>
        <w:pStyle w:val="17"/>
      </w:pPr>
    </w:p>
    <w:p w14:paraId="2693AA16">
      <w:pPr>
        <w:pStyle w:val="17"/>
      </w:pPr>
    </w:p>
    <w:p w14:paraId="60468770">
      <w:pPr>
        <w:pStyle w:val="17"/>
      </w:pPr>
    </w:p>
    <w:p w14:paraId="4BF13700">
      <w:pPr>
        <w:pStyle w:val="17"/>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SRM非生产供应商注册操作手册</w:t>
      </w:r>
    </w:p>
    <w:p w14:paraId="59B9F5A1">
      <w:pPr>
        <w:pStyle w:val="17"/>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14:paraId="2AAFA905">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7"/>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14:paraId="7362023B">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14:paraId="11FC7CE2">
      <w:pPr>
        <w:pStyle w:val="17"/>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7"/>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工艺研究院</w:t>
      </w:r>
      <w:r>
        <w:rPr>
          <w:rFonts w:hint="eastAsia" w:hAnsi="宋体" w:eastAsia="宋体" w:cs="宋体"/>
          <w:b/>
          <w:bCs/>
          <w:color w:val="000000"/>
          <w:sz w:val="24"/>
          <w:szCs w:val="28"/>
        </w:rPr>
        <w:t>”。</w:t>
      </w:r>
    </w:p>
    <w:p w14:paraId="2F5B357E">
      <w:pPr>
        <w:pStyle w:val="17"/>
        <w:sectPr>
          <w:pgSz w:w="11906" w:h="16838"/>
          <w:pgMar w:top="1588" w:right="1418" w:bottom="1134" w:left="1418" w:header="851" w:footer="992" w:gutter="0"/>
          <w:cols w:space="720" w:num="1"/>
          <w:titlePg/>
          <w:docGrid w:type="lines" w:linePitch="312" w:charSpace="0"/>
        </w:sectPr>
      </w:pPr>
    </w:p>
    <w:p w14:paraId="3D581D81">
      <w:pPr>
        <w:pStyle w:val="17"/>
        <w:outlineLvl w:val="2"/>
        <w:rPr>
          <w:rFonts w:hint="eastAsia" w:hAnsi="宋体" w:eastAsia="宋体" w:cs="宋体"/>
          <w:b/>
          <w:bCs/>
          <w:color w:val="000000"/>
          <w:sz w:val="24"/>
          <w:szCs w:val="24"/>
        </w:rPr>
      </w:pPr>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5</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7"/>
      </w:pPr>
      <w:r>
        <w:rPr>
          <w:rFonts w:hint="eastAsia" w:hAnsi="宋体" w:eastAsia="宋体" w:cs="宋体"/>
          <w:color w:val="000000"/>
          <w:sz w:val="24"/>
          <w:szCs w:val="28"/>
        </w:rPr>
        <w:t>注意：系统内的投标报价单位为“万元”，如开标现场发现填错报价，即直接淘汰。</w:t>
      </w:r>
    </w:p>
    <w:p w14:paraId="2F2B82EA">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709BB052">
      <w:pPr>
        <w:pStyle w:val="17"/>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7"/>
        <w:rPr>
          <w:rFonts w:hAnsi="宋体" w:eastAsia="宋体" w:cs="Times New Roman"/>
          <w:b/>
          <w:color w:val="000000"/>
          <w:sz w:val="24"/>
          <w:szCs w:val="24"/>
        </w:rPr>
      </w:pPr>
    </w:p>
    <w:sectPr>
      <w:headerReference r:id="rId37" w:type="first"/>
      <w:footerReference r:id="rId39" w:type="first"/>
      <w:headerReference r:id="rId36" w:type="default"/>
      <w:footerReference r:id="rId38"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17222F-E652-47A2-99E7-71534B5EADF3}"/>
  </w:font>
  <w:font w:name="黑体">
    <w:panose1 w:val="02010609060101010101"/>
    <w:charset w:val="86"/>
    <w:family w:val="auto"/>
    <w:pitch w:val="default"/>
    <w:sig w:usb0="800002BF" w:usb1="38CF7CFA" w:usb2="00000016" w:usb3="00000000" w:csb0="00040001" w:csb1="00000000"/>
    <w:embedRegular r:id="rId2" w:fontKey="{AAE82651-9E77-4CA7-80DC-AE8002582FCD}"/>
  </w:font>
  <w:font w:name="Courier New">
    <w:panose1 w:val="02070309020205020404"/>
    <w:charset w:val="01"/>
    <w:family w:val="modern"/>
    <w:pitch w:val="default"/>
    <w:sig w:usb0="E0002EFF" w:usb1="C0007843" w:usb2="00000009" w:usb3="00000000" w:csb0="400001FF" w:csb1="FFFF0000"/>
    <w:embedRegular r:id="rId3" w:fontKey="{1B8C5AF3-64AD-477A-8085-8BA9CB722B3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272637D-A5F4-45C3-BBA0-DF252B292342}"/>
  </w:font>
  <w:font w:name="等线">
    <w:panose1 w:val="02010600030101010101"/>
    <w:charset w:val="86"/>
    <w:family w:val="auto"/>
    <w:pitch w:val="default"/>
    <w:sig w:usb0="A00002BF" w:usb1="38CF7CFA" w:usb2="00000016" w:usb3="00000000" w:csb0="0004000F" w:csb1="00000000"/>
    <w:embedRegular r:id="rId5" w:fontKey="{8E78AE9A-43CC-4935-8608-6C854DB2A082}"/>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F49F4552-BF6F-4F89-9DF5-4502BD3A43EC}"/>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9F0CB18D-9EB0-4B29-AD43-1B0B0C66834F}"/>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8" w:fontKey="{34FF7923-5A49-4A8A-90BD-B5663A1F58D8}"/>
  </w:font>
  <w:font w:name="方正小标宋简体">
    <w:panose1 w:val="02000000000000000000"/>
    <w:charset w:val="86"/>
    <w:family w:val="script"/>
    <w:pitch w:val="default"/>
    <w:sig w:usb0="A00002BF" w:usb1="184F6CFA" w:usb2="00000012" w:usb3="00000000" w:csb0="00040001" w:csb1="00000000"/>
    <w:embedRegular r:id="rId9" w:fontKey="{542EA615-BCD9-4EFC-8056-0FE623CDB207}"/>
  </w:font>
  <w:font w:name="Wingdings 2">
    <w:panose1 w:val="05020102010507070707"/>
    <w:charset w:val="02"/>
    <w:family w:val="roman"/>
    <w:pitch w:val="default"/>
    <w:sig w:usb0="00000000" w:usb1="00000000" w:usb2="00000000" w:usb3="00000000" w:csb0="80000000" w:csb1="00000000"/>
    <w:embedRegular r:id="rId10" w:fontKey="{1FF6B48B-013C-4708-B300-E774F217AC2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394B">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7E606">
                          <w:pPr>
                            <w:pStyle w:val="2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087E606">
                    <w:pPr>
                      <w:pStyle w:val="2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126F5">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2"/>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2"/>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2"/>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2"/>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2"/>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2"/>
                    </w:pPr>
                  </w:p>
                </w:txbxContent>
              </v:textbox>
            </v:shape>
          </w:pict>
        </mc:Fallback>
      </mc:AlternateContent>
    </w:r>
  </w:p>
  <w:p w14:paraId="5657E234">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2"/>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2"/>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2"/>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155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2"/>
                    </w:pPr>
                  </w:p>
                </w:txbxContent>
              </v:textbox>
            </v:shape>
          </w:pict>
        </mc:Fallback>
      </mc:AlternateContent>
    </w:r>
  </w:p>
  <w:p w14:paraId="76DCFF2F">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3D90F06"/>
    <w:multiLevelType w:val="singleLevel"/>
    <w:tmpl w:val="F3D90F06"/>
    <w:lvl w:ilvl="0" w:tentative="0">
      <w:start w:val="5"/>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7"/>
  </w:num>
  <w:num w:numId="5">
    <w:abstractNumId w:val="5"/>
  </w:num>
  <w:num w:numId="6">
    <w:abstractNumId w:val="9"/>
  </w:num>
  <w:num w:numId="7">
    <w:abstractNumId w:val="2"/>
  </w:num>
  <w:num w:numId="8">
    <w:abstractNumId w:val="8"/>
  </w:num>
  <w:num w:numId="9">
    <w:abstractNumId w:val="6"/>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BF52BD"/>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4832F2"/>
    <w:rsid w:val="014C6B51"/>
    <w:rsid w:val="014D51C1"/>
    <w:rsid w:val="01536978"/>
    <w:rsid w:val="01714809"/>
    <w:rsid w:val="0179546C"/>
    <w:rsid w:val="01C52478"/>
    <w:rsid w:val="02313F99"/>
    <w:rsid w:val="027408EE"/>
    <w:rsid w:val="02963F39"/>
    <w:rsid w:val="02B3095A"/>
    <w:rsid w:val="02B50726"/>
    <w:rsid w:val="02BA7274"/>
    <w:rsid w:val="03251978"/>
    <w:rsid w:val="0325718A"/>
    <w:rsid w:val="03A04F32"/>
    <w:rsid w:val="03AA5DB1"/>
    <w:rsid w:val="042921B6"/>
    <w:rsid w:val="043342B8"/>
    <w:rsid w:val="043B72BB"/>
    <w:rsid w:val="04461EC1"/>
    <w:rsid w:val="04504B3F"/>
    <w:rsid w:val="04510922"/>
    <w:rsid w:val="046B5540"/>
    <w:rsid w:val="04AD02B8"/>
    <w:rsid w:val="04DE51C8"/>
    <w:rsid w:val="04DF17D4"/>
    <w:rsid w:val="04EE7F1F"/>
    <w:rsid w:val="05087EDC"/>
    <w:rsid w:val="051931EE"/>
    <w:rsid w:val="05355B4E"/>
    <w:rsid w:val="053578FC"/>
    <w:rsid w:val="05412745"/>
    <w:rsid w:val="05491761"/>
    <w:rsid w:val="05A351AD"/>
    <w:rsid w:val="05F257ED"/>
    <w:rsid w:val="05F9748A"/>
    <w:rsid w:val="0619721E"/>
    <w:rsid w:val="06266F78"/>
    <w:rsid w:val="063D4D3E"/>
    <w:rsid w:val="063E7B7A"/>
    <w:rsid w:val="06582413"/>
    <w:rsid w:val="06682E69"/>
    <w:rsid w:val="066A28A8"/>
    <w:rsid w:val="067E33B8"/>
    <w:rsid w:val="06B96433"/>
    <w:rsid w:val="06E82FCB"/>
    <w:rsid w:val="06F34B95"/>
    <w:rsid w:val="07426476"/>
    <w:rsid w:val="07571DAC"/>
    <w:rsid w:val="07612C2A"/>
    <w:rsid w:val="07867620"/>
    <w:rsid w:val="07A34FF1"/>
    <w:rsid w:val="08916B94"/>
    <w:rsid w:val="089D4136"/>
    <w:rsid w:val="08D5567E"/>
    <w:rsid w:val="08D767A2"/>
    <w:rsid w:val="08DD171B"/>
    <w:rsid w:val="08E64121"/>
    <w:rsid w:val="09097B66"/>
    <w:rsid w:val="090F1795"/>
    <w:rsid w:val="093323A4"/>
    <w:rsid w:val="0942017F"/>
    <w:rsid w:val="096A4386"/>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CA33DAD"/>
    <w:rsid w:val="0D030966"/>
    <w:rsid w:val="0D0C2B7B"/>
    <w:rsid w:val="0D162709"/>
    <w:rsid w:val="0D202483"/>
    <w:rsid w:val="0D5D20E6"/>
    <w:rsid w:val="0D807235"/>
    <w:rsid w:val="0D9308F8"/>
    <w:rsid w:val="0DE76C3D"/>
    <w:rsid w:val="0E1A1D85"/>
    <w:rsid w:val="0E1B0427"/>
    <w:rsid w:val="0E204E4E"/>
    <w:rsid w:val="0E303356"/>
    <w:rsid w:val="0E750568"/>
    <w:rsid w:val="0E8A515C"/>
    <w:rsid w:val="0E961A83"/>
    <w:rsid w:val="0E9C3C97"/>
    <w:rsid w:val="0ED52E86"/>
    <w:rsid w:val="0F2D7A80"/>
    <w:rsid w:val="0F4277E5"/>
    <w:rsid w:val="0F697AF2"/>
    <w:rsid w:val="0F930041"/>
    <w:rsid w:val="0FA75561"/>
    <w:rsid w:val="0FB83603"/>
    <w:rsid w:val="0FCA77F1"/>
    <w:rsid w:val="0FCD5DCC"/>
    <w:rsid w:val="10043197"/>
    <w:rsid w:val="10270545"/>
    <w:rsid w:val="103409DF"/>
    <w:rsid w:val="1067214A"/>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A423A8"/>
    <w:rsid w:val="14CF399E"/>
    <w:rsid w:val="14D7277E"/>
    <w:rsid w:val="14F275B8"/>
    <w:rsid w:val="15400323"/>
    <w:rsid w:val="15433A9B"/>
    <w:rsid w:val="15925A46"/>
    <w:rsid w:val="15995C85"/>
    <w:rsid w:val="15F34DF0"/>
    <w:rsid w:val="15FC2F04"/>
    <w:rsid w:val="16181FAC"/>
    <w:rsid w:val="168756A0"/>
    <w:rsid w:val="16A2521C"/>
    <w:rsid w:val="16CF7BB0"/>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DF38C8"/>
    <w:rsid w:val="1B212F72"/>
    <w:rsid w:val="1B2B1506"/>
    <w:rsid w:val="1B333D5D"/>
    <w:rsid w:val="1B392643"/>
    <w:rsid w:val="1B4F7512"/>
    <w:rsid w:val="1B587618"/>
    <w:rsid w:val="1B5F19C7"/>
    <w:rsid w:val="1B612DA1"/>
    <w:rsid w:val="1B8C2514"/>
    <w:rsid w:val="1BC85FA4"/>
    <w:rsid w:val="1BF367A5"/>
    <w:rsid w:val="1C1C709B"/>
    <w:rsid w:val="1C1D6162"/>
    <w:rsid w:val="1C47643B"/>
    <w:rsid w:val="1C4F6795"/>
    <w:rsid w:val="1C9F6814"/>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702632"/>
    <w:rsid w:val="1F7E2174"/>
    <w:rsid w:val="1F845B16"/>
    <w:rsid w:val="1FA3607E"/>
    <w:rsid w:val="1FB64E98"/>
    <w:rsid w:val="1FCA360B"/>
    <w:rsid w:val="1FEA7809"/>
    <w:rsid w:val="20062169"/>
    <w:rsid w:val="20107567"/>
    <w:rsid w:val="20605D1D"/>
    <w:rsid w:val="20A420AE"/>
    <w:rsid w:val="20AB56C6"/>
    <w:rsid w:val="21093CBF"/>
    <w:rsid w:val="21547789"/>
    <w:rsid w:val="2176507C"/>
    <w:rsid w:val="21A1039B"/>
    <w:rsid w:val="21AE2AB8"/>
    <w:rsid w:val="21BE35AF"/>
    <w:rsid w:val="21C11174"/>
    <w:rsid w:val="22113368"/>
    <w:rsid w:val="22244B28"/>
    <w:rsid w:val="223034CD"/>
    <w:rsid w:val="22396826"/>
    <w:rsid w:val="22467FD4"/>
    <w:rsid w:val="229451FD"/>
    <w:rsid w:val="22A12DB6"/>
    <w:rsid w:val="22F64717"/>
    <w:rsid w:val="236356D1"/>
    <w:rsid w:val="236773C3"/>
    <w:rsid w:val="23A91C83"/>
    <w:rsid w:val="23C2284B"/>
    <w:rsid w:val="23C962E8"/>
    <w:rsid w:val="246D2675"/>
    <w:rsid w:val="247E4FED"/>
    <w:rsid w:val="24AD78E0"/>
    <w:rsid w:val="24B30BE8"/>
    <w:rsid w:val="24B37628"/>
    <w:rsid w:val="24C22B02"/>
    <w:rsid w:val="24E34060"/>
    <w:rsid w:val="251B0465"/>
    <w:rsid w:val="253A0491"/>
    <w:rsid w:val="254E0478"/>
    <w:rsid w:val="25535E50"/>
    <w:rsid w:val="257D2ECD"/>
    <w:rsid w:val="25B14925"/>
    <w:rsid w:val="25E036B2"/>
    <w:rsid w:val="25E9082A"/>
    <w:rsid w:val="25F42473"/>
    <w:rsid w:val="264E03C6"/>
    <w:rsid w:val="269C17B8"/>
    <w:rsid w:val="26AF2D79"/>
    <w:rsid w:val="26B34B91"/>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7C3EDF"/>
    <w:rsid w:val="2CB35427"/>
    <w:rsid w:val="2CD95958"/>
    <w:rsid w:val="2CDF446E"/>
    <w:rsid w:val="2D025012"/>
    <w:rsid w:val="2D4178F0"/>
    <w:rsid w:val="2DAE631A"/>
    <w:rsid w:val="2DD877E0"/>
    <w:rsid w:val="2DE616C9"/>
    <w:rsid w:val="2DFC2451"/>
    <w:rsid w:val="2E3422F8"/>
    <w:rsid w:val="2E5301DB"/>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2FF344B8"/>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B2774"/>
    <w:rsid w:val="335F1E64"/>
    <w:rsid w:val="33A4642E"/>
    <w:rsid w:val="33D4039C"/>
    <w:rsid w:val="33D47E05"/>
    <w:rsid w:val="33DE547F"/>
    <w:rsid w:val="33E505BB"/>
    <w:rsid w:val="3413677D"/>
    <w:rsid w:val="342B544B"/>
    <w:rsid w:val="345E036E"/>
    <w:rsid w:val="34C47852"/>
    <w:rsid w:val="34DB19BE"/>
    <w:rsid w:val="34DE1E4F"/>
    <w:rsid w:val="34DF325D"/>
    <w:rsid w:val="34F07DB1"/>
    <w:rsid w:val="34F207AF"/>
    <w:rsid w:val="35092435"/>
    <w:rsid w:val="356C2617"/>
    <w:rsid w:val="359009FB"/>
    <w:rsid w:val="35B75F88"/>
    <w:rsid w:val="35D354B8"/>
    <w:rsid w:val="35D4025C"/>
    <w:rsid w:val="362666BC"/>
    <w:rsid w:val="368A6B11"/>
    <w:rsid w:val="37085B1F"/>
    <w:rsid w:val="372E04CB"/>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AD95AC4"/>
    <w:rsid w:val="3B0D21A6"/>
    <w:rsid w:val="3B451BFD"/>
    <w:rsid w:val="3B47390A"/>
    <w:rsid w:val="3B69577B"/>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D037D04"/>
    <w:rsid w:val="3D08076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EC147E"/>
    <w:rsid w:val="40376375"/>
    <w:rsid w:val="40786313"/>
    <w:rsid w:val="40BE01CA"/>
    <w:rsid w:val="412732B7"/>
    <w:rsid w:val="4127791F"/>
    <w:rsid w:val="41281794"/>
    <w:rsid w:val="413C1FDF"/>
    <w:rsid w:val="417D0085"/>
    <w:rsid w:val="41806A69"/>
    <w:rsid w:val="419173C3"/>
    <w:rsid w:val="41B0259C"/>
    <w:rsid w:val="41B20CD4"/>
    <w:rsid w:val="41BC6F1C"/>
    <w:rsid w:val="41C061C4"/>
    <w:rsid w:val="41EF0857"/>
    <w:rsid w:val="41EF2363"/>
    <w:rsid w:val="41F77860"/>
    <w:rsid w:val="424A4B98"/>
    <w:rsid w:val="42581D3A"/>
    <w:rsid w:val="42CF76AF"/>
    <w:rsid w:val="42D860A5"/>
    <w:rsid w:val="42ED2EA4"/>
    <w:rsid w:val="42F6649D"/>
    <w:rsid w:val="42FE0080"/>
    <w:rsid w:val="43315D2E"/>
    <w:rsid w:val="43670C99"/>
    <w:rsid w:val="43824A1C"/>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C40CEB"/>
    <w:rsid w:val="48DB38E3"/>
    <w:rsid w:val="49001B5E"/>
    <w:rsid w:val="49376DB0"/>
    <w:rsid w:val="49535B70"/>
    <w:rsid w:val="49804BB7"/>
    <w:rsid w:val="49826DCB"/>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9D711A"/>
    <w:rsid w:val="50070E2C"/>
    <w:rsid w:val="501112F3"/>
    <w:rsid w:val="504B57F2"/>
    <w:rsid w:val="504E4B6F"/>
    <w:rsid w:val="50850D04"/>
    <w:rsid w:val="50C5433A"/>
    <w:rsid w:val="50C62BC7"/>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402166"/>
    <w:rsid w:val="5B5953B0"/>
    <w:rsid w:val="5B630802"/>
    <w:rsid w:val="5B807F68"/>
    <w:rsid w:val="5BA72CE5"/>
    <w:rsid w:val="5C034D53"/>
    <w:rsid w:val="5C0A43A9"/>
    <w:rsid w:val="5C146454"/>
    <w:rsid w:val="5C647631"/>
    <w:rsid w:val="5C7B276E"/>
    <w:rsid w:val="5C89392A"/>
    <w:rsid w:val="5C9A1694"/>
    <w:rsid w:val="5CC96BFE"/>
    <w:rsid w:val="5D722852"/>
    <w:rsid w:val="5DA13E95"/>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4F09E7"/>
    <w:rsid w:val="607777D6"/>
    <w:rsid w:val="608508AD"/>
    <w:rsid w:val="608F5287"/>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B362C8"/>
    <w:rsid w:val="62C1330E"/>
    <w:rsid w:val="633D0FCB"/>
    <w:rsid w:val="633F11E7"/>
    <w:rsid w:val="6342085E"/>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817BAC"/>
    <w:rsid w:val="689A5E59"/>
    <w:rsid w:val="68A94E70"/>
    <w:rsid w:val="68BA5430"/>
    <w:rsid w:val="68EE72DF"/>
    <w:rsid w:val="68FE744E"/>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57393D"/>
    <w:rsid w:val="6B613714"/>
    <w:rsid w:val="6B686C59"/>
    <w:rsid w:val="6B691672"/>
    <w:rsid w:val="6BAF2C82"/>
    <w:rsid w:val="6BC06C3D"/>
    <w:rsid w:val="6BD0287D"/>
    <w:rsid w:val="6BE97F42"/>
    <w:rsid w:val="6C270A6A"/>
    <w:rsid w:val="6C5E6A51"/>
    <w:rsid w:val="6C6513C3"/>
    <w:rsid w:val="6C744268"/>
    <w:rsid w:val="6C913746"/>
    <w:rsid w:val="6C9E4A60"/>
    <w:rsid w:val="6CA64085"/>
    <w:rsid w:val="6CD62D03"/>
    <w:rsid w:val="6CD97FB6"/>
    <w:rsid w:val="6D0E5050"/>
    <w:rsid w:val="6D4B22B8"/>
    <w:rsid w:val="6D930013"/>
    <w:rsid w:val="6DB0626B"/>
    <w:rsid w:val="6DBE0F5A"/>
    <w:rsid w:val="6DD54C21"/>
    <w:rsid w:val="6DFB0400"/>
    <w:rsid w:val="6E1A1656"/>
    <w:rsid w:val="6E231DD6"/>
    <w:rsid w:val="6E274D51"/>
    <w:rsid w:val="6E5A5288"/>
    <w:rsid w:val="6E9A5523"/>
    <w:rsid w:val="6EB40B82"/>
    <w:rsid w:val="6EE013EE"/>
    <w:rsid w:val="6EE079F1"/>
    <w:rsid w:val="6EE42C42"/>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2D4B5D"/>
    <w:rsid w:val="73393C88"/>
    <w:rsid w:val="7362513F"/>
    <w:rsid w:val="73771D49"/>
    <w:rsid w:val="73A1354E"/>
    <w:rsid w:val="74006876"/>
    <w:rsid w:val="7407365B"/>
    <w:rsid w:val="745B5755"/>
    <w:rsid w:val="7460757C"/>
    <w:rsid w:val="747607E0"/>
    <w:rsid w:val="74A11E7D"/>
    <w:rsid w:val="74C4654A"/>
    <w:rsid w:val="74FD680C"/>
    <w:rsid w:val="75387844"/>
    <w:rsid w:val="753A79B9"/>
    <w:rsid w:val="75590B0A"/>
    <w:rsid w:val="7582279F"/>
    <w:rsid w:val="75843EB5"/>
    <w:rsid w:val="75894CFE"/>
    <w:rsid w:val="75BB71AF"/>
    <w:rsid w:val="75D05CCE"/>
    <w:rsid w:val="75F01962"/>
    <w:rsid w:val="75F145C2"/>
    <w:rsid w:val="760E19DF"/>
    <w:rsid w:val="76330546"/>
    <w:rsid w:val="764E52E0"/>
    <w:rsid w:val="76557F3E"/>
    <w:rsid w:val="76676A53"/>
    <w:rsid w:val="76806C9E"/>
    <w:rsid w:val="76961750"/>
    <w:rsid w:val="76A3294D"/>
    <w:rsid w:val="76B620A1"/>
    <w:rsid w:val="76F20814"/>
    <w:rsid w:val="77462524"/>
    <w:rsid w:val="776C358D"/>
    <w:rsid w:val="77972F48"/>
    <w:rsid w:val="779A6594"/>
    <w:rsid w:val="77A21064"/>
    <w:rsid w:val="77E34EB2"/>
    <w:rsid w:val="77E537F1"/>
    <w:rsid w:val="78071E5D"/>
    <w:rsid w:val="780B56E4"/>
    <w:rsid w:val="781564B8"/>
    <w:rsid w:val="781B2E5F"/>
    <w:rsid w:val="78224ACF"/>
    <w:rsid w:val="783E7E0B"/>
    <w:rsid w:val="788336F5"/>
    <w:rsid w:val="78CD6DCC"/>
    <w:rsid w:val="78CE0BEB"/>
    <w:rsid w:val="78D07CAF"/>
    <w:rsid w:val="78DE12D7"/>
    <w:rsid w:val="79210683"/>
    <w:rsid w:val="796926C2"/>
    <w:rsid w:val="799C3465"/>
    <w:rsid w:val="79B14EC4"/>
    <w:rsid w:val="79E9683F"/>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93423F"/>
    <w:rsid w:val="7DB23041"/>
    <w:rsid w:val="7DBB7264"/>
    <w:rsid w:val="7E253FEC"/>
    <w:rsid w:val="7E5F7809"/>
    <w:rsid w:val="7E947BDA"/>
    <w:rsid w:val="7ED56C53"/>
    <w:rsid w:val="7EEA1BAF"/>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footer"/>
    <w:basedOn w:val="1"/>
    <w:link w:val="71"/>
    <w:qFormat/>
    <w:uiPriority w:val="99"/>
    <w:pPr>
      <w:tabs>
        <w:tab w:val="center" w:pos="4153"/>
        <w:tab w:val="right" w:pos="8306"/>
      </w:tabs>
      <w:snapToGrid w:val="0"/>
      <w:jc w:val="left"/>
    </w:pPr>
    <w:rPr>
      <w:sz w:val="18"/>
    </w:rPr>
  </w:style>
  <w:style w:type="paragraph" w:styleId="23">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3"/>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tiff"/><Relationship Id="rId41" Type="http://schemas.openxmlformats.org/officeDocument/2006/relationships/image" Target="media/image1.tiff"/><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13305</Words>
  <Characters>14282</Characters>
  <Lines>364</Lines>
  <Paragraphs>102</Paragraphs>
  <TotalTime>10</TotalTime>
  <ScaleCrop>false</ScaleCrop>
  <LinksUpToDate>false</LinksUpToDate>
  <CharactersWithSpaces>14459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wosyh</cp:lastModifiedBy>
  <dcterms:modified xsi:type="dcterms:W3CDTF">2025-11-24T06:40:38Z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0B1218D1AFC44B4A927B11B1D638B56B_11</vt:lpwstr>
  </property>
  <property fmtid="{D5CDD505-2E9C-101B-9397-08002B2CF9AE}" pid="4" name="KSOTemplateDocerSaveRecord">
    <vt:lpwstr>eyJoZGlkIjoiNDE1M2QwOGQyZTlkOTk1YTk3ZGYwNjRmMTMwNWQ1MjEiLCJ1c2VySWQiOiIyOTIxNzE2NzgifQ==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