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0987"/>
      <w:bookmarkStart w:id="1" w:name="_Toc15310"/>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科技园区加装逃生缓降锁安装项目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w:t>
      </w:r>
    </w:p>
    <w:p w14:paraId="35DC8281">
      <w:pPr>
        <w:pStyle w:val="34"/>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6518"/>
      <w:bookmarkStart w:id="3" w:name="_Toc23462"/>
      <w:bookmarkStart w:id="4" w:name="_Toc131406235"/>
      <w:r>
        <w:rPr>
          <w:rFonts w:hint="eastAsia" w:asciiTheme="minorEastAsia" w:hAnsiTheme="minorEastAsia" w:eastAsiaTheme="minorEastAsia" w:cstheme="minorEastAsia"/>
          <w:szCs w:val="32"/>
        </w:rPr>
        <w:br w:type="page"/>
      </w:r>
    </w:p>
    <w:p w14:paraId="16B17986">
      <w:pPr>
        <w:pStyle w:val="5"/>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科技园区加装逃生缓降锁安装项目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52045514"/>
      <w:bookmarkEnd w:id="5"/>
      <w:bookmarkStart w:id="6" w:name="_Toc179632530"/>
      <w:bookmarkEnd w:id="6"/>
      <w:bookmarkStart w:id="7" w:name="_Toc152042290"/>
      <w:bookmarkEnd w:id="7"/>
      <w:bookmarkStart w:id="8" w:name="_Toc285809451"/>
      <w:bookmarkEnd w:id="8"/>
      <w:bookmarkStart w:id="9" w:name="_Toc144974482"/>
      <w:bookmarkEnd w:id="9"/>
      <w:r>
        <w:rPr>
          <w:rFonts w:hint="default" w:asciiTheme="minorEastAsia" w:hAnsiTheme="minorEastAsia" w:eastAsiaTheme="minorEastAsia" w:cstheme="minorEastAsia"/>
          <w:kern w:val="0"/>
          <w:sz w:val="24"/>
          <w:szCs w:val="24"/>
          <w:lang w:val="en-US" w:eastAsia="zh-CN" w:bidi="en-US"/>
        </w:rPr>
        <w:t>1．</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科技园区加装逃生缓降锁安装项目  </w:t>
      </w:r>
    </w:p>
    <w:p w14:paraId="50F0AEDD">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default" w:asciiTheme="minorEastAsia" w:hAnsiTheme="minorEastAsia" w:eastAsiaTheme="minorEastAsia" w:cstheme="minorEastAsia"/>
          <w:kern w:val="0"/>
          <w:sz w:val="24"/>
          <w:szCs w:val="24"/>
          <w:lang w:val="en-US" w:eastAsia="zh-CN" w:bidi="ar-SA"/>
        </w:rPr>
        <w:t>2．</w:t>
      </w: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FSCZB2025120127</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eastAsia" w:ascii="宋体" w:hAnsi="宋体" w:cs="Times New Roman"/>
          <w:b w:val="0"/>
          <w:bCs w:val="0"/>
          <w:color w:val="000000"/>
          <w:kern w:val="2"/>
          <w:sz w:val="24"/>
          <w:szCs w:val="24"/>
          <w:lang w:val="en-US" w:eastAsia="zh-CN" w:bidi="zh-CN"/>
        </w:rPr>
        <w:t>3</w:t>
      </w:r>
      <w:r>
        <w:rPr>
          <w:rFonts w:hint="default" w:ascii="宋体" w:hAnsi="宋体" w:eastAsia="宋体" w:cs="Times New Roman"/>
          <w:b w:val="0"/>
          <w:bCs w:val="0"/>
          <w:color w:val="000000"/>
          <w:kern w:val="2"/>
          <w:sz w:val="24"/>
          <w:szCs w:val="24"/>
          <w:lang w:val="en-US" w:eastAsia="zh-CN" w:bidi="zh-CN"/>
        </w:rPr>
        <w:t>．</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green"/>
          <w:u w:val="single"/>
          <w:lang w:val="en-US" w:eastAsia="zh-CN" w:bidi="en-US"/>
        </w:rPr>
        <w:t>中国重汽集团</w:t>
      </w:r>
      <w:r>
        <w:rPr>
          <w:rFonts w:hint="eastAsia" w:asciiTheme="minorEastAsia" w:hAnsiTheme="minorEastAsia" w:eastAsiaTheme="minorEastAsia" w:cstheme="minorEastAsia"/>
          <w:sz w:val="24"/>
          <w:szCs w:val="24"/>
          <w:highlight w:val="green"/>
          <w:u w:val="single"/>
          <w:lang w:val="en-US" w:eastAsia="zh-CN"/>
        </w:rPr>
        <w:t>科技园区</w:t>
      </w:r>
      <w:r>
        <w:rPr>
          <w:rFonts w:hint="eastAsia" w:asciiTheme="minorEastAsia" w:hAnsiTheme="minorEastAsia" w:eastAsiaTheme="minorEastAsia" w:cstheme="minorEastAsia"/>
          <w:kern w:val="0"/>
          <w:sz w:val="24"/>
          <w:szCs w:val="24"/>
          <w:highlight w:val="green"/>
          <w:u w:val="single"/>
          <w:lang w:bidi="en-US"/>
        </w:rPr>
        <w:t>，山东省济南市</w:t>
      </w:r>
      <w:r>
        <w:rPr>
          <w:rFonts w:hint="eastAsia" w:asciiTheme="minorEastAsia" w:hAnsiTheme="minorEastAsia" w:eastAsiaTheme="minorEastAsia" w:cstheme="minorEastAsia"/>
          <w:kern w:val="0"/>
          <w:sz w:val="24"/>
          <w:szCs w:val="24"/>
          <w:highlight w:val="green"/>
          <w:u w:val="single"/>
          <w:lang w:val="en-US" w:eastAsia="zh-CN" w:bidi="en-US"/>
        </w:rPr>
        <w:t>历城</w:t>
      </w:r>
      <w:r>
        <w:rPr>
          <w:rFonts w:hint="eastAsia" w:asciiTheme="minorEastAsia" w:hAnsiTheme="minorEastAsia" w:eastAsiaTheme="minorEastAsia" w:cstheme="minorEastAsia"/>
          <w:kern w:val="0"/>
          <w:sz w:val="24"/>
          <w:szCs w:val="24"/>
          <w:highlight w:val="green"/>
          <w:u w:val="single"/>
          <w:lang w:bidi="en-US"/>
        </w:rPr>
        <w:t>区</w:t>
      </w:r>
      <w:r>
        <w:rPr>
          <w:rFonts w:hint="eastAsia" w:asciiTheme="minorEastAsia" w:hAnsiTheme="minorEastAsia" w:eastAsiaTheme="minorEastAsia" w:cstheme="minorEastAsia"/>
          <w:kern w:val="0"/>
          <w:sz w:val="24"/>
          <w:szCs w:val="24"/>
          <w:highlight w:val="green"/>
          <w:u w:val="single"/>
          <w:lang w:val="en-US" w:eastAsia="zh-CN" w:bidi="en-US"/>
        </w:rPr>
        <w:t>华奥路7</w:t>
      </w:r>
      <w:r>
        <w:rPr>
          <w:rFonts w:hint="eastAsia" w:asciiTheme="minorEastAsia" w:hAnsiTheme="minorEastAsia" w:eastAsiaTheme="minorEastAsia" w:cstheme="minorEastAsia"/>
          <w:kern w:val="0"/>
          <w:sz w:val="24"/>
          <w:szCs w:val="24"/>
          <w:highlight w:val="green"/>
          <w:u w:val="single"/>
          <w:lang w:bidi="en-US"/>
        </w:rPr>
        <w:t>77号</w:t>
      </w:r>
      <w:r>
        <w:rPr>
          <w:rFonts w:hint="eastAsia" w:asciiTheme="minorEastAsia" w:hAnsiTheme="minorEastAsia" w:eastAsiaTheme="minorEastAsia" w:cstheme="minorEastAsia"/>
          <w:kern w:val="0"/>
          <w:sz w:val="24"/>
          <w:szCs w:val="24"/>
          <w:highlight w:val="none"/>
          <w:u w:val="single"/>
          <w:lang w:bidi="en-US"/>
        </w:rPr>
        <w:t>；</w:t>
      </w:r>
    </w:p>
    <w:p w14:paraId="1493F4D6">
      <w:pPr>
        <w:spacing w:line="360" w:lineRule="auto"/>
        <w:jc w:val="left"/>
        <w:rPr>
          <w:rFonts w:hint="eastAsia" w:ascii="宋体" w:hAnsi="宋体"/>
          <w:b w:val="0"/>
          <w:bCs w:val="0"/>
          <w:color w:val="000000"/>
          <w:sz w:val="24"/>
          <w:szCs w:val="24"/>
          <w:lang w:val="en-US" w:eastAsia="zh-CN" w:bidi="zh-CN"/>
        </w:rPr>
      </w:pPr>
      <w:r>
        <w:rPr>
          <w:rFonts w:hint="default" w:ascii="宋体" w:hAnsi="宋体" w:eastAsia="宋体" w:cs="Times New Roman"/>
          <w:b w:val="0"/>
          <w:bCs w:val="0"/>
          <w:color w:val="000000"/>
          <w:kern w:val="2"/>
          <w:sz w:val="24"/>
          <w:szCs w:val="24"/>
          <w:lang w:val="en-US" w:eastAsia="zh-CN" w:bidi="zh-CN"/>
        </w:rPr>
        <w:t>4．</w:t>
      </w:r>
      <w:r>
        <w:rPr>
          <w:rFonts w:hint="eastAsia" w:asciiTheme="minorEastAsia" w:hAnsiTheme="minorEastAsia" w:eastAsiaTheme="minorEastAsia" w:cstheme="minorEastAsia"/>
          <w:kern w:val="0"/>
          <w:sz w:val="24"/>
          <w:szCs w:val="24"/>
          <w:highlight w:val="none"/>
          <w:lang w:val="en-US" w:eastAsia="zh-CN" w:bidi="en-US"/>
        </w:rPr>
        <w:t>项目概况：根据《山东省消防条例》第二十二条，需在未来科技大厦 4-18 层、科技大厦避难层 12 层、27 层（每层 2 个）加装逃生缓降索，现采取公开招标方式确定施工单位进行采购安装。</w:t>
      </w:r>
    </w:p>
    <w:p w14:paraId="1AEA1A1F">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default" w:asciiTheme="minorEastAsia" w:hAnsiTheme="minorEastAsia" w:eastAsiaTheme="minorEastAsia" w:cstheme="minorEastAsia"/>
          <w:kern w:val="0"/>
          <w:sz w:val="24"/>
          <w:szCs w:val="24"/>
          <w:lang w:val="en-US" w:eastAsia="zh-CN" w:bidi="en-US"/>
        </w:rPr>
        <w:t>5．</w:t>
      </w: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2A02F251">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参加投标的单位，必须是在中华人民共和国合法注册，具有独立法人资格的公司，且成立五年以上（含五年，以注册日期开始计算，至开标之日不少于五年），具有有效的营业执照且注册资金500万元；具有安全生产许可证；</w:t>
      </w:r>
    </w:p>
    <w:p w14:paraId="7007F77C">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2、建筑装修装饰工程专业承包资质贰级；</w:t>
      </w:r>
    </w:p>
    <w:p w14:paraId="3DA3E615">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3、防水防腐保温工程专业承包贰级；</w:t>
      </w:r>
    </w:p>
    <w:p w14:paraId="4FEF6388">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4、获得所供逃生缓降器品牌的厂家授权；</w:t>
      </w:r>
    </w:p>
    <w:p w14:paraId="50B19F91">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5、施工劳务不分等级；</w:t>
      </w:r>
    </w:p>
    <w:p w14:paraId="0DF6CB75">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6、具有良好的企业信誉和健全的财务会计制度，财务状况和市场行为良好。没有处于被有权机关吊销营业执照、吊销资质、停业整顿、取消投标资格以及财产被接管、冻结或进入破产程序等；</w:t>
      </w:r>
    </w:p>
    <w:p w14:paraId="223E380A">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7、投标人须提供近三年的公司财务报表（资产负债表、损益表、现金流量表）；</w:t>
      </w:r>
    </w:p>
    <w:p w14:paraId="52F3C12D">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8、有依法缴纳税收和社会保障金的良好纪录；</w:t>
      </w:r>
    </w:p>
    <w:p w14:paraId="61AA710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9、投标单位应具备并提供近三年相同或类似项目规模的维修业绩；</w:t>
      </w:r>
    </w:p>
    <w:p w14:paraId="235F5A8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10、投标单位三年内无违法及重大违规记录；</w:t>
      </w:r>
    </w:p>
    <w:p w14:paraId="5E43215C">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11、投标单位在国家市场监督管理总局的《国家企业信用信息公示系统》、信用中国等无相关行业行政处罚及失信记录等信息，无招标违规、谎报年度报告信息、提供虚假资质资料等行为或其他行政处罚记录；</w:t>
      </w:r>
    </w:p>
    <w:p w14:paraId="55647922">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12、未被中国重型汽车集团有限公司列入黑名单（《黑名单》指投标人与招标人在以往或正在进行的合作中，存在招标人认为的违反合同约定或违反法律法规等的失信行为）；</w:t>
      </w:r>
    </w:p>
    <w:p w14:paraId="6E1A689F">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13、在中国重汽集团有限公司服务期间无提前终止合同违约或无因服务质量不到位提前终止合同的情况；</w:t>
      </w:r>
    </w:p>
    <w:p w14:paraId="2411BB22">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14、供方的直接或间接股东、法定代表人、董事、监事、高管非重汽员工及其亲属；</w:t>
      </w:r>
    </w:p>
    <w:p w14:paraId="0467F9C2">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15、如有投标单位资料造假，一经发现，5年内不得参与集团内所有消防类项目投标资格；</w:t>
      </w:r>
    </w:p>
    <w:p w14:paraId="04A3E43A">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16、投标人须提供具有统一社会信用代码的新版营业执照副本复印件（加盖公章）；参与投标时需携带营业执照副本原件以及投标单位授权人身份证原件以供查验；</w:t>
      </w:r>
    </w:p>
    <w:p w14:paraId="4C7F9C0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17、本次投标，各投标单位不允许联合体投标，确定一家中标单位；</w:t>
      </w:r>
    </w:p>
    <w:p w14:paraId="146AD8C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18、相关法律法规对合格投标单位的其他要求。</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4B7DDBA9">
      <w:pPr>
        <w:keepNext/>
        <w:keepLines/>
        <w:spacing w:line="360" w:lineRule="auto"/>
        <w:ind w:firstLine="482" w:firstLineChars="200"/>
        <w:outlineLvl w:val="2"/>
        <w:rPr>
          <w:rFonts w:hint="eastAsia" w:ascii="宋体" w:hAnsi="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报名截止时间：2025年12月21日17：00</w:t>
      </w:r>
    </w:p>
    <w:p w14:paraId="048E9A12">
      <w:pPr>
        <w:keepNext/>
        <w:keepLines/>
        <w:spacing w:line="360" w:lineRule="auto"/>
        <w:ind w:firstLine="482" w:firstLineChars="200"/>
        <w:outlineLvl w:val="2"/>
        <w:rPr>
          <w:rFonts w:hint="eastAsia" w:ascii="宋体" w:hAnsi="Courier New" w:eastAsia="宋体" w:cs="Times New Roman"/>
          <w:kern w:val="2"/>
          <w:sz w:val="24"/>
          <w:szCs w:val="24"/>
        </w:rPr>
      </w:pPr>
      <w:r>
        <w:rPr>
          <w:rFonts w:hint="eastAsia" w:ascii="宋体" w:hAnsi="宋体" w:eastAsia="宋体" w:cs="宋体"/>
          <w:b/>
          <w:bCs/>
          <w:kern w:val="2"/>
          <w:sz w:val="24"/>
          <w:szCs w:val="24"/>
          <w:lang w:val="en-US" w:eastAsia="zh-CN" w:bidi="ar"/>
        </w:rPr>
        <w:t>报名方式</w:t>
      </w:r>
      <w:r>
        <w:rPr>
          <w:rFonts w:hint="eastAsia" w:ascii="宋体" w:hAnsi="宋体" w:eastAsia="宋体" w:cs="宋体"/>
          <w:kern w:val="2"/>
          <w:sz w:val="24"/>
          <w:szCs w:val="24"/>
          <w:lang w:val="en-US" w:eastAsia="zh-CN" w:bidi="ar"/>
        </w:rPr>
        <w:t>：</w:t>
      </w:r>
    </w:p>
    <w:p w14:paraId="7053B8EF">
      <w:pPr>
        <w:pStyle w:val="45"/>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b/>
          <w:bCs/>
          <w:kern w:val="2"/>
          <w:sz w:val="24"/>
          <w:szCs w:val="24"/>
          <w:lang w:val="en-US" w:eastAsia="zh-CN" w:bidi="ar"/>
        </w:rPr>
      </w:pPr>
      <w:r>
        <w:rPr>
          <w:rFonts w:hint="eastAsia" w:ascii="宋体" w:hAnsi="宋体" w:eastAsia="宋体" w:cs="宋体"/>
          <w:kern w:val="2"/>
          <w:sz w:val="24"/>
          <w:szCs w:val="24"/>
          <w:lang w:val="en-US" w:eastAsia="zh-CN" w:bidi="ar"/>
        </w:rPr>
        <w:t>拟投标人根据招标人在中国重汽官网公开媒体上发布的招标信息，</w:t>
      </w:r>
      <w:r>
        <w:rPr>
          <w:rFonts w:hint="eastAsia" w:ascii="宋体" w:hAnsi="宋体" w:eastAsia="宋体" w:cs="宋体"/>
          <w:color w:val="000000"/>
          <w:kern w:val="2"/>
          <w:sz w:val="24"/>
          <w:szCs w:val="24"/>
          <w:lang w:val="en-US" w:eastAsia="zh-CN" w:bidi="ar"/>
        </w:rPr>
        <w:t>在“中国重汽e采通”平台报名，具体流程如下：</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①系统注册与信息维护</w:t>
      </w:r>
    </w:p>
    <w:p w14:paraId="0B8AE87B">
      <w:pPr>
        <w:pStyle w:val="45"/>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lang w:val="en-US" w:eastAsia="zh-CN" w:bidi="ar"/>
        </w:rPr>
      </w:pPr>
      <w:r>
        <w:rPr>
          <w:rFonts w:hint="eastAsia" w:ascii="宋体" w:hAnsi="宋体" w:eastAsia="宋体" w:cs="宋体"/>
          <w:b/>
          <w:bCs/>
          <w:kern w:val="2"/>
          <w:sz w:val="24"/>
          <w:szCs w:val="24"/>
          <w:lang w:val="en-US" w:eastAsia="zh-CN" w:bidi="ar"/>
        </w:rPr>
        <w:t>首次注册供应商</w:t>
      </w:r>
      <w:r>
        <w:rPr>
          <w:rFonts w:hint="eastAsia" w:ascii="宋体" w:hAnsi="宋体" w:eastAsia="宋体" w:cs="宋体"/>
          <w:kern w:val="2"/>
          <w:sz w:val="24"/>
          <w:szCs w:val="24"/>
          <w:lang w:val="en-US" w:eastAsia="zh-CN" w:bidi="ar"/>
        </w:rPr>
        <w:t>：请根据《SRM非生产供应商注册手册》（附件一）完成平台账号注册。</w:t>
      </w:r>
    </w:p>
    <w:p w14:paraId="7090C312">
      <w:pPr>
        <w:pStyle w:val="45"/>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rPr>
      </w:pPr>
      <w:r>
        <w:rPr>
          <w:rFonts w:hint="eastAsia" w:ascii="宋体" w:hAnsi="宋体" w:eastAsia="宋体" w:cs="宋体"/>
          <w:b/>
          <w:bCs/>
          <w:kern w:val="2"/>
          <w:sz w:val="24"/>
          <w:szCs w:val="24"/>
          <w:lang w:val="en-US" w:eastAsia="zh-CN" w:bidi="ar"/>
        </w:rPr>
        <w:t>已注册供应商</w:t>
      </w:r>
      <w:r>
        <w:rPr>
          <w:rFonts w:hint="eastAsia" w:ascii="宋体" w:hAnsi="宋体" w:eastAsia="宋体" w:cs="宋体"/>
          <w:kern w:val="2"/>
          <w:sz w:val="24"/>
          <w:szCs w:val="24"/>
          <w:lang w:val="en-US" w:eastAsia="zh-CN" w:bidi="ar"/>
        </w:rPr>
        <w:t>：请登录系统核对系统中2022-2024年度财务数据。如尚未填写或信息不全，请参照《SRM非生产供应商注册手册》（附件二）及时进行补充与更新，确保信息真实、完整。</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②应标流程</w:t>
      </w:r>
    </w:p>
    <w:p w14:paraId="23D4D124">
      <w:pPr>
        <w:pStyle w:val="45"/>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14:paraId="618918DC">
      <w:pPr>
        <w:pStyle w:val="45"/>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若为</w:t>
      </w:r>
      <w:r>
        <w:rPr>
          <w:rFonts w:hint="eastAsia" w:ascii="宋体" w:hAnsi="宋体" w:eastAsia="宋体" w:cs="宋体"/>
          <w:b/>
          <w:bCs/>
          <w:kern w:val="2"/>
          <w:sz w:val="24"/>
          <w:szCs w:val="24"/>
          <w:lang w:val="en-US" w:eastAsia="zh-CN" w:bidi="ar"/>
        </w:rPr>
        <w:t>代理商应标</w:t>
      </w:r>
      <w:r>
        <w:rPr>
          <w:rFonts w:hint="eastAsia" w:ascii="宋体" w:hAnsi="宋体" w:eastAsia="宋体" w:cs="宋体"/>
          <w:kern w:val="2"/>
          <w:sz w:val="24"/>
          <w:szCs w:val="24"/>
          <w:lang w:val="en-US" w:eastAsia="zh-CN" w:bidi="ar"/>
        </w:rPr>
        <w:t>，请在应标后</w:t>
      </w:r>
      <w:r>
        <w:rPr>
          <w:rFonts w:hint="eastAsia" w:ascii="宋体" w:hAnsi="宋体" w:eastAsia="宋体" w:cs="宋体"/>
          <w:b/>
          <w:bCs/>
          <w:kern w:val="2"/>
          <w:sz w:val="24"/>
          <w:szCs w:val="24"/>
          <w:lang w:val="en-US" w:eastAsia="zh-CN" w:bidi="ar"/>
        </w:rPr>
        <w:t>主动联系商务联系人</w:t>
      </w:r>
      <w:r>
        <w:rPr>
          <w:rFonts w:hint="eastAsia" w:ascii="宋体" w:hAnsi="宋体" w:eastAsia="宋体" w:cs="宋体"/>
          <w:kern w:val="2"/>
          <w:sz w:val="24"/>
          <w:szCs w:val="24"/>
          <w:lang w:val="en-US" w:eastAsia="zh-CN" w:bidi="ar"/>
        </w:rPr>
        <w:t>。</w:t>
      </w:r>
    </w:p>
    <w:p w14:paraId="1C6CD54C">
      <w:pPr>
        <w:pStyle w:val="45"/>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Courier New" w:eastAsia="宋体" w:cs="宋体"/>
          <w:kern w:val="2"/>
          <w:sz w:val="21"/>
          <w:szCs w:val="21"/>
        </w:rPr>
      </w:pPr>
      <w:r>
        <w:rPr>
          <w:rFonts w:hint="eastAsia" w:ascii="宋体" w:hAnsi="宋体" w:eastAsia="宋体" w:cs="宋体"/>
          <w:kern w:val="2"/>
          <w:sz w:val="24"/>
          <w:szCs w:val="24"/>
          <w:lang w:val="en-US" w:eastAsia="zh-CN" w:bidi="ar"/>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01F77271">
      <w:pPr>
        <w:pStyle w:val="21"/>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企业资质：公司简介；营业执照副本复印件；法人代表授权书原件；投标单位需提供近三年审计报告；法人代表或授权代表有效身份证；（盖有法人单位公章的复印件，包括正反两面）；投标单位三年内无违法及重大违规记录证明；投标认为需提供的其他资质证明；保证金缴纳证明；企业最近半年完税证明、信用证明材料（征信报告）；年度纳税信用评价信息（可从电子税务局查询截图，需加盖公章）；企业对外担保说明（写明贵单位对外有无对外担保和质押业务，需加盖公章）；</w:t>
      </w:r>
    </w:p>
    <w:p w14:paraId="16E39400">
      <w:pPr>
        <w:pStyle w:val="21"/>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（2）企业简介：PDF版企业简介；</w:t>
      </w:r>
    </w:p>
    <w:p w14:paraId="6CFA9D48">
      <w:pPr>
        <w:pStyle w:val="21"/>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（3）企业业绩：证明投标人满足投标资料表中列出的业绩要求的文件：近三年类似项目业绩及合同复印件（加盖公章，须有客户联系方式及联系人以供招标人核实确认）；</w:t>
      </w:r>
    </w:p>
    <w:p w14:paraId="59577AD2">
      <w:pPr>
        <w:pStyle w:val="21"/>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（4）其他：投标报名表、逃生缓降锁品牌授权书、现场踏勘表、详细的可行施工方案等。</w:t>
      </w:r>
    </w:p>
    <w:p w14:paraId="10E42FDC">
      <w:pPr>
        <w:pStyle w:val="21"/>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备注：提供上述资料均须加盖单位公章，以PDF的形式在规定时间内上传至重汽e采通内（未提供详细可行的施工方案不得进入商务标）。</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请投标人确认中国重汽e采通系统中供应商信息完整、准确，因供应商信息不全或错误导致的报名不成功，由投标人自行承担</w:t>
      </w:r>
      <w:r>
        <w:rPr>
          <w:rFonts w:hint="eastAsia" w:asciiTheme="minorEastAsia" w:hAnsiTheme="minorEastAsia" w:eastAsiaTheme="minorEastAsia" w:cstheme="minorEastAsia"/>
          <w:bCs/>
          <w:kern w:val="2"/>
          <w:sz w:val="24"/>
          <w:szCs w:val="24"/>
          <w:lang w:val="en-US" w:eastAsia="zh-CN" w:bidi="ar-SA"/>
        </w:rPr>
        <w:t>。</w:t>
      </w: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27</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29</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待定(投标完成后联系商务联系人，发送投标保证金缴纳凭证获取会议链接号)）</w:t>
      </w:r>
    </w:p>
    <w:p w14:paraId="0CE8FDC8">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2.开标地点：线上会议</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highlight w:val="none"/>
          <w:lang w:val="en-US" w:eastAsia="zh-CN"/>
        </w:rPr>
        <w:t>卜老师 15542226228 bujianfeng@sinotruk.com</w:t>
      </w:r>
    </w:p>
    <w:p w14:paraId="439DE341">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技术联系人：</w:t>
      </w:r>
      <w:r>
        <w:rPr>
          <w:rFonts w:hint="eastAsia" w:asciiTheme="minorEastAsia" w:hAnsiTheme="minorEastAsia" w:eastAsiaTheme="minorEastAsia" w:cstheme="minorEastAsia"/>
          <w:sz w:val="24"/>
          <w:szCs w:val="24"/>
          <w:highlight w:val="none"/>
          <w:lang w:val="en-US" w:eastAsia="zh-CN"/>
        </w:rPr>
        <w:t>卜老师 15542226228 bujianfeng@sinotruk.com</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50A39A6B">
      <w:pPr>
        <w:keepNext w:val="0"/>
        <w:keepLines w:val="0"/>
        <w:pageBreakBefore w:val="0"/>
        <w:widowControl w:val="0"/>
        <w:tabs>
          <w:tab w:val="left" w:pos="113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由依照有关法律、法规组建的评标委员会负责。评标委员会由招标人或其委托的招标代理机构熟悉相关业务的代表，以及有关技术、经济等方面的专家组成。评标委员会成员人数为三人以上单数。其中，技术、经济等方面的专家不少于成员总数的三分之二。评标专家小组负责参照评分标准，按照国家招投标有关规定，本着公平、公正、公开、有序的原则，在最大限度地满足招标文件实质性要求的前提下，按照合理最低价的原则选择中标</w:t>
      </w:r>
      <w:r>
        <w:rPr>
          <w:rFonts w:hint="eastAsia" w:asciiTheme="minorEastAsia" w:hAnsiTheme="minorEastAsia" w:eastAsiaTheme="minorEastAsia" w:cstheme="minorEastAsia"/>
          <w:sz w:val="24"/>
          <w:szCs w:val="24"/>
          <w:lang w:val="en-US" w:eastAsia="zh-CN"/>
        </w:rPr>
        <w:t>方</w:t>
      </w:r>
      <w:r>
        <w:rPr>
          <w:rFonts w:hint="eastAsia" w:asciiTheme="minorEastAsia" w:hAnsiTheme="minorEastAsia" w:eastAsiaTheme="minorEastAsia" w:cstheme="minorEastAsia"/>
          <w:sz w:val="24"/>
          <w:szCs w:val="24"/>
        </w:rPr>
        <w:t>。</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4"/>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5FDF8E69">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1、资质文件</w:t>
      </w:r>
    </w:p>
    <w:p w14:paraId="39CC5A44">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（1）公司简介；</w:t>
      </w:r>
    </w:p>
    <w:p w14:paraId="075AAAF9">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（2）营业执照副本复印件；</w:t>
      </w:r>
    </w:p>
    <w:p w14:paraId="5BBFF1F1">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（3）法人代表授权书原件；</w:t>
      </w:r>
    </w:p>
    <w:p w14:paraId="51095E58">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（4）投标单位需提供近三年审计报告；</w:t>
      </w:r>
    </w:p>
    <w:p w14:paraId="42FD8E80">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（5）法人代表或授权代表有效身份证；（盖有法人单位公章的复印件，包括正反两面）</w:t>
      </w:r>
    </w:p>
    <w:p w14:paraId="172A3360">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（5）投标单位类似项目案例介绍，与本次项目相关或类似的合同扫描件（需与技术标提供的合同扫描件一致）；</w:t>
      </w:r>
    </w:p>
    <w:p w14:paraId="646CA5FB">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（6）投标单位三年内无违法及重大违规记录证明；</w:t>
      </w:r>
    </w:p>
    <w:p w14:paraId="18DC7F5C">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（7）投标认为需提供的其他资质证明；</w:t>
      </w:r>
    </w:p>
    <w:p w14:paraId="75B89FBD">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（8）企业最近半年完税证明、信用证明材料（征信报告）；</w:t>
      </w:r>
    </w:p>
    <w:p w14:paraId="1A6BB283">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（9）年度纳税信用评价信息（可从电子税务局查询截图，需加盖公章）；</w:t>
      </w:r>
    </w:p>
    <w:p w14:paraId="21B0F14F">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（10）企业对外担保说明（写明贵单位对外有无对外担保和质押业务，需加盖公章）；</w:t>
      </w:r>
    </w:p>
    <w:p w14:paraId="356DC9E1">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（11）现场踏勘表。</w:t>
      </w:r>
    </w:p>
    <w:p w14:paraId="38534D73">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(12)投标保证金缴纳凭证（应标时不做要求，投标时需随资质文件一同上传）。</w:t>
      </w:r>
    </w:p>
    <w:p w14:paraId="358CF421">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2、技术标文件</w:t>
      </w:r>
    </w:p>
    <w:p w14:paraId="00A64C54">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（1）技术规格；</w:t>
      </w:r>
    </w:p>
    <w:p w14:paraId="31D5ECAC">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（2）项目施工方案；</w:t>
      </w:r>
    </w:p>
    <w:p w14:paraId="682D891A">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（3）相关条款偏离表；</w:t>
      </w:r>
    </w:p>
    <w:p w14:paraId="7823A701">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（4）综合说明；</w:t>
      </w:r>
    </w:p>
    <w:p w14:paraId="6AE2D46C">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（5）服务承诺；</w:t>
      </w:r>
    </w:p>
    <w:p w14:paraId="58196F81">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（6）投标单位认为其他需要提供的材料。</w:t>
      </w:r>
    </w:p>
    <w:p w14:paraId="28487276">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3、商务标文件</w:t>
      </w:r>
    </w:p>
    <w:p w14:paraId="0CB09C8A">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（1）投标函；</w:t>
      </w:r>
    </w:p>
    <w:p w14:paraId="47366199">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（2）开标一览表；</w:t>
      </w:r>
    </w:p>
    <w:p w14:paraId="105D4DE6">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（3）分项报价表；</w:t>
      </w:r>
    </w:p>
    <w:p w14:paraId="5AC825B9">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（4）服务承诺函、质量承诺函；</w:t>
      </w:r>
    </w:p>
    <w:p w14:paraId="62C45B2F">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（5）商务条款偏离表；</w:t>
      </w:r>
    </w:p>
    <w:p w14:paraId="1B79BBE5">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（6）其他需要说明的事项。</w:t>
      </w:r>
    </w:p>
    <w:p w14:paraId="22E389DD">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备注：提供上述资料均须加盖单位公章，扫描后上传e采通系统中。</w:t>
      </w:r>
    </w:p>
    <w:p w14:paraId="66504422">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4、其他</w:t>
      </w:r>
    </w:p>
    <w:p w14:paraId="0B0F07C8">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w:t>
      </w:r>
      <w:r>
        <w:rPr>
          <w:rFonts w:hint="default" w:asciiTheme="minorEastAsia" w:hAnsiTheme="minorEastAsia" w:eastAsiaTheme="minorEastAsia" w:cstheme="minorEastAsia"/>
          <w:kern w:val="2"/>
          <w:sz w:val="24"/>
          <w:szCs w:val="24"/>
          <w:lang w:val="en-US" w:eastAsia="zh-CN" w:bidi="ar-SA"/>
        </w:rPr>
        <w:t>投标人应与招标人指派的答疑人员充分沟通，理解认可并接受相关技术规范及服务要求；</w:t>
      </w:r>
    </w:p>
    <w:p w14:paraId="2BCA8D8C">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w:t>
      </w:r>
      <w:r>
        <w:rPr>
          <w:rFonts w:hint="default" w:asciiTheme="minorEastAsia" w:hAnsiTheme="minorEastAsia" w:eastAsiaTheme="minorEastAsia" w:cstheme="minorEastAsia"/>
          <w:kern w:val="2"/>
          <w:sz w:val="24"/>
          <w:szCs w:val="24"/>
          <w:lang w:val="en-US" w:eastAsia="zh-CN" w:bidi="ar-SA"/>
        </w:rPr>
        <w:t>投标人可免费提供的、包含但不限于招标人所要求的其他相关服务内容，在“开标一览表”中一并说明</w:t>
      </w:r>
      <w:r>
        <w:rPr>
          <w:rFonts w:hint="eastAsia" w:asciiTheme="minorEastAsia" w:hAnsiTheme="minorEastAsia" w:eastAsiaTheme="minorEastAsia" w:cstheme="minorEastAsia"/>
          <w:kern w:val="2"/>
          <w:sz w:val="24"/>
          <w:szCs w:val="24"/>
          <w:lang w:val="en-US" w:eastAsia="zh-CN" w:bidi="ar-SA"/>
        </w:rPr>
        <w:t>；</w:t>
      </w:r>
    </w:p>
    <w:p w14:paraId="0388396C">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（3）要求招标人或相关合同签订单位提供的配合，在标书文件中说明；</w:t>
      </w:r>
    </w:p>
    <w:p w14:paraId="15666A36">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（4）投标人须认可招标人由于招标人上级集团公司政策变化引起的合同签订前终止项目的要求。如投标人不认可、不接受，则投标人在“相关条款偏离表（含商务偏离及技术偏离）”中注明“不接受”字。</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⑴本次招标为公开招标，报价应为：</w:t>
      </w:r>
    </w:p>
    <w:p w14:paraId="191654E4">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经与招标人或其指派的答疑人员充分沟通确认基础上，由投标人在满足招标人所提出的、与本项目所有相关环节有关的所有费用；</w:t>
      </w:r>
    </w:p>
    <w:p w14:paraId="1BC3FE32">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⑵所有报价货币单位为：万元（人民币），含税，</w:t>
      </w:r>
      <w:r>
        <w:rPr>
          <w:rFonts w:hint="eastAsia" w:ascii="宋体" w:hAnsi="Courier New"/>
          <w:highlight w:val="none"/>
        </w:rPr>
        <w:t>税率</w:t>
      </w:r>
      <w:r>
        <w:rPr>
          <w:rFonts w:hint="eastAsia" w:ascii="宋体" w:hAnsi="Courier New"/>
          <w:highlight w:val="none"/>
          <w:lang w:val="en-US" w:eastAsia="zh-CN"/>
        </w:rPr>
        <w:t>13</w:t>
      </w:r>
      <w:r>
        <w:rPr>
          <w:rFonts w:hint="eastAsia" w:ascii="宋体" w:hAnsi="Courier New"/>
          <w:highlight w:val="none"/>
        </w:rPr>
        <w:t>%</w:t>
      </w:r>
      <w:r>
        <w:rPr>
          <w:rFonts w:hint="eastAsia" w:asciiTheme="minorEastAsia" w:hAnsiTheme="minorEastAsia" w:eastAsiaTheme="minorEastAsia" w:cstheme="minorEastAsia"/>
          <w:kern w:val="2"/>
          <w:sz w:val="24"/>
          <w:szCs w:val="24"/>
          <w:lang w:val="en-US" w:eastAsia="zh-CN" w:bidi="ar-SA"/>
        </w:rPr>
        <w:t>；</w:t>
      </w:r>
    </w:p>
    <w:p w14:paraId="2F719F05">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highlight w:val="yellow"/>
          <w:lang w:val="en-US" w:eastAsia="zh-CN" w:bidi="ar-SA"/>
        </w:rPr>
      </w:pPr>
      <w:r>
        <w:rPr>
          <w:rFonts w:hint="eastAsia" w:asciiTheme="minorEastAsia" w:hAnsiTheme="minorEastAsia" w:eastAsiaTheme="minorEastAsia" w:cstheme="minorEastAsia"/>
          <w:kern w:val="2"/>
          <w:sz w:val="24"/>
          <w:szCs w:val="24"/>
          <w:lang w:val="en-US" w:eastAsia="zh-CN" w:bidi="ar-SA"/>
        </w:rPr>
        <w:t>⑶付款结算方式：</w:t>
      </w:r>
      <w:r>
        <w:rPr>
          <w:rFonts w:hint="eastAsia" w:asciiTheme="minorEastAsia" w:hAnsiTheme="minorEastAsia" w:eastAsiaTheme="minorEastAsia" w:cstheme="minorEastAsia"/>
          <w:kern w:val="2"/>
          <w:sz w:val="24"/>
          <w:szCs w:val="24"/>
          <w:highlight w:val="yellow"/>
          <w:lang w:val="en-US" w:eastAsia="zh-CN" w:bidi="ar-SA"/>
        </w:rPr>
        <w:t>半年期商业汇票（包括银行承兑汇票和商业承兑汇票）</w:t>
      </w:r>
    </w:p>
    <w:p w14:paraId="47C9794E">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highlight w:val="yellow"/>
          <w:lang w:val="en-US" w:eastAsia="zh-CN" w:bidi="ar-SA"/>
        </w:rPr>
        <w:t>经第三方检测和甲方验收通过后，付至合同总额的90%。付款方式为承兑汇票，施工方开具100%增值税专用发票，质保期满后业主无息结清。</w:t>
      </w:r>
    </w:p>
    <w:p w14:paraId="32CDA1E3">
      <w:pPr>
        <w:pStyle w:val="26"/>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（4）</w:t>
      </w:r>
      <w:r>
        <w:rPr>
          <w:rFonts w:hint="eastAsia" w:asciiTheme="minorEastAsia" w:hAnsiTheme="minorEastAsia" w:eastAsiaTheme="minorEastAsia" w:cstheme="minorEastAsia"/>
          <w:kern w:val="2"/>
          <w:sz w:val="24"/>
          <w:szCs w:val="24"/>
          <w:lang w:val="en-US" w:eastAsia="zh-CN" w:bidi="ar-SA"/>
        </w:rPr>
        <w:t>项目限价：含税2.8137万元，超过投标限价无法投标。</w:t>
      </w:r>
    </w:p>
    <w:p w14:paraId="0D771EB5">
      <w:pPr>
        <w:pStyle w:val="22"/>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5"/>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cs="宋体"/>
          <w:sz w:val="24"/>
          <w:szCs w:val="24"/>
          <w:highlight w:val="none"/>
          <w:lang w:val="en-US" w:eastAsia="zh-CN"/>
        </w:rPr>
        <w:t>电汇或网银</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5"/>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none"/>
          <w:u w:val="single"/>
        </w:rPr>
        <w:t>2025年</w:t>
      </w:r>
      <w:r>
        <w:rPr>
          <w:rFonts w:hint="eastAsia" w:asciiTheme="minorEastAsia" w:hAnsiTheme="minorEastAsia" w:eastAsiaTheme="minorEastAsia" w:cstheme="minorEastAsia"/>
          <w:b/>
          <w:bCs/>
          <w:color w:val="000000"/>
          <w:sz w:val="24"/>
          <w:szCs w:val="24"/>
          <w:highlight w:val="none"/>
          <w:u w:val="single"/>
          <w:lang w:val="en-US" w:eastAsia="zh-CN"/>
        </w:rPr>
        <w:t>12</w:t>
      </w:r>
      <w:r>
        <w:rPr>
          <w:rFonts w:hint="eastAsia" w:asciiTheme="minorEastAsia" w:hAnsiTheme="minorEastAsia" w:eastAsiaTheme="minorEastAsia" w:cstheme="minorEastAsia"/>
          <w:b/>
          <w:bCs/>
          <w:color w:val="000000"/>
          <w:sz w:val="24"/>
          <w:szCs w:val="24"/>
          <w:highlight w:val="none"/>
          <w:u w:val="single"/>
        </w:rPr>
        <w:t>月</w:t>
      </w:r>
      <w:r>
        <w:rPr>
          <w:rFonts w:hint="eastAsia" w:asciiTheme="minorEastAsia" w:hAnsiTheme="minorEastAsia" w:eastAsiaTheme="minorEastAsia" w:cstheme="minorEastAsia"/>
          <w:b/>
          <w:bCs/>
          <w:color w:val="000000"/>
          <w:sz w:val="24"/>
          <w:szCs w:val="24"/>
          <w:highlight w:val="none"/>
          <w:u w:val="single"/>
          <w:lang w:val="en-US" w:eastAsia="zh-CN"/>
        </w:rPr>
        <w:t>29</w:t>
      </w:r>
      <w:bookmarkStart w:id="20" w:name="_GoBack"/>
      <w:bookmarkEnd w:id="20"/>
      <w:r>
        <w:rPr>
          <w:rFonts w:hint="eastAsia" w:asciiTheme="minorEastAsia" w:hAnsiTheme="minorEastAsia" w:eastAsiaTheme="minorEastAsia" w:cstheme="minorEastAsia"/>
          <w:b/>
          <w:bCs/>
          <w:color w:val="000000"/>
          <w:sz w:val="24"/>
          <w:szCs w:val="24"/>
          <w:highlight w:val="none"/>
          <w:u w:val="single"/>
        </w:rPr>
        <w:t>日</w:t>
      </w:r>
      <w:r>
        <w:rPr>
          <w:rFonts w:hint="eastAsia" w:asciiTheme="minorEastAsia" w:hAnsiTheme="minorEastAsia" w:eastAsiaTheme="minorEastAsia" w:cstheme="minorEastAsia"/>
          <w:b/>
          <w:bCs/>
          <w:color w:val="000000"/>
          <w:sz w:val="24"/>
          <w:szCs w:val="24"/>
          <w:highlight w:val="none"/>
          <w:u w:val="single"/>
          <w:lang w:val="en-US" w:eastAsia="zh-CN"/>
        </w:rPr>
        <w:t>9</w:t>
      </w:r>
      <w:r>
        <w:rPr>
          <w:rFonts w:hint="eastAsia" w:asciiTheme="minorEastAsia" w:hAnsiTheme="minorEastAsia" w:eastAsiaTheme="minorEastAsia" w:cstheme="minorEastAsia"/>
          <w:b/>
          <w:bCs/>
          <w:color w:val="000000"/>
          <w:sz w:val="24"/>
          <w:szCs w:val="24"/>
          <w:highlight w:val="none"/>
          <w:u w:val="single"/>
        </w:rPr>
        <w:t xml:space="preserve">:00 </w:t>
      </w:r>
      <w:r>
        <w:rPr>
          <w:rFonts w:hint="eastAsia" w:asciiTheme="minorEastAsia" w:hAnsiTheme="minorEastAsia" w:eastAsiaTheme="minorEastAsia" w:cstheme="minorEastAsia"/>
          <w:b/>
          <w:color w:val="000000"/>
          <w:sz w:val="24"/>
          <w:szCs w:val="24"/>
          <w:highlight w:val="none"/>
          <w:u w:val="single"/>
        </w:rPr>
        <w:t>。</w:t>
      </w:r>
      <w:r>
        <w:rPr>
          <w:rFonts w:hint="eastAsia" w:asciiTheme="minorEastAsia" w:hAnsiTheme="minorEastAsia" w:eastAsiaTheme="minorEastAsia" w:cstheme="minorEastAsia"/>
          <w:b/>
          <w:color w:val="000000"/>
          <w:sz w:val="24"/>
          <w:szCs w:val="24"/>
          <w:highlight w:val="none"/>
          <w:u w:val="single"/>
          <w:lang w:eastAsia="zh-CN"/>
        </w:rPr>
        <w:t>（</w:t>
      </w:r>
      <w:r>
        <w:rPr>
          <w:rFonts w:hint="eastAsia" w:asciiTheme="minorEastAsia" w:hAnsiTheme="minorEastAsia" w:eastAsiaTheme="minorEastAsia" w:cstheme="minorEastAsia"/>
          <w:b/>
          <w:color w:val="000000"/>
          <w:sz w:val="24"/>
          <w:szCs w:val="24"/>
          <w:highlight w:val="none"/>
          <w:u w:val="single"/>
          <w:lang w:val="en-US" w:eastAsia="zh-CN"/>
        </w:rPr>
        <w:t>投标保证金缴纳凭证需随资质投标文件一起上传）</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6886A7F9">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hint="eastAsia" w:ascii="宋体" w:hAnsi="宋体" w:eastAsia="宋体" w:cs="宋体"/>
          <w:b/>
          <w:bCs/>
          <w:sz w:val="24"/>
          <w:szCs w:val="24"/>
          <w:highlight w:val="yellow"/>
        </w:rPr>
        <w:t>投标保证金的金额：人民币</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000元</w:t>
      </w:r>
    </w:p>
    <w:p w14:paraId="44CAA76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单位名称：中国重汽集团济南动力有限公司</w:t>
      </w:r>
    </w:p>
    <w:p w14:paraId="6E55E309">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收款账号：37001616508050150300</w:t>
      </w:r>
    </w:p>
    <w:p w14:paraId="6893D160">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开户行名称：中国建设银行股份有限公司济南天桥支行</w:t>
      </w:r>
    </w:p>
    <w:p w14:paraId="309E7F87">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开户行行号：105451000362</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5"/>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7"/>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6"/>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6"/>
      <w:bookmarkStart w:id="11" w:name="OLE_LINK29"/>
      <w:bookmarkStart w:id="12" w:name="OLE_LINK27"/>
      <w:bookmarkStart w:id="13" w:name="OLE_LINK28"/>
      <w:bookmarkStart w:id="14" w:name="OLE_LINK25"/>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6"/>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27BD2702">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1950701A">
      <w:pPr>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13BE54AB">
      <w:pPr>
        <w:pStyle w:val="4"/>
        <w:numPr>
          <w:ilvl w:val="0"/>
          <w:numId w:val="0"/>
        </w:numPr>
        <w:adjustRightInd w:val="0"/>
        <w:snapToGrid w:val="0"/>
        <w:spacing w:before="0" w:after="0" w:line="540" w:lineRule="exact"/>
        <w:jc w:val="center"/>
        <w:rPr>
          <w:rFonts w:hint="eastAsia" w:ascii="仿宋" w:hAnsi="仿宋" w:eastAsia="仿宋"/>
          <w:sz w:val="40"/>
        </w:rPr>
      </w:pPr>
      <w:r>
        <w:rPr>
          <w:rFonts w:hint="eastAsia" w:ascii="黑体" w:eastAsia="黑体"/>
          <w:b/>
          <w:bCs/>
          <w:sz w:val="36"/>
          <w:szCs w:val="36"/>
        </w:rPr>
        <w:t xml:space="preserve"> </w:t>
      </w:r>
      <w:r>
        <w:rPr>
          <w:rFonts w:hint="eastAsia" w:ascii="仿宋" w:hAnsi="仿宋" w:eastAsia="仿宋"/>
          <w:sz w:val="40"/>
        </w:rPr>
        <w:t>招标文件技术要求</w:t>
      </w:r>
    </w:p>
    <w:p w14:paraId="204B2979"/>
    <w:p w14:paraId="12D0BB12">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一、技术要求</w:t>
      </w:r>
    </w:p>
    <w:p w14:paraId="632527DA">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（一）基本要求</w:t>
      </w:r>
    </w:p>
    <w:p w14:paraId="51FF6CA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1.投标人须具有履行合同所必需的设备、财务、技术、服务等方面的资质和能力。</w:t>
      </w:r>
    </w:p>
    <w:p w14:paraId="7A4254E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2.公司注册资本不少于</w:t>
      </w:r>
      <w:r>
        <w:rPr>
          <w:rFonts w:hint="eastAsia" w:ascii="仿宋_GB2312" w:hAnsi="仿宋_GB2312" w:eastAsia="仿宋_GB2312" w:cs="仿宋_GB2312"/>
          <w:b w:val="0"/>
          <w:bCs w:val="0"/>
          <w:sz w:val="28"/>
          <w:lang w:val="en-US" w:eastAsia="zh-CN"/>
        </w:rPr>
        <w:t>500</w:t>
      </w:r>
      <w:r>
        <w:rPr>
          <w:rFonts w:hint="eastAsia" w:ascii="仿宋_GB2312" w:hAnsi="仿宋_GB2312" w:eastAsia="仿宋_GB2312" w:cs="仿宋_GB2312"/>
          <w:b w:val="0"/>
          <w:bCs w:val="0"/>
          <w:sz w:val="28"/>
        </w:rPr>
        <w:t>万（含）。</w:t>
      </w:r>
    </w:p>
    <w:p w14:paraId="4394DEE0">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3.要求项目经理常驻现场，负责日常工作安排及安全管理；项目安全员常驻现场，配合项目经理现场安全巡视，保证施工安全、工期和质量要求。</w:t>
      </w:r>
    </w:p>
    <w:p w14:paraId="24B6B51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4.施工人员要求持证上岗，根据工种要求，必须配备焊工证，电工证，高空作业证</w:t>
      </w:r>
      <w:r>
        <w:rPr>
          <w:rFonts w:hint="eastAsia" w:ascii="仿宋_GB2312" w:hAnsi="仿宋_GB2312" w:eastAsia="仿宋_GB2312" w:cs="仿宋_GB2312"/>
          <w:b w:val="0"/>
          <w:bCs w:val="0"/>
          <w:sz w:val="28"/>
          <w:lang w:val="en-US" w:eastAsia="zh-CN"/>
        </w:rPr>
        <w:t>等</w:t>
      </w:r>
      <w:r>
        <w:rPr>
          <w:rFonts w:hint="eastAsia" w:ascii="仿宋_GB2312" w:hAnsi="仿宋_GB2312" w:eastAsia="仿宋_GB2312" w:cs="仿宋_GB2312"/>
          <w:b w:val="0"/>
          <w:bCs w:val="0"/>
          <w:sz w:val="28"/>
        </w:rPr>
        <w:t>。</w:t>
      </w:r>
    </w:p>
    <w:p w14:paraId="713D35C8">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5.在社会上和重汽集团的其他招标过程中没有不良行为记录。</w:t>
      </w:r>
    </w:p>
    <w:p w14:paraId="54B936AE">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6.投标单位应具备并提供近三年消防类项目施工业绩不少于</w:t>
      </w:r>
      <w:r>
        <w:rPr>
          <w:rFonts w:hint="eastAsia" w:ascii="仿宋_GB2312" w:hAnsi="仿宋_GB2312" w:eastAsia="仿宋_GB2312" w:cs="仿宋_GB2312"/>
          <w:b w:val="0"/>
          <w:bCs w:val="0"/>
          <w:sz w:val="28"/>
          <w:lang w:val="en-US" w:eastAsia="zh-CN"/>
        </w:rPr>
        <w:t>3</w:t>
      </w:r>
      <w:r>
        <w:rPr>
          <w:rFonts w:hint="eastAsia" w:ascii="仿宋_GB2312" w:hAnsi="仿宋_GB2312" w:eastAsia="仿宋_GB2312" w:cs="仿宋_GB2312"/>
          <w:b w:val="0"/>
          <w:bCs w:val="0"/>
          <w:sz w:val="28"/>
        </w:rPr>
        <w:t>份。</w:t>
      </w:r>
    </w:p>
    <w:p w14:paraId="4B24471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（二）投标单位要求</w:t>
      </w:r>
    </w:p>
    <w:p w14:paraId="2E63B10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1、投标单位必须独立参加投标，不得以任何形式授权他人或组织联合体形式参加投标。投标单位中标后，不得以任何形式进行转包和分包。</w:t>
      </w:r>
    </w:p>
    <w:p w14:paraId="3826A69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2、投标单位需根据此项目系统工作量及专业性，出具科学性、合理性、详细的维修改造方案。</w:t>
      </w:r>
    </w:p>
    <w:p w14:paraId="4EBB483A">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3、投标单位需依据报价单专业岗位划分类型为此项目安排专业团队，并在投标文件中列明各专业岗位人员配置数量及人员素质、工作经验等要求。</w:t>
      </w:r>
    </w:p>
    <w:p w14:paraId="2E576D0D">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4、投标单位需依据项目背景及内容，详细阐述对该项目的施工内容及范围包括工期、施工进度说明等。</w:t>
      </w:r>
    </w:p>
    <w:p w14:paraId="74164D22">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5、投标单位所供项目标的，必须符合中国最新版的法律、法规和相关标准、规范的要求，符合项目所在地政府有关特殊要求；</w:t>
      </w:r>
    </w:p>
    <w:p w14:paraId="4D828F14">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6、投标单位应对委托方提出的各项技术要求同意进行技术（担保）承诺，并保证委托方不因此受到任何侵权指控和实际损失；</w:t>
      </w:r>
    </w:p>
    <w:p w14:paraId="499D7D27">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7、投标单位应保证所供服务或技术的先进性、可靠性、经济性和实用性；</w:t>
      </w:r>
    </w:p>
    <w:p w14:paraId="51F2240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8、招标方提供的数据为仅供参考，实际数据请投标方实地查勘</w:t>
      </w:r>
      <w:r>
        <w:rPr>
          <w:rFonts w:hint="eastAsia" w:ascii="仿宋_GB2312" w:hAnsi="仿宋_GB2312" w:eastAsia="仿宋_GB2312" w:cs="仿宋_GB2312"/>
          <w:b w:val="0"/>
          <w:bCs w:val="0"/>
          <w:sz w:val="28"/>
          <w:lang w:eastAsia="zh-CN"/>
        </w:rPr>
        <w:t>，</w:t>
      </w:r>
      <w:r>
        <w:rPr>
          <w:rFonts w:hint="eastAsia" w:ascii="仿宋_GB2312" w:hAnsi="仿宋_GB2312" w:eastAsia="仿宋_GB2312" w:cs="仿宋_GB2312"/>
          <w:b w:val="0"/>
          <w:bCs w:val="0"/>
          <w:sz w:val="28"/>
          <w:lang w:val="en-US" w:eastAsia="zh-CN"/>
        </w:rPr>
        <w:t>未进行实地勘察的视为不符合技术要求，不得进入商务标</w:t>
      </w:r>
      <w:r>
        <w:rPr>
          <w:rFonts w:hint="eastAsia" w:ascii="仿宋_GB2312" w:hAnsi="仿宋_GB2312" w:eastAsia="仿宋_GB2312" w:cs="仿宋_GB2312"/>
          <w:b w:val="0"/>
          <w:bCs w:val="0"/>
          <w:sz w:val="28"/>
        </w:rPr>
        <w:t>；</w:t>
      </w:r>
    </w:p>
    <w:p w14:paraId="2A1305AA">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9、本招标书所使用的标准如遇与施工方所执行的标准发生矛盾时，应按较高标准执行。</w:t>
      </w:r>
    </w:p>
    <w:p w14:paraId="0A68985A">
      <w:pPr>
        <w:pStyle w:val="60"/>
        <w:spacing w:line="360" w:lineRule="auto"/>
        <w:ind w:firstLine="560"/>
        <w:rPr>
          <w:rFonts w:hint="default"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10、获得所供逃生缓降器品牌厂家的授权。</w:t>
      </w:r>
    </w:p>
    <w:p w14:paraId="0E5281AE">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（二）执行标准：</w:t>
      </w:r>
    </w:p>
    <w:p w14:paraId="154F814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1、GB 38230-2025《坠落防护缓降装置》</w:t>
      </w:r>
    </w:p>
    <w:p w14:paraId="33749391">
      <w:pPr>
        <w:pStyle w:val="60"/>
        <w:spacing w:line="360" w:lineRule="auto"/>
        <w:ind w:firstLine="560"/>
        <w:rPr>
          <w:rFonts w:hint="eastAsia"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2、《高层民用建筑消防安全管理规定》(应急管理部令第五号)</w:t>
      </w:r>
    </w:p>
    <w:p w14:paraId="54F8CE56">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w:t>
      </w:r>
      <w:r>
        <w:rPr>
          <w:rFonts w:hint="eastAsia" w:ascii="仿宋_GB2312" w:hAnsi="仿宋_GB2312" w:eastAsia="仿宋_GB2312" w:cs="仿宋_GB2312"/>
          <w:b w:val="0"/>
          <w:bCs w:val="0"/>
          <w:sz w:val="28"/>
          <w:lang w:val="en-US" w:eastAsia="zh-CN"/>
        </w:rPr>
        <w:t>三</w:t>
      </w:r>
      <w:r>
        <w:rPr>
          <w:rFonts w:hint="eastAsia" w:ascii="仿宋_GB2312" w:hAnsi="仿宋_GB2312" w:eastAsia="仿宋_GB2312" w:cs="仿宋_GB2312"/>
          <w:b w:val="0"/>
          <w:bCs w:val="0"/>
          <w:sz w:val="28"/>
        </w:rPr>
        <w:t xml:space="preserve">）具体要求： </w:t>
      </w:r>
    </w:p>
    <w:p w14:paraId="7F585328">
      <w:pPr>
        <w:pStyle w:val="60"/>
        <w:spacing w:line="360" w:lineRule="auto"/>
        <w:ind w:firstLine="560"/>
        <w:rPr>
          <w:rFonts w:hint="eastAsia" w:ascii="仿宋_GB2312" w:hAnsi="仿宋_GB2312" w:eastAsia="仿宋_GB2312" w:cs="仿宋_GB2312"/>
          <w:b w:val="0"/>
          <w:bCs w:val="0"/>
          <w:sz w:val="28"/>
          <w:lang w:eastAsia="zh-CN"/>
        </w:rPr>
      </w:pPr>
      <w:r>
        <w:rPr>
          <w:rFonts w:hint="eastAsia" w:ascii="仿宋_GB2312" w:hAnsi="仿宋_GB2312" w:eastAsia="仿宋_GB2312" w:cs="仿宋_GB2312"/>
          <w:b w:val="0"/>
          <w:bCs w:val="0"/>
          <w:sz w:val="28"/>
        </w:rPr>
        <w:t>为保证各投标方、施工方明确我方招标及施工要求，现将有关事项告知如下</w:t>
      </w:r>
      <w:r>
        <w:rPr>
          <w:rFonts w:hint="eastAsia" w:ascii="仿宋_GB2312" w:hAnsi="仿宋_GB2312" w:eastAsia="仿宋_GB2312" w:cs="仿宋_GB2312"/>
          <w:b w:val="0"/>
          <w:bCs w:val="0"/>
          <w:sz w:val="28"/>
          <w:lang w:eastAsia="zh-CN"/>
        </w:rPr>
        <w:t>：</w:t>
      </w:r>
    </w:p>
    <w:p w14:paraId="4398D77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1、材料进场前必须提供材料样品，封样，且需与标书一致，无特殊原因不得变更标书主材品牌、规格、型号等，如需变更，需双方协商一致，并签订现场主材变更单。</w:t>
      </w:r>
    </w:p>
    <w:p w14:paraId="2817371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2、涉及隐蔽验收的项目，必须签署隐蔽验收表，合格后方可进行下一道工序，否则造成的返工、窝工，由施工方承担责任。</w:t>
      </w:r>
    </w:p>
    <w:p w14:paraId="6CFB2F76">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3、参与招标人员、施工人员应对公司招标所供给的相关信息和技术资料履行保密义务。</w:t>
      </w:r>
    </w:p>
    <w:p w14:paraId="216542D5">
      <w:pPr>
        <w:pStyle w:val="60"/>
        <w:spacing w:line="360" w:lineRule="auto"/>
        <w:ind w:firstLine="560"/>
        <w:rPr>
          <w:rFonts w:hint="default"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rPr>
        <w:t>4、</w:t>
      </w:r>
      <w:r>
        <w:rPr>
          <w:rFonts w:hint="eastAsia" w:ascii="仿宋_GB2312" w:hAnsi="仿宋_GB2312" w:eastAsia="仿宋_GB2312" w:cs="仿宋_GB2312"/>
          <w:b w:val="0"/>
          <w:bCs w:val="0"/>
          <w:sz w:val="28"/>
          <w:lang w:val="en-US" w:eastAsia="zh-CN"/>
        </w:rPr>
        <w:t>投标单位应在技术标书中根据实体勘察情况编制详细、符合实际的施工方案，应图文结合，有具体的尺寸、施工方式等。</w:t>
      </w:r>
      <w:r>
        <w:rPr>
          <w:rFonts w:hint="eastAsia" w:ascii="仿宋_GB2312" w:hAnsi="仿宋_GB2312" w:eastAsia="仿宋_GB2312" w:cs="仿宋_GB2312"/>
          <w:b w:val="0"/>
          <w:bCs w:val="0"/>
          <w:sz w:val="28"/>
        </w:rPr>
        <w:t>按照施工方案、图纸施工，如与现场出现冲突时，需与建设方提前沟通，同意后并签订现场变更签证单，方可改动施工。</w:t>
      </w:r>
      <w:r>
        <w:rPr>
          <w:rFonts w:hint="eastAsia" w:ascii="仿宋_GB2312" w:hAnsi="仿宋_GB2312" w:eastAsia="仿宋_GB2312" w:cs="仿宋_GB2312"/>
          <w:b w:val="0"/>
          <w:bCs w:val="0"/>
          <w:sz w:val="28"/>
          <w:lang w:val="en-US" w:eastAsia="zh-CN"/>
        </w:rPr>
        <w:t>不得照抄技术标要求，如发现与技术标要求相似或未按照实际制定详细施工方案的，经专家组评定后，不得进入商务标。</w:t>
      </w:r>
    </w:p>
    <w:p w14:paraId="5E92D6B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5、因考虑到厂房在生产过程中施工要进行危险作业，项目组成员必须配备安全员一名，负责施工现场安全的巡查，进行驻场服务。必须保障项目安全有序地进行施工，如公司发现未按照此项约定进行工作，公司有权终止合同，施工方投资的费用公司不予支付，施工时涉及危险作业必须办理审批，人员持证上岗，遵守公司危险作业流程。</w:t>
      </w:r>
    </w:p>
    <w:p w14:paraId="62688E67">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6、设计方案变更、施工工艺变更、施工项目变更等变更事项，需与公司沟通同意并签订现场变更单后，方可施工，未经允许而做变更施工，不予认可。</w:t>
      </w:r>
    </w:p>
    <w:p w14:paraId="6BA9EE2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7、施工单位须在全部验收完成后7个自然日内提交所有设备的流向表、检验报告、合格证等；</w:t>
      </w:r>
    </w:p>
    <w:p w14:paraId="3682F2E7">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8、竣工验收须提交验收要求的所有资料。</w:t>
      </w:r>
    </w:p>
    <w:p w14:paraId="26FD392C">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9、项目完工，竣工资料齐备，自检合格后，方可申请建设方验收，并提供消防竣工图纸。</w:t>
      </w:r>
    </w:p>
    <w:p w14:paraId="48FF3588">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10、本项目要求施工人员不少于</w:t>
      </w:r>
      <w:r>
        <w:rPr>
          <w:rFonts w:hint="eastAsia" w:ascii="仿宋_GB2312" w:hAnsi="仿宋_GB2312" w:eastAsia="仿宋_GB2312" w:cs="仿宋_GB2312"/>
          <w:b w:val="0"/>
          <w:bCs w:val="0"/>
          <w:sz w:val="28"/>
          <w:lang w:val="en-US" w:eastAsia="zh-CN"/>
        </w:rPr>
        <w:t>2</w:t>
      </w:r>
      <w:r>
        <w:rPr>
          <w:rFonts w:hint="eastAsia" w:ascii="仿宋_GB2312" w:hAnsi="仿宋_GB2312" w:eastAsia="仿宋_GB2312" w:cs="仿宋_GB2312"/>
          <w:b w:val="0"/>
          <w:bCs w:val="0"/>
          <w:sz w:val="28"/>
        </w:rPr>
        <w:t>人，遵循公司各项规章制度，配备一名项目经理及安全员。</w:t>
      </w:r>
    </w:p>
    <w:p w14:paraId="037C78E4">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11、项目完工后遇紧急情况时，乙方应在规定的应急响应时间内到达现场处理故障，超时未到的，乙方应承担损失责任及费用，并视情节轻重对乙方处以</w:t>
      </w:r>
      <w:r>
        <w:rPr>
          <w:rFonts w:hint="eastAsia" w:ascii="仿宋_GB2312" w:hAnsi="仿宋_GB2312" w:eastAsia="仿宋_GB2312" w:cs="仿宋_GB2312"/>
          <w:b w:val="0"/>
          <w:bCs w:val="0"/>
          <w:sz w:val="28"/>
          <w:lang w:val="en-US" w:eastAsia="zh-CN"/>
        </w:rPr>
        <w:t>考核</w:t>
      </w:r>
      <w:r>
        <w:rPr>
          <w:rFonts w:hint="eastAsia" w:ascii="仿宋_GB2312" w:hAnsi="仿宋_GB2312" w:eastAsia="仿宋_GB2312" w:cs="仿宋_GB2312"/>
          <w:b w:val="0"/>
          <w:bCs w:val="0"/>
          <w:sz w:val="28"/>
        </w:rPr>
        <w:t>，从质保金扣除。</w:t>
      </w:r>
    </w:p>
    <w:p w14:paraId="2E80C7D6">
      <w:pPr>
        <w:pStyle w:val="60"/>
        <w:spacing w:line="360" w:lineRule="auto"/>
        <w:ind w:firstLine="560"/>
        <w:rPr>
          <w:rFonts w:hint="eastAsia" w:ascii="仿宋_GB2312" w:hAnsi="仿宋_GB2312" w:eastAsia="仿宋_GB2312" w:cs="仿宋_GB2312"/>
          <w:b w:val="0"/>
          <w:bCs w:val="0"/>
          <w:sz w:val="28"/>
          <w:highlight w:val="none"/>
        </w:rPr>
      </w:pPr>
      <w:r>
        <w:rPr>
          <w:rFonts w:hint="eastAsia" w:ascii="仿宋_GB2312" w:hAnsi="仿宋_GB2312" w:eastAsia="仿宋_GB2312" w:cs="仿宋_GB2312"/>
          <w:b w:val="0"/>
          <w:bCs w:val="0"/>
          <w:sz w:val="28"/>
          <w:highlight w:val="none"/>
        </w:rPr>
        <w:t>12、需更换消防配件时，乙方应及时通知甲方购买配件，因乙方未及时维修、更换配件所造成损失的，乙方应承担损失责任及费用，并视情节轻重对乙方</w:t>
      </w:r>
      <w:r>
        <w:rPr>
          <w:rFonts w:hint="eastAsia" w:ascii="仿宋_GB2312" w:hAnsi="仿宋_GB2312" w:eastAsia="仿宋_GB2312" w:cs="仿宋_GB2312"/>
          <w:b w:val="0"/>
          <w:bCs w:val="0"/>
          <w:sz w:val="28"/>
          <w:highlight w:val="none"/>
          <w:lang w:val="en-US" w:eastAsia="zh-CN"/>
        </w:rPr>
        <w:t>进行考核</w:t>
      </w:r>
      <w:r>
        <w:rPr>
          <w:rFonts w:hint="eastAsia" w:ascii="仿宋_GB2312" w:hAnsi="仿宋_GB2312" w:eastAsia="仿宋_GB2312" w:cs="仿宋_GB2312"/>
          <w:b w:val="0"/>
          <w:bCs w:val="0"/>
          <w:sz w:val="28"/>
          <w:highlight w:val="none"/>
        </w:rPr>
        <w:t>，从质保金扣除。</w:t>
      </w:r>
    </w:p>
    <w:p w14:paraId="0507CD0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（五）其他要求：</w:t>
      </w:r>
    </w:p>
    <w:p w14:paraId="47CA3F2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1、</w:t>
      </w:r>
      <w:r>
        <w:rPr>
          <w:rFonts w:hint="eastAsia" w:ascii="仿宋_GB2312" w:hAnsi="仿宋_GB2312" w:eastAsia="仿宋_GB2312" w:cs="仿宋_GB2312"/>
          <w:b w:val="0"/>
          <w:bCs w:val="0"/>
          <w:sz w:val="28"/>
        </w:rPr>
        <w:t>厂区内严禁吸烟。未按照要求发现一次扣罚1000元。</w:t>
      </w:r>
    </w:p>
    <w:p w14:paraId="5CDF2107">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2、</w:t>
      </w:r>
      <w:r>
        <w:rPr>
          <w:rFonts w:hint="eastAsia" w:ascii="仿宋_GB2312" w:hAnsi="仿宋_GB2312" w:eastAsia="仿宋_GB2312" w:cs="仿宋_GB2312"/>
          <w:b w:val="0"/>
          <w:bCs w:val="0"/>
          <w:sz w:val="28"/>
        </w:rPr>
        <w:t>驻场维保人员必须经过安全培训，三级教育考试合格，安全培训应针对现场实际特点，进行风险点分析，讲解防范措施，考试合格后方可办理入厂通行证。</w:t>
      </w:r>
    </w:p>
    <w:p w14:paraId="399DC6A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3、</w:t>
      </w:r>
      <w:r>
        <w:rPr>
          <w:rFonts w:hint="eastAsia" w:ascii="仿宋_GB2312" w:hAnsi="仿宋_GB2312" w:eastAsia="仿宋_GB2312" w:cs="仿宋_GB2312"/>
          <w:b w:val="0"/>
          <w:bCs w:val="0"/>
          <w:sz w:val="28"/>
        </w:rPr>
        <w:t>乙方使用的工具：电动工器具、升降车、起重工器具等所用设备，且必须经相关部门检验合格并贴合格证后方可使用。</w:t>
      </w:r>
    </w:p>
    <w:p w14:paraId="36DCB2A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4、</w:t>
      </w:r>
      <w:r>
        <w:rPr>
          <w:rFonts w:hint="eastAsia" w:ascii="仿宋_GB2312" w:hAnsi="仿宋_GB2312" w:eastAsia="仿宋_GB2312" w:cs="仿宋_GB2312"/>
          <w:b w:val="0"/>
          <w:bCs w:val="0"/>
          <w:sz w:val="28"/>
        </w:rPr>
        <w:t>乙方人员应遵守国家法律法规、甲方各项规章制度及合同约定内容，若违反上述内容及造成损失的，乙方应承担责任及损失所产生的相关费用，并视情节轻重</w:t>
      </w:r>
      <w:r>
        <w:rPr>
          <w:rFonts w:hint="eastAsia" w:ascii="仿宋_GB2312" w:hAnsi="仿宋_GB2312" w:eastAsia="仿宋_GB2312" w:cs="仿宋_GB2312"/>
          <w:b w:val="0"/>
          <w:bCs w:val="0"/>
          <w:sz w:val="28"/>
          <w:lang w:val="en-US" w:eastAsia="zh-CN"/>
        </w:rPr>
        <w:t>扣除相应货款</w:t>
      </w:r>
      <w:r>
        <w:rPr>
          <w:rFonts w:hint="eastAsia" w:ascii="仿宋_GB2312" w:hAnsi="仿宋_GB2312" w:eastAsia="仿宋_GB2312" w:cs="仿宋_GB2312"/>
          <w:b w:val="0"/>
          <w:bCs w:val="0"/>
          <w:sz w:val="28"/>
        </w:rPr>
        <w:t>。</w:t>
      </w:r>
    </w:p>
    <w:p w14:paraId="4D33742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5、</w:t>
      </w:r>
      <w:r>
        <w:rPr>
          <w:rFonts w:hint="eastAsia" w:ascii="仿宋_GB2312" w:hAnsi="仿宋_GB2312" w:eastAsia="仿宋_GB2312" w:cs="仿宋_GB2312"/>
          <w:b w:val="0"/>
          <w:bCs w:val="0"/>
          <w:sz w:val="28"/>
        </w:rPr>
        <w:t>本项目为</w:t>
      </w:r>
      <w:r>
        <w:rPr>
          <w:rFonts w:hint="eastAsia" w:ascii="仿宋_GB2312" w:hAnsi="仿宋_GB2312" w:eastAsia="仿宋_GB2312" w:cs="仿宋_GB2312"/>
          <w:b w:val="0"/>
          <w:bCs w:val="0"/>
          <w:sz w:val="28"/>
          <w:lang w:val="en-US" w:eastAsia="zh-CN"/>
        </w:rPr>
        <w:t>60</w:t>
      </w:r>
      <w:r>
        <w:rPr>
          <w:rFonts w:hint="eastAsia" w:ascii="仿宋_GB2312" w:hAnsi="仿宋_GB2312" w:eastAsia="仿宋_GB2312" w:cs="仿宋_GB2312"/>
          <w:b w:val="0"/>
          <w:bCs w:val="0"/>
          <w:sz w:val="28"/>
        </w:rPr>
        <w:t>天内施工完毕，每逾期1</w:t>
      </w:r>
      <w:r>
        <w:rPr>
          <w:rFonts w:hint="eastAsia" w:ascii="仿宋_GB2312" w:hAnsi="仿宋_GB2312" w:eastAsia="仿宋_GB2312" w:cs="仿宋_GB2312"/>
          <w:b w:val="0"/>
          <w:bCs w:val="0"/>
          <w:sz w:val="28"/>
          <w:lang w:val="en-US" w:eastAsia="zh-CN"/>
        </w:rPr>
        <w:t>周</w:t>
      </w:r>
      <w:r>
        <w:rPr>
          <w:rFonts w:hint="eastAsia" w:ascii="仿宋_GB2312" w:hAnsi="仿宋_GB2312" w:eastAsia="仿宋_GB2312" w:cs="仿宋_GB2312"/>
          <w:b w:val="0"/>
          <w:bCs w:val="0"/>
          <w:sz w:val="28"/>
        </w:rPr>
        <w:t>，处以项目费用5%的罚款。</w:t>
      </w:r>
    </w:p>
    <w:p w14:paraId="74BDD98D">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6、</w:t>
      </w:r>
      <w:r>
        <w:rPr>
          <w:rFonts w:hint="eastAsia" w:ascii="仿宋_GB2312" w:hAnsi="仿宋_GB2312" w:eastAsia="仿宋_GB2312" w:cs="仿宋_GB2312"/>
          <w:b w:val="0"/>
          <w:bCs w:val="0"/>
          <w:sz w:val="28"/>
        </w:rPr>
        <w:t>满足消防法律法规要求，消除行政处罚风险。</w:t>
      </w:r>
    </w:p>
    <w:p w14:paraId="1EA89706">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7、</w:t>
      </w:r>
      <w:r>
        <w:rPr>
          <w:rFonts w:hint="eastAsia" w:ascii="仿宋_GB2312" w:hAnsi="仿宋_GB2312" w:eastAsia="仿宋_GB2312" w:cs="仿宋_GB2312"/>
          <w:b w:val="0"/>
          <w:bCs w:val="0"/>
          <w:sz w:val="28"/>
        </w:rPr>
        <w:t>确保园区消防供水正常，紧急时刻为应急补救提供稳定有压水源。</w:t>
      </w:r>
    </w:p>
    <w:p w14:paraId="4610369D">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8、</w:t>
      </w:r>
      <w:r>
        <w:rPr>
          <w:rFonts w:hint="eastAsia" w:ascii="仿宋_GB2312" w:hAnsi="仿宋_GB2312" w:eastAsia="仿宋_GB2312" w:cs="仿宋_GB2312"/>
          <w:b w:val="0"/>
          <w:bCs w:val="0"/>
          <w:sz w:val="28"/>
        </w:rPr>
        <w:t>满足质量检测中心消防验收条件。</w:t>
      </w:r>
    </w:p>
    <w:p w14:paraId="7C793C32">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二、施工范围及要求（说明提供详细技术要求）</w:t>
      </w:r>
    </w:p>
    <w:p w14:paraId="75B876B7">
      <w:pPr>
        <w:pStyle w:val="60"/>
        <w:spacing w:line="360" w:lineRule="auto"/>
        <w:ind w:firstLine="560"/>
        <w:rPr>
          <w:rFonts w:hint="default"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rPr>
        <w:t>（一）施工地点：</w:t>
      </w:r>
      <w:r>
        <w:rPr>
          <w:rFonts w:hint="eastAsia" w:ascii="仿宋_GB2312" w:hAnsi="仿宋_GB2312" w:eastAsia="仿宋_GB2312" w:cs="仿宋_GB2312"/>
          <w:b w:val="0"/>
          <w:bCs w:val="0"/>
          <w:sz w:val="28"/>
          <w:lang w:val="en-US" w:eastAsia="zh-CN"/>
        </w:rPr>
        <w:t>中国重汽科技园区</w:t>
      </w:r>
    </w:p>
    <w:p w14:paraId="1C75D7E8">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（二）施工时间：承揽方应自合同签订之日起，</w:t>
      </w:r>
      <w:r>
        <w:rPr>
          <w:rFonts w:hint="eastAsia" w:ascii="仿宋_GB2312" w:hAnsi="仿宋_GB2312" w:eastAsia="仿宋_GB2312" w:cs="仿宋_GB2312"/>
          <w:b w:val="0"/>
          <w:bCs w:val="0"/>
          <w:sz w:val="28"/>
          <w:lang w:val="en-US" w:eastAsia="zh-CN"/>
        </w:rPr>
        <w:t>60</w:t>
      </w:r>
      <w:r>
        <w:rPr>
          <w:rFonts w:hint="eastAsia" w:ascii="仿宋_GB2312" w:hAnsi="仿宋_GB2312" w:eastAsia="仿宋_GB2312" w:cs="仿宋_GB2312"/>
          <w:b w:val="0"/>
          <w:bCs w:val="0"/>
          <w:sz w:val="28"/>
        </w:rPr>
        <w:t>个日历日之内完成（或协助完成）终验收（投标文件“供货时间”中，应明确说明各阶段工作最终完成时间）。</w:t>
      </w:r>
    </w:p>
    <w:p w14:paraId="6A573900">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（三）质保期：承揽方所提供承揽服务/技术涉及的全部供货范围内的配件、材料、资料、技术等，除合同特别约定外，均自终验收签字生效之日起，不低于</w:t>
      </w:r>
      <w:r>
        <w:rPr>
          <w:rFonts w:hint="eastAsia" w:ascii="仿宋_GB2312" w:hAnsi="仿宋_GB2312" w:eastAsia="仿宋_GB2312" w:cs="仿宋_GB2312"/>
          <w:b w:val="0"/>
          <w:bCs w:val="0"/>
          <w:sz w:val="28"/>
          <w:highlight w:val="none"/>
          <w:lang w:val="en-US" w:eastAsia="zh-CN"/>
        </w:rPr>
        <w:t>12</w:t>
      </w:r>
      <w:r>
        <w:rPr>
          <w:rFonts w:hint="eastAsia" w:ascii="仿宋_GB2312" w:hAnsi="仿宋_GB2312" w:eastAsia="仿宋_GB2312" w:cs="仿宋_GB2312"/>
          <w:b w:val="0"/>
          <w:bCs w:val="0"/>
          <w:sz w:val="28"/>
          <w:highlight w:val="none"/>
        </w:rPr>
        <w:t>个月（</w:t>
      </w:r>
      <w:r>
        <w:rPr>
          <w:rFonts w:hint="eastAsia" w:ascii="仿宋_GB2312" w:hAnsi="仿宋_GB2312" w:eastAsia="仿宋_GB2312" w:cs="仿宋_GB2312"/>
          <w:b w:val="0"/>
          <w:bCs w:val="0"/>
          <w:sz w:val="28"/>
        </w:rPr>
        <w:t>如有更长时间质保期，可在投标文件中说明）。</w:t>
      </w:r>
    </w:p>
    <w:p w14:paraId="32E63EB6">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（四）技术资料范围</w:t>
      </w:r>
    </w:p>
    <w:p w14:paraId="08E37D2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1、承揽方须负责在预验收前，提供功能描述文件、图纸。【针对非标产品】</w:t>
      </w:r>
    </w:p>
    <w:p w14:paraId="303CE788">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2、承揽方须负责在终验收后、终验收后的第一笔货款支付日之前，提供包括操作维护手册，保养维修手册、操作和安全事项的使用说明书。【针对非标产品】</w:t>
      </w:r>
    </w:p>
    <w:p w14:paraId="42BFA594">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3、承揽方须负责在终验收后、终验收后的第一笔货款支付日之前，提供包括设计总图、安装基础图、维修图等有关的资料；【针对非标产品】</w:t>
      </w:r>
    </w:p>
    <w:p w14:paraId="76556EC8">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4、本“技术资料范围”所列的技术资料、图等，承揽方应各提供2套，每份技术文件应装有目录清单；【针对非标产品】</w:t>
      </w:r>
    </w:p>
    <w:p w14:paraId="7715DCC8">
      <w:pPr>
        <w:pStyle w:val="60"/>
        <w:spacing w:line="360" w:lineRule="auto"/>
        <w:ind w:firstLine="560"/>
        <w:rPr>
          <w:rFonts w:hint="eastAsia" w:ascii="仿宋_GB2312" w:hAnsi="仿宋_GB2312" w:eastAsia="仿宋_GB2312" w:cs="仿宋_GB2312"/>
          <w:b w:val="0"/>
          <w:bCs w:val="0"/>
          <w:sz w:val="28"/>
          <w:highlight w:val="none"/>
        </w:rPr>
      </w:pPr>
      <w:r>
        <w:rPr>
          <w:rFonts w:hint="eastAsia" w:ascii="仿宋_GB2312" w:hAnsi="仿宋_GB2312" w:eastAsia="仿宋_GB2312" w:cs="仿宋_GB2312"/>
          <w:b w:val="0"/>
          <w:bCs w:val="0"/>
          <w:sz w:val="28"/>
          <w:highlight w:val="none"/>
        </w:rPr>
        <w:t>（五）系统工作要求</w:t>
      </w:r>
    </w:p>
    <w:p w14:paraId="65CFB4A1">
      <w:pPr>
        <w:pStyle w:val="60"/>
        <w:spacing w:line="360" w:lineRule="auto"/>
        <w:ind w:firstLine="560"/>
        <w:rPr>
          <w:rFonts w:hint="eastAsia"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1.主材选型</w:t>
      </w:r>
    </w:p>
    <w:p w14:paraId="5668AC7D">
      <w:pPr>
        <w:pStyle w:val="60"/>
        <w:spacing w:line="360" w:lineRule="auto"/>
        <w:ind w:firstLine="560"/>
        <w:rPr>
          <w:rFonts w:hint="eastAsia"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缓降器本体:选用通过国家消防装备质量监督检验中心检测的自冷却式产品，核心部件包含调速器(离心力摩擦阻尼系统)、安全带(双腋下固定式)、安全钩(承重&gt;15kN)及下降绳(航空级钢丝绳，直径&gt;8mm，内芯含钢丝+高强涤纶保护层，耐温&gt;200℃)。</w:t>
      </w:r>
    </w:p>
    <w:p w14:paraId="4D0F6E50">
      <w:pPr>
        <w:pStyle w:val="60"/>
        <w:spacing w:line="360" w:lineRule="auto"/>
        <w:ind w:firstLine="560"/>
        <w:rPr>
          <w:rFonts w:hint="eastAsia"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2、结构承载力检测</w:t>
      </w:r>
    </w:p>
    <w:p w14:paraId="05F09BE4">
      <w:pPr>
        <w:pStyle w:val="60"/>
        <w:spacing w:line="360" w:lineRule="auto"/>
        <w:ind w:firstLine="560"/>
        <w:rPr>
          <w:rFonts w:hint="eastAsia"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对安装点墙体或楼板进行结构验算，确保混凝土强度等级&gt;C30，锚点单点承重&gt;20kN。采用回弹仪检测实体强度，对轻质隔墙、空心砖等非承重结构，需增设钢结构转换梁或后置埋板。</w:t>
      </w:r>
    </w:p>
    <w:p w14:paraId="77558A84">
      <w:pPr>
        <w:pStyle w:val="60"/>
        <w:numPr>
          <w:ilvl w:val="0"/>
          <w:numId w:val="8"/>
        </w:numPr>
        <w:spacing w:line="360" w:lineRule="auto"/>
        <w:ind w:firstLine="560"/>
        <w:rPr>
          <w:rFonts w:hint="eastAsia"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未来科技大厦5层-18层，每层在消防救援窗附近安装嵌入式隐藏柜体，内部用于放置逃生救援绳索、附件及安装的挂点。</w:t>
      </w:r>
    </w:p>
    <w:p w14:paraId="23F0EAB6">
      <w:pPr>
        <w:pStyle w:val="60"/>
        <w:numPr>
          <w:ilvl w:val="0"/>
          <w:numId w:val="8"/>
        </w:numPr>
        <w:spacing w:line="360" w:lineRule="auto"/>
        <w:ind w:firstLine="560"/>
        <w:rPr>
          <w:rFonts w:hint="default"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科技大厦在12层、27层避难层，每层安装两个逃生救援箱，内部用于放置逃生救援绳索、附件及安装的挂点。</w:t>
      </w:r>
    </w:p>
    <w:p w14:paraId="0378D39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 xml:space="preserve"> 三、服务范围及要求</w:t>
      </w:r>
    </w:p>
    <w:p w14:paraId="316AA1FE">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（一）技术指导和培训服务</w:t>
      </w:r>
    </w:p>
    <w:p w14:paraId="1E52F53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1、承揽方应按要求，免费积极协助和提供委托方和委托方所委托的工程设计单位有关人员所需要的和项目有关的工程设计资料、技术咨询等；【针对非标产品】</w:t>
      </w:r>
    </w:p>
    <w:p w14:paraId="49B4779C">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若承揽方提供技术质量等，与承揽方外购的技术质量等有较大或直接关联时，承揽方应能得到其外购设备（或材料）制造厂商（或供应商）的技术支持，并免费为委托方提供技术服务（包括设计文件的审查和审定）；【针对非标产品】</w:t>
      </w:r>
    </w:p>
    <w:p w14:paraId="009FBA6E">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承揽方负责制定对委托方人员在运行、维修和试验等方面的培训计划，并有专人负责实施培训计划，负责指导委托方受培训人员正确理解设计和制造意图，认识设备的特点和特性，掌握在运行、维修和使用管理中应遵守的规则等方面的综合知识。【针对非标产品】</w:t>
      </w:r>
    </w:p>
    <w:p w14:paraId="22494014">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（二）运输服务</w:t>
      </w:r>
    </w:p>
    <w:p w14:paraId="29D9871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承揽方应负责将设备运到目的地，并必须做到标的物在任何运输过程中不受损坏和遗失；并按要求运至 招标方指定地点 。</w:t>
      </w:r>
    </w:p>
    <w:p w14:paraId="25879EEC">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（三）安装调试服务【针对非标产品】</w:t>
      </w:r>
    </w:p>
    <w:p w14:paraId="42A55CC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1、根据设备的要求，调试可分空载和负载两个阶段进行；委托方将予以积极配合，协助承揽方达到设备的各项技术要求和性能；</w:t>
      </w:r>
    </w:p>
    <w:p w14:paraId="3CA50EE2">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安装调试与验收期间，若承揽方提供设备的技术质量等，与承揽方外购的设备技术质量等有较大或直接关联时，承揽方应能得到其外购设备制造厂商（或供应商）的技术支持，并免费为委托方提供安装使用现场的指导与协调；</w:t>
      </w:r>
    </w:p>
    <w:p w14:paraId="1EAB844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3、承揽方免费负责设备的安装、调试，并接受用户的技术咨询，负责开车调试直到设备的终验收；</w:t>
      </w:r>
    </w:p>
    <w:p w14:paraId="5FB4C854">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4、承揽方是否提供有偿的还是免费的、指导安装调试还是负责安装调试，至少应在投标文件的服务章节中，予以明确说明。</w:t>
      </w:r>
    </w:p>
    <w:p w14:paraId="20F1A2A3">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（四）售后服务【特别是非标产品】</w:t>
      </w:r>
    </w:p>
    <w:p w14:paraId="49D46D2A">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1、在质保期之内，如发现承揽方所提供的设备（或材料）存在问题，需要承揽方配合解决时，承揽方须在接到通知后市内2</w:t>
      </w:r>
      <w:r>
        <w:rPr>
          <w:rFonts w:hint="eastAsia" w:ascii="仿宋_GB2312" w:hAnsi="仿宋_GB2312" w:eastAsia="仿宋_GB2312" w:cs="仿宋_GB2312"/>
          <w:b w:val="0"/>
          <w:bCs w:val="0"/>
          <w:sz w:val="28"/>
          <w:lang w:val="en-US" w:eastAsia="zh-CN"/>
        </w:rPr>
        <w:t>小时</w:t>
      </w:r>
      <w:r>
        <w:rPr>
          <w:rFonts w:hint="eastAsia" w:ascii="仿宋_GB2312" w:hAnsi="仿宋_GB2312" w:eastAsia="仿宋_GB2312" w:cs="仿宋_GB2312"/>
          <w:b w:val="0"/>
          <w:bCs w:val="0"/>
          <w:sz w:val="28"/>
        </w:rPr>
        <w:t>、省内8</w:t>
      </w:r>
      <w:r>
        <w:rPr>
          <w:rFonts w:hint="eastAsia" w:ascii="仿宋_GB2312" w:hAnsi="仿宋_GB2312" w:eastAsia="仿宋_GB2312" w:cs="仿宋_GB2312"/>
          <w:b w:val="0"/>
          <w:bCs w:val="0"/>
          <w:sz w:val="28"/>
          <w:lang w:val="en-US" w:eastAsia="zh-CN"/>
        </w:rPr>
        <w:t>小时</w:t>
      </w:r>
      <w:r>
        <w:rPr>
          <w:rFonts w:hint="eastAsia" w:ascii="仿宋_GB2312" w:hAnsi="仿宋_GB2312" w:eastAsia="仿宋_GB2312" w:cs="仿宋_GB2312"/>
          <w:b w:val="0"/>
          <w:bCs w:val="0"/>
          <w:sz w:val="28"/>
        </w:rPr>
        <w:t>、省外24小时内派有关人员到达现场，解决问题；</w:t>
      </w:r>
    </w:p>
    <w:p w14:paraId="30C995DC">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2、在质保期之后，如发现承揽方所提供的设备（或材料）存在问题，需要承揽方配合解决时，承揽方须在接到通知后市内2</w:t>
      </w:r>
      <w:r>
        <w:rPr>
          <w:rFonts w:hint="eastAsia" w:ascii="仿宋_GB2312" w:hAnsi="仿宋_GB2312" w:eastAsia="仿宋_GB2312" w:cs="仿宋_GB2312"/>
          <w:b w:val="0"/>
          <w:bCs w:val="0"/>
          <w:sz w:val="28"/>
          <w:lang w:val="en-US" w:eastAsia="zh-CN"/>
        </w:rPr>
        <w:t>小时</w:t>
      </w:r>
      <w:r>
        <w:rPr>
          <w:rFonts w:hint="eastAsia" w:ascii="仿宋_GB2312" w:hAnsi="仿宋_GB2312" w:eastAsia="仿宋_GB2312" w:cs="仿宋_GB2312"/>
          <w:b w:val="0"/>
          <w:bCs w:val="0"/>
          <w:sz w:val="28"/>
        </w:rPr>
        <w:t>、省内8</w:t>
      </w:r>
      <w:r>
        <w:rPr>
          <w:rFonts w:hint="eastAsia" w:ascii="仿宋_GB2312" w:hAnsi="仿宋_GB2312" w:eastAsia="仿宋_GB2312" w:cs="仿宋_GB2312"/>
          <w:b w:val="0"/>
          <w:bCs w:val="0"/>
          <w:sz w:val="28"/>
          <w:lang w:val="en-US" w:eastAsia="zh-CN"/>
        </w:rPr>
        <w:t>小时</w:t>
      </w:r>
      <w:r>
        <w:rPr>
          <w:rFonts w:hint="eastAsia" w:ascii="仿宋_GB2312" w:hAnsi="仿宋_GB2312" w:eastAsia="仿宋_GB2312" w:cs="仿宋_GB2312"/>
          <w:b w:val="0"/>
          <w:bCs w:val="0"/>
          <w:sz w:val="28"/>
        </w:rPr>
        <w:t>、省外24小时内派有关人员到达现场，协助委托方解决问题；</w:t>
      </w:r>
    </w:p>
    <w:p w14:paraId="1BCA3815">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3、所有的售后服务均由承揽方受理。如果发生问题并且收到报告，应当在2小时内予以答复；</w:t>
      </w:r>
    </w:p>
    <w:p w14:paraId="2EB5B422">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4、承揽方应为委托方提供最佳的服务。</w:t>
      </w:r>
    </w:p>
    <w:p w14:paraId="2DB2D3A8">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（五）其它服务</w:t>
      </w:r>
    </w:p>
    <w:p w14:paraId="1A75A513">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1、若承揽方所提供部分有需要进口的，承揽方一般应自行、自费办理；必要时，双方共同办理；</w:t>
      </w:r>
    </w:p>
    <w:p w14:paraId="65132B47">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2、除招标文件、投标文件、答疑文件、技术协议、合同等约定之外，承揽方应负责必要的或强制性的设备（或材料）的检验、试验、化验等直接费用；</w:t>
      </w:r>
    </w:p>
    <w:p w14:paraId="7BF4AFC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3、本章节条款所列“免费”，并非指定不可收费，而是指招标文件、投标文件、答疑文件、技术交流文件、技术协议书和合同等范围之外，承揽方不可另行收取的费用。</w:t>
      </w:r>
    </w:p>
    <w:p w14:paraId="466809E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四、预验收和终验收要求【特别是非标产品】</w:t>
      </w:r>
    </w:p>
    <w:p w14:paraId="0058F8D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按照参考招标文件、投标文件、答疑文件、技术交流文件等形成并达成一致的技术协议书和合同规定验收。</w:t>
      </w:r>
    </w:p>
    <w:p w14:paraId="2EA65CD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验收一般分为预验收和终验收两部分。预验收一般在承揽方进行，终验收在安装调试完成后的委托方现场进行。但是所有的项目，包括不能预验收的项目和预验收通过的项目都在终验收时重新检验，最终只以终验收为准。</w:t>
      </w:r>
    </w:p>
    <w:p w14:paraId="22233F4C">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1、终验收规程：</w:t>
      </w:r>
    </w:p>
    <w:p w14:paraId="38F217E5">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项目实施完毕情况下，一般连续运行30天，除用户方面因素外，必须达到以下要求：</w:t>
      </w:r>
    </w:p>
    <w:p w14:paraId="512B1DE0">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a）在整个验收过程中没有维修、更换零部件或元件行为；</w:t>
      </w:r>
    </w:p>
    <w:p w14:paraId="50266512">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b）终验收原则上要求一次完成。若一次验收不成功，最多允许两次；</w:t>
      </w:r>
    </w:p>
    <w:p w14:paraId="3C6F7166">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c）终验收通过后买卖双方共同签署终验收报告。</w:t>
      </w:r>
    </w:p>
    <w:p w14:paraId="07823CEA">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2、一般标准与要求：</w:t>
      </w:r>
    </w:p>
    <w:p w14:paraId="48174D90">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① 预验收的一般标准与要求</w:t>
      </w:r>
    </w:p>
    <w:p w14:paraId="58DA513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a.资料齐全性、完整性和有效性。按照“配套供货范围及要求”中“技术资料范围”的规定验收；</w:t>
      </w:r>
    </w:p>
    <w:p w14:paraId="03271894">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b.产品（或材料）应运行灵活、稳定、可靠、安全，无异常声音和非正常振动。设备不允许出现漏水、漏液、漏气（汽）、漏电。</w:t>
      </w:r>
    </w:p>
    <w:p w14:paraId="7237370D">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c.产品（或材料）外观应无损伤，应该涂满同种明亮清晰的油漆（特殊标志除外）。设备应该完整且所有的零部件应该安装牢固，所有的焊缝饱满、无残渣等缺陷；</w:t>
      </w:r>
    </w:p>
    <w:p w14:paraId="3A35FD1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d.产品（或材料）应有完整的标牌，且清晰易见；</w:t>
      </w:r>
    </w:p>
    <w:p w14:paraId="76B8232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e.产品（或材料）的安全要求符合中国最新的相关法律、法规、标准和规范以及合同要求；</w:t>
      </w:r>
    </w:p>
    <w:p w14:paraId="4A06A687">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②终验收时的一般验收标准与要求：</w:t>
      </w:r>
    </w:p>
    <w:p w14:paraId="04A88A0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a.资料齐全性、完整性和有效性。</w:t>
      </w:r>
    </w:p>
    <w:p w14:paraId="636220C7">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b.产品（或材料）应运行稳定、可靠、安全，无异常声音和非正常振动。设备不允许出现漏水、漏液、漏气（汽）、漏电。</w:t>
      </w:r>
    </w:p>
    <w:p w14:paraId="6B2CCD81">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c.产品（或材料）应有完整的标牌，且清晰易见；</w:t>
      </w:r>
    </w:p>
    <w:p w14:paraId="498C1519">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③ 终验收条件</w:t>
      </w:r>
    </w:p>
    <w:p w14:paraId="1CEAD7FF">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依据招标文件、投标文件、答疑文件、技术交流文件等形成并达成一致的技术协议书和合同规定的终验收条件、原设备的技术参数，说明书及国家或行业对设备表面涂漆最新专业技术标准和安全法规要求验收。</w:t>
      </w:r>
    </w:p>
    <w:p w14:paraId="7DE04420">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若属于国家相关机关单位强制要求检验校准的设备大修、项修，以通过相关检查校准，作为项目终验收合格的依据。</w:t>
      </w:r>
    </w:p>
    <w:p w14:paraId="568AEC5B">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1.资料核查</w:t>
      </w:r>
    </w:p>
    <w:p w14:paraId="4EFAF314">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rPr>
        <w:t>验收资料包括:产品合格证、检测报告(GB 38230-2025 全项检测)隐蔽工程记录(锚孔深度、螺栓扭矩)、拉拔试验报告及安装自检记录。</w:t>
      </w:r>
    </w:p>
    <w:p w14:paraId="15F3B769">
      <w:pPr>
        <w:pStyle w:val="60"/>
        <w:spacing w:line="360" w:lineRule="auto"/>
        <w:ind w:firstLine="560"/>
        <w:rPr>
          <w:rFonts w:hint="eastAsia" w:ascii="仿宋_GB2312" w:hAnsi="仿宋_GB2312" w:eastAsia="仿宋_GB2312" w:cs="仿宋_GB2312"/>
          <w:b w:val="0"/>
          <w:bCs w:val="0"/>
          <w:sz w:val="28"/>
          <w:lang w:val="en-US" w:eastAsia="zh-CN"/>
        </w:rPr>
      </w:pPr>
      <w:r>
        <w:rPr>
          <w:rFonts w:hint="eastAsia" w:ascii="仿宋_GB2312" w:hAnsi="仿宋_GB2312" w:eastAsia="仿宋_GB2312" w:cs="仿宋_GB2312"/>
          <w:b w:val="0"/>
          <w:bCs w:val="0"/>
          <w:sz w:val="28"/>
          <w:lang w:val="en-US" w:eastAsia="zh-CN"/>
        </w:rPr>
        <w:t>2.观感质量</w:t>
      </w:r>
    </w:p>
    <w:p w14:paraId="59529538">
      <w:pPr>
        <w:pStyle w:val="60"/>
        <w:spacing w:line="360" w:lineRule="auto"/>
        <w:ind w:firstLine="560"/>
        <w:rPr>
          <w:rFonts w:hint="eastAsia" w:ascii="仿宋_GB2312" w:hAnsi="仿宋_GB2312" w:eastAsia="仿宋_GB2312" w:cs="仿宋_GB2312"/>
          <w:b w:val="0"/>
          <w:bCs w:val="0"/>
          <w:sz w:val="28"/>
        </w:rPr>
      </w:pPr>
      <w:r>
        <w:rPr>
          <w:rFonts w:hint="eastAsia" w:ascii="仿宋_GB2312" w:hAnsi="仿宋_GB2312" w:eastAsia="仿宋_GB2312" w:cs="仿宋_GB2312"/>
          <w:b w:val="0"/>
          <w:bCs w:val="0"/>
          <w:sz w:val="28"/>
          <w:lang w:val="en-US" w:eastAsia="zh-CN"/>
        </w:rPr>
        <w:t>固定支架表面平整，涂层无剥落、气泡，焊缝打磨光滑;绳索垂挂顺直，无明显弯曲，保护量安装牢固，开启灵活标识清晰完整，包含产品型号、额定荷载、安装日期及维护电话。</w:t>
      </w:r>
    </w:p>
    <w:p w14:paraId="72182827">
      <w:pPr>
        <w:pStyle w:val="60"/>
        <w:spacing w:line="360" w:lineRule="auto"/>
        <w:ind w:firstLine="560"/>
        <w:rPr>
          <w:rFonts w:hint="eastAsia" w:ascii="仿宋_GB2312" w:hAnsi="仿宋_GB2312" w:eastAsia="仿宋_GB2312" w:cs="仿宋_GB2312"/>
          <w:b w:val="0"/>
          <w:bCs w:val="0"/>
          <w:sz w:val="28"/>
        </w:rPr>
      </w:pPr>
    </w:p>
    <w:p w14:paraId="0BD85323"/>
    <w:p w14:paraId="35576994">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0C05619E">
      <w:pPr>
        <w:jc w:val="cente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t>评分标准</w:t>
      </w:r>
    </w:p>
    <w:p w14:paraId="098A6F7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采用合理最低价</w:t>
      </w:r>
      <w:r>
        <w:rPr>
          <w:rFonts w:hint="eastAsia" w:ascii="宋体" w:hAnsi="宋体" w:cs="宋体"/>
          <w:color w:val="000000"/>
          <w:sz w:val="24"/>
          <w:szCs w:val="24"/>
          <w:highlight w:val="none"/>
          <w:lang w:val="en-US" w:eastAsia="zh-CN"/>
        </w:rPr>
        <w:t>评</w:t>
      </w:r>
      <w:r>
        <w:rPr>
          <w:rFonts w:hint="eastAsia" w:ascii="宋体" w:hAnsi="宋体" w:eastAsia="宋体" w:cs="宋体"/>
          <w:color w:val="000000"/>
          <w:sz w:val="24"/>
          <w:szCs w:val="24"/>
          <w:highlight w:val="none"/>
          <w:lang w:val="en-US" w:eastAsia="zh-CN"/>
        </w:rPr>
        <w:t>标法</w:t>
      </w:r>
    </w:p>
    <w:p w14:paraId="3179231C">
      <w:pPr>
        <w:keepNext w:val="0"/>
        <w:keepLines w:val="0"/>
        <w:pageBreakBefore w:val="0"/>
        <w:widowControl w:val="0"/>
        <w:kinsoku/>
        <w:wordWrap/>
        <w:overflowPunct/>
        <w:topLinePunct w:val="0"/>
        <w:autoSpaceDE/>
        <w:autoSpaceDN/>
        <w:bidi w:val="0"/>
        <w:adjustRightInd/>
        <w:snapToGrid/>
        <w:ind w:right="0" w:firstLine="480" w:firstLineChars="200"/>
        <w:textAlignment w:val="auto"/>
        <w:rPr>
          <w:rFonts w:hint="eastAsia" w:ascii="Calibri" w:hAnsi="Calibri" w:cs="Times New Roman"/>
          <w:b/>
          <w:bCs/>
          <w:kern w:val="44"/>
          <w:sz w:val="44"/>
          <w:szCs w:val="44"/>
          <w:highlight w:val="none"/>
          <w:lang w:val="en-US" w:eastAsia="zh-CN"/>
        </w:rPr>
      </w:pPr>
      <w:r>
        <w:rPr>
          <w:rFonts w:hint="eastAsia" w:ascii="宋体" w:hAnsi="宋体" w:eastAsia="宋体" w:cs="宋体"/>
          <w:color w:val="000000"/>
          <w:sz w:val="24"/>
          <w:szCs w:val="24"/>
          <w:highlight w:val="none"/>
          <w:lang w:val="en-US" w:eastAsia="zh-CN"/>
        </w:rPr>
        <w:t>由招标人组成的评标委员会负责，进行商务谈判，本着公平、公正、公开、有序的原则，在最大限度地满足招标文件实质性要求的前提下，磋商项目价格，满足要求后，选择合理最低价确定中标人，对未中标单位不做任何解释。</w:t>
      </w: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6"/>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16512770">
      <w:pPr>
        <w:rPr>
          <w:rFonts w:hint="eastAsia" w:ascii="仿宋" w:hAnsi="仿宋" w:eastAsia="仿宋"/>
          <w:b/>
          <w:bCs/>
          <w:sz w:val="28"/>
        </w:rPr>
      </w:pPr>
      <w:r>
        <w:rPr>
          <w:rFonts w:hint="eastAsia" w:ascii="仿宋" w:hAnsi="仿宋" w:eastAsia="仿宋"/>
          <w:b/>
          <w:bCs/>
          <w:sz w:val="28"/>
        </w:rPr>
        <w:br w:type="page"/>
      </w:r>
    </w:p>
    <w:p w14:paraId="4676CEFC">
      <w:pPr>
        <w:pStyle w:val="5"/>
        <w:ind w:firstLine="602"/>
        <w:rPr>
          <w:rFonts w:hint="eastAsia" w:ascii="仿宋" w:hAnsi="仿宋" w:eastAsia="仿宋" w:cs="仿宋"/>
          <w:sz w:val="32"/>
          <w:szCs w:val="32"/>
        </w:rPr>
      </w:pPr>
      <w:bookmarkStart w:id="15" w:name="_Toc15717"/>
      <w:r>
        <w:rPr>
          <w:rFonts w:hint="eastAsia" w:ascii="仿宋" w:hAnsi="仿宋" w:eastAsia="仿宋" w:cs="仿宋"/>
          <w:bCs/>
          <w:sz w:val="28"/>
          <w:szCs w:val="28"/>
        </w:rPr>
        <w:t>附件</w:t>
      </w:r>
      <w:r>
        <w:rPr>
          <w:rFonts w:hint="eastAsia" w:ascii="仿宋" w:hAnsi="仿宋" w:eastAsia="仿宋" w:cs="仿宋"/>
          <w:bCs/>
          <w:sz w:val="28"/>
          <w:szCs w:val="28"/>
          <w:lang w:eastAsia="zh-CN"/>
        </w:rPr>
        <w:t>：</w:t>
      </w:r>
      <w:r>
        <w:rPr>
          <w:rFonts w:hint="eastAsia" w:ascii="仿宋" w:hAnsi="仿宋" w:eastAsia="仿宋" w:cs="仿宋"/>
          <w:bCs/>
          <w:sz w:val="28"/>
          <w:szCs w:val="28"/>
        </w:rPr>
        <w:t>踏勘现场登记表</w:t>
      </w:r>
      <w:bookmarkEnd w:id="15"/>
    </w:p>
    <w:p w14:paraId="6B883063">
      <w:pPr>
        <w:ind w:firstLine="0" w:firstLineChars="0"/>
        <w:jc w:val="center"/>
        <w:rPr>
          <w:rFonts w:hint="eastAsia" w:ascii="仿宋" w:hAnsi="仿宋" w:eastAsia="仿宋" w:cs="仿宋"/>
          <w:b/>
          <w:bCs/>
          <w:sz w:val="36"/>
          <w:szCs w:val="36"/>
        </w:rPr>
      </w:pPr>
      <w:r>
        <w:rPr>
          <w:rFonts w:hint="eastAsia" w:ascii="仿宋" w:hAnsi="仿宋" w:eastAsia="仿宋" w:cs="仿宋"/>
          <w:b/>
          <w:bCs/>
          <w:sz w:val="36"/>
          <w:szCs w:val="36"/>
        </w:rPr>
        <w:t>踏勘现场登记表</w:t>
      </w:r>
    </w:p>
    <w:p w14:paraId="37544C70">
      <w:pPr>
        <w:tabs>
          <w:tab w:val="left" w:pos="8042"/>
        </w:tabs>
        <w:spacing w:before="26" w:after="120"/>
        <w:ind w:right="842" w:firstLine="476"/>
        <w:jc w:val="both"/>
        <w:rPr>
          <w:rFonts w:hint="eastAsia" w:ascii="仿宋" w:hAnsi="仿宋" w:eastAsia="仿宋" w:cs="仿宋"/>
          <w:sz w:val="24"/>
          <w:szCs w:val="32"/>
        </w:rPr>
      </w:pPr>
      <w:r>
        <w:rPr>
          <w:rFonts w:hint="eastAsia" w:ascii="仿宋" w:hAnsi="仿宋" w:eastAsia="仿宋" w:cs="仿宋"/>
          <w:spacing w:val="-1"/>
          <w:sz w:val="24"/>
          <w:szCs w:val="32"/>
        </w:rPr>
        <w:t>项目名称：</w:t>
      </w:r>
      <w:r>
        <w:rPr>
          <w:rFonts w:hint="eastAsia" w:ascii="仿宋" w:hAnsi="仿宋" w:eastAsia="仿宋" w:cs="仿宋"/>
          <w:spacing w:val="-1"/>
          <w:sz w:val="24"/>
          <w:szCs w:val="32"/>
          <w:u w:val="single" w:color="000000"/>
        </w:rPr>
        <w:tab/>
      </w:r>
      <w:r>
        <w:rPr>
          <w:rFonts w:hint="eastAsia" w:ascii="仿宋" w:hAnsi="仿宋" w:eastAsia="仿宋" w:cs="仿宋"/>
          <w:sz w:val="24"/>
          <w:szCs w:val="32"/>
        </w:rPr>
        <w:t xml:space="preserve"> </w:t>
      </w:r>
    </w:p>
    <w:p w14:paraId="4A447E00">
      <w:pPr>
        <w:tabs>
          <w:tab w:val="left" w:pos="8042"/>
        </w:tabs>
        <w:spacing w:before="26" w:after="120"/>
        <w:ind w:right="842" w:firstLine="476"/>
        <w:jc w:val="both"/>
        <w:rPr>
          <w:rFonts w:hint="eastAsia" w:ascii="仿宋" w:hAnsi="仿宋" w:eastAsia="仿宋" w:cs="仿宋"/>
          <w:sz w:val="24"/>
          <w:szCs w:val="32"/>
        </w:rPr>
      </w:pPr>
      <w:r>
        <w:rPr>
          <w:rFonts w:hint="eastAsia" w:ascii="仿宋" w:hAnsi="仿宋" w:eastAsia="仿宋" w:cs="仿宋"/>
          <w:sz w:val="24"/>
          <w:szCs w:val="32"/>
        </w:rPr>
        <w:t>项目编号：</w:t>
      </w:r>
      <w:r>
        <w:rPr>
          <w:rFonts w:hint="eastAsia" w:ascii="仿宋" w:hAnsi="仿宋" w:eastAsia="仿宋" w:cs="仿宋"/>
          <w:sz w:val="24"/>
          <w:szCs w:val="32"/>
          <w:u w:val="single"/>
        </w:rPr>
        <w:t xml:space="preserve">                  </w:t>
      </w:r>
      <w:r>
        <w:rPr>
          <w:rFonts w:hint="eastAsia" w:ascii="仿宋" w:hAnsi="仿宋" w:eastAsia="仿宋" w:cs="仿宋"/>
          <w:sz w:val="24"/>
          <w:szCs w:val="32"/>
        </w:rPr>
        <w:t>按采购文件规定。</w:t>
      </w:r>
    </w:p>
    <w:p w14:paraId="3714071C">
      <w:pPr>
        <w:tabs>
          <w:tab w:val="left" w:pos="6002"/>
        </w:tabs>
        <w:spacing w:before="34" w:after="120"/>
        <w:ind w:right="137" w:firstLine="476"/>
        <w:jc w:val="both"/>
        <w:rPr>
          <w:rFonts w:hint="eastAsia" w:ascii="仿宋" w:hAnsi="仿宋" w:eastAsia="仿宋" w:cs="仿宋"/>
          <w:sz w:val="24"/>
          <w:szCs w:val="32"/>
        </w:rPr>
      </w:pPr>
      <w:r>
        <w:rPr>
          <w:rFonts w:hint="eastAsia" w:ascii="仿宋" w:hAnsi="仿宋" w:eastAsia="仿宋" w:cs="仿宋"/>
          <w:spacing w:val="-1"/>
          <w:sz w:val="24"/>
          <w:szCs w:val="32"/>
        </w:rPr>
        <w:t>我方（公司名称：</w:t>
      </w:r>
      <w:r>
        <w:rPr>
          <w:rFonts w:hint="eastAsia" w:ascii="仿宋" w:hAnsi="仿宋" w:eastAsia="仿宋" w:cs="仿宋"/>
          <w:spacing w:val="-1"/>
          <w:sz w:val="24"/>
          <w:szCs w:val="32"/>
          <w:lang w:val="en-US" w:eastAsia="zh-CN"/>
        </w:rPr>
        <w:t>________________________</w:t>
      </w:r>
      <w:r>
        <w:rPr>
          <w:rFonts w:hint="eastAsia" w:ascii="仿宋" w:hAnsi="仿宋" w:eastAsia="仿宋" w:cs="仿宋"/>
          <w:sz w:val="24"/>
          <w:szCs w:val="32"/>
        </w:rPr>
        <w:t>）于</w:t>
      </w:r>
      <w:r>
        <w:rPr>
          <w:rFonts w:hint="eastAsia" w:ascii="仿宋" w:hAnsi="仿宋" w:eastAsia="仿宋" w:cs="仿宋"/>
          <w:sz w:val="24"/>
          <w:szCs w:val="32"/>
          <w:u w:val="single"/>
          <w:lang w:val="en-US" w:eastAsia="zh-CN"/>
        </w:rPr>
        <w:t xml:space="preserve">    </w:t>
      </w:r>
      <w:r>
        <w:rPr>
          <w:rFonts w:hint="eastAsia" w:ascii="仿宋" w:hAnsi="仿宋" w:eastAsia="仿宋" w:cs="仿宋"/>
          <w:sz w:val="24"/>
          <w:szCs w:val="32"/>
        </w:rPr>
        <w:t>年</w:t>
      </w:r>
      <w:r>
        <w:rPr>
          <w:rFonts w:hint="eastAsia" w:ascii="仿宋" w:hAnsi="仿宋" w:eastAsia="仿宋" w:cs="仿宋"/>
          <w:sz w:val="24"/>
          <w:szCs w:val="32"/>
          <w:u w:val="single"/>
          <w:lang w:val="en-US" w:eastAsia="zh-CN"/>
        </w:rPr>
        <w:t xml:space="preserve">     </w:t>
      </w:r>
      <w:r>
        <w:rPr>
          <w:rFonts w:hint="eastAsia" w:ascii="仿宋" w:hAnsi="仿宋" w:eastAsia="仿宋" w:cs="仿宋"/>
          <w:sz w:val="24"/>
          <w:szCs w:val="32"/>
        </w:rPr>
        <w:t>月</w:t>
      </w:r>
      <w:r>
        <w:rPr>
          <w:rFonts w:hint="eastAsia" w:ascii="仿宋" w:hAnsi="仿宋" w:eastAsia="仿宋" w:cs="仿宋"/>
          <w:sz w:val="24"/>
          <w:szCs w:val="32"/>
          <w:u w:val="single" w:color="000000"/>
        </w:rPr>
        <w:tab/>
      </w:r>
      <w:r>
        <w:rPr>
          <w:rFonts w:hint="eastAsia" w:ascii="仿宋" w:hAnsi="仿宋" w:eastAsia="仿宋" w:cs="仿宋"/>
          <w:sz w:val="24"/>
          <w:szCs w:val="32"/>
          <w:u w:val="single" w:color="000000"/>
        </w:rPr>
        <w:t xml:space="preserve">  </w:t>
      </w:r>
      <w:r>
        <w:rPr>
          <w:rFonts w:hint="eastAsia" w:ascii="仿宋" w:hAnsi="仿宋" w:eastAsia="仿宋" w:cs="仿宋"/>
          <w:sz w:val="24"/>
          <w:szCs w:val="32"/>
        </w:rPr>
        <w:t>日完成现场踏勘且了解现场环境和要求，并根据采购人要求制定项目实施方案。</w:t>
      </w:r>
    </w:p>
    <w:p w14:paraId="0240B7F6">
      <w:pPr>
        <w:tabs>
          <w:tab w:val="left" w:pos="2282"/>
        </w:tabs>
        <w:spacing w:before="36" w:after="120"/>
        <w:ind w:right="602" w:firstLine="480"/>
        <w:jc w:val="both"/>
        <w:rPr>
          <w:rFonts w:hint="eastAsia" w:ascii="仿宋" w:hAnsi="仿宋" w:eastAsia="仿宋" w:cs="仿宋"/>
          <w:sz w:val="24"/>
          <w:szCs w:val="32"/>
        </w:rPr>
      </w:pPr>
      <w:r>
        <w:rPr>
          <w:rFonts w:hint="eastAsia" w:ascii="仿宋" w:hAnsi="仿宋" w:eastAsia="仿宋" w:cs="仿宋"/>
          <w:sz w:val="24"/>
          <w:szCs w:val="32"/>
        </w:rPr>
        <w:t xml:space="preserve">此现场踏勘证明文件为响应文件有效组成部分（胶装于响应文件中）。 </w:t>
      </w:r>
    </w:p>
    <w:p w14:paraId="16E94149">
      <w:pPr>
        <w:tabs>
          <w:tab w:val="left" w:pos="2282"/>
        </w:tabs>
        <w:spacing w:before="36" w:after="120"/>
        <w:ind w:right="602" w:firstLine="480"/>
        <w:jc w:val="both"/>
        <w:rPr>
          <w:rFonts w:hint="eastAsia" w:ascii="仿宋" w:hAnsi="仿宋" w:eastAsia="仿宋" w:cs="仿宋"/>
          <w:sz w:val="24"/>
          <w:szCs w:val="32"/>
        </w:rPr>
      </w:pPr>
    </w:p>
    <w:p w14:paraId="584F7C54">
      <w:pPr>
        <w:pStyle w:val="9"/>
        <w:rPr>
          <w:rFonts w:hint="eastAsia"/>
        </w:rPr>
      </w:pPr>
    </w:p>
    <w:p w14:paraId="74DD9617">
      <w:pPr>
        <w:tabs>
          <w:tab w:val="left" w:pos="2282"/>
        </w:tabs>
        <w:spacing w:before="36" w:after="120"/>
        <w:ind w:right="602" w:firstLine="480"/>
        <w:jc w:val="both"/>
        <w:rPr>
          <w:rFonts w:hint="eastAsia" w:ascii="仿宋" w:hAnsi="仿宋" w:eastAsia="仿宋" w:cs="仿宋"/>
          <w:sz w:val="24"/>
          <w:szCs w:val="32"/>
        </w:rPr>
      </w:pPr>
      <w:r>
        <w:rPr>
          <w:rFonts w:hint="eastAsia" w:ascii="仿宋" w:hAnsi="仿宋" w:eastAsia="仿宋" w:cs="仿宋"/>
          <w:sz w:val="24"/>
          <w:szCs w:val="32"/>
        </w:rPr>
        <w:t>供应商名称（盖公章）：</w:t>
      </w:r>
      <w:r>
        <w:rPr>
          <w:rFonts w:hint="eastAsia" w:ascii="仿宋" w:hAnsi="仿宋" w:eastAsia="仿宋" w:cs="仿宋"/>
          <w:sz w:val="24"/>
          <w:szCs w:val="32"/>
        </w:rPr>
        <w:tab/>
      </w:r>
    </w:p>
    <w:p w14:paraId="10C6572E">
      <w:pPr>
        <w:tabs>
          <w:tab w:val="left" w:pos="6182"/>
          <w:tab w:val="left" w:pos="6782"/>
        </w:tabs>
        <w:spacing w:before="144" w:after="120"/>
        <w:ind w:right="137" w:firstLine="480"/>
        <w:jc w:val="both"/>
        <w:rPr>
          <w:rFonts w:hint="eastAsia" w:ascii="仿宋" w:hAnsi="仿宋" w:eastAsia="仿宋" w:cs="仿宋"/>
          <w:sz w:val="24"/>
          <w:szCs w:val="32"/>
        </w:rPr>
      </w:pPr>
      <w:r>
        <w:rPr>
          <w:rFonts w:hint="eastAsia" w:ascii="仿宋" w:hAnsi="仿宋" w:eastAsia="仿宋" w:cs="仿宋"/>
          <w:sz w:val="24"/>
          <w:szCs w:val="32"/>
        </w:rPr>
        <w:t xml:space="preserve">踏勘时间: </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年</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月  日</w:t>
      </w:r>
    </w:p>
    <w:p w14:paraId="0EDDC285">
      <w:pPr>
        <w:spacing w:before="5"/>
        <w:rPr>
          <w:rFonts w:hint="eastAsia" w:ascii="仿宋" w:hAnsi="仿宋" w:eastAsia="仿宋" w:cs="仿宋"/>
          <w:sz w:val="24"/>
          <w:szCs w:val="32"/>
        </w:rPr>
      </w:pPr>
    </w:p>
    <w:p w14:paraId="2BCE5396">
      <w:pPr>
        <w:pStyle w:val="9"/>
        <w:rPr>
          <w:rFonts w:hint="eastAsia"/>
        </w:rPr>
      </w:pPr>
    </w:p>
    <w:p w14:paraId="0969C34D">
      <w:pPr>
        <w:spacing w:after="120"/>
        <w:ind w:right="1585" w:firstLine="480"/>
        <w:jc w:val="both"/>
        <w:rPr>
          <w:rFonts w:hint="eastAsia" w:ascii="仿宋" w:hAnsi="仿宋" w:eastAsia="仿宋" w:cs="仿宋"/>
          <w:sz w:val="24"/>
          <w:szCs w:val="32"/>
        </w:rPr>
      </w:pPr>
      <w:r>
        <w:rPr>
          <w:rFonts w:hint="eastAsia" w:ascii="仿宋" w:hAnsi="仿宋" w:eastAsia="仿宋" w:cs="仿宋"/>
          <w:sz w:val="24"/>
          <w:szCs w:val="32"/>
          <w:lang w:val="en-US" w:eastAsia="zh-CN"/>
        </w:rPr>
        <w:t>招标单位</w:t>
      </w:r>
      <w:r>
        <w:rPr>
          <w:rFonts w:hint="eastAsia" w:ascii="仿宋" w:hAnsi="仿宋" w:eastAsia="仿宋" w:cs="仿宋"/>
          <w:sz w:val="24"/>
          <w:szCs w:val="32"/>
        </w:rPr>
        <w:t xml:space="preserve">：中国重汽集团济南动力有限公司 </w:t>
      </w:r>
    </w:p>
    <w:p w14:paraId="23274084">
      <w:pPr>
        <w:spacing w:after="120"/>
        <w:ind w:right="1585" w:firstLine="480"/>
        <w:jc w:val="both"/>
        <w:rPr>
          <w:rFonts w:hint="eastAsia" w:ascii="仿宋" w:hAnsi="仿宋" w:eastAsia="仿宋" w:cs="仿宋"/>
          <w:sz w:val="24"/>
          <w:szCs w:val="32"/>
        </w:rPr>
      </w:pPr>
      <w:r>
        <w:rPr>
          <w:rFonts w:hint="eastAsia" w:ascii="仿宋" w:hAnsi="仿宋" w:eastAsia="仿宋" w:cs="仿宋"/>
          <w:sz w:val="24"/>
          <w:szCs w:val="32"/>
          <w:lang w:val="en-US" w:eastAsia="zh-CN"/>
        </w:rPr>
        <w:t>被服务单位现场联络</w:t>
      </w:r>
      <w:r>
        <w:rPr>
          <w:rFonts w:hint="eastAsia" w:ascii="仿宋" w:hAnsi="仿宋" w:eastAsia="仿宋" w:cs="仿宋"/>
          <w:sz w:val="24"/>
          <w:szCs w:val="32"/>
        </w:rPr>
        <w:t>人（签字）：</w:t>
      </w:r>
    </w:p>
    <w:p w14:paraId="5762F502">
      <w:pPr>
        <w:tabs>
          <w:tab w:val="left" w:pos="6302"/>
          <w:tab w:val="left" w:pos="6782"/>
        </w:tabs>
        <w:spacing w:before="190" w:after="120"/>
        <w:ind w:right="137" w:firstLine="480"/>
        <w:jc w:val="both"/>
        <w:rPr>
          <w:rFonts w:hint="eastAsia" w:ascii="仿宋" w:hAnsi="仿宋" w:eastAsia="仿宋" w:cs="仿宋"/>
          <w:sz w:val="24"/>
          <w:szCs w:val="32"/>
        </w:rPr>
      </w:pPr>
      <w:r>
        <w:rPr>
          <w:rFonts w:hint="eastAsia" w:ascii="仿宋" w:hAnsi="仿宋" w:eastAsia="仿宋" w:cs="仿宋"/>
          <w:sz w:val="24"/>
          <w:szCs w:val="32"/>
        </w:rPr>
        <w:t>踏勘时间:</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年</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月  日</w:t>
      </w:r>
    </w:p>
    <w:p w14:paraId="5D09B9E6">
      <w:pPr>
        <w:ind w:firstLine="480"/>
        <w:rPr>
          <w:rFonts w:hint="eastAsia" w:ascii="仿宋" w:hAnsi="仿宋" w:eastAsia="仿宋" w:cs="仿宋"/>
          <w:sz w:val="24"/>
          <w:szCs w:val="32"/>
        </w:rPr>
      </w:pPr>
    </w:p>
    <w:p w14:paraId="22551E39">
      <w:pPr>
        <w:ind w:firstLine="480"/>
        <w:rPr>
          <w:rFonts w:hint="eastAsia" w:ascii="仿宋" w:hAnsi="仿宋" w:eastAsia="仿宋" w:cs="仿宋"/>
          <w:sz w:val="24"/>
          <w:szCs w:val="32"/>
        </w:rPr>
      </w:pPr>
    </w:p>
    <w:p w14:paraId="5DBE4F7B">
      <w:pPr>
        <w:pStyle w:val="9"/>
        <w:rPr>
          <w:rFonts w:hint="eastAsia"/>
        </w:rPr>
      </w:pPr>
    </w:p>
    <w:p w14:paraId="59A4F9E5">
      <w:pPr>
        <w:pStyle w:val="9"/>
        <w:ind w:firstLine="482"/>
        <w:rPr>
          <w:rFonts w:hint="eastAsia" w:ascii="仿宋" w:hAnsi="仿宋" w:eastAsia="仿宋"/>
          <w:b/>
          <w:bCs/>
          <w:sz w:val="28"/>
        </w:rPr>
      </w:pPr>
      <w:r>
        <w:rPr>
          <w:rFonts w:hint="eastAsia" w:ascii="仿宋" w:hAnsi="仿宋" w:eastAsia="仿宋" w:cs="仿宋"/>
          <w:b/>
          <w:kern w:val="0"/>
          <w:sz w:val="24"/>
          <w:szCs w:val="32"/>
        </w:rPr>
        <w:t>注：供应商自行打印该踏勘证明，完善信息并盖章。踏勘现场时带到现场由</w:t>
      </w:r>
      <w:r>
        <w:rPr>
          <w:rFonts w:hint="eastAsia" w:ascii="仿宋" w:hAnsi="仿宋" w:eastAsia="仿宋" w:cs="仿宋"/>
          <w:b/>
          <w:kern w:val="0"/>
          <w:sz w:val="24"/>
          <w:szCs w:val="32"/>
          <w:lang w:val="en-US" w:eastAsia="zh-CN"/>
        </w:rPr>
        <w:t>现场负责人</w:t>
      </w:r>
      <w:r>
        <w:rPr>
          <w:rFonts w:hint="eastAsia" w:ascii="仿宋" w:hAnsi="仿宋" w:eastAsia="仿宋" w:cs="仿宋"/>
          <w:b/>
          <w:kern w:val="0"/>
          <w:sz w:val="24"/>
          <w:szCs w:val="32"/>
        </w:rPr>
        <w:t>签字或盖章，原件胶装于响应文件正本中。</w:t>
      </w:r>
      <w:r>
        <w:rPr>
          <w:rFonts w:hint="eastAsia" w:ascii="仿宋" w:hAnsi="仿宋" w:eastAsia="仿宋"/>
          <w:b/>
          <w:bCs/>
          <w:sz w:val="28"/>
        </w:rPr>
        <w:br w:type="page"/>
      </w:r>
    </w:p>
    <w:p w14:paraId="6D541E5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6" w:name="_Toc25811"/>
      <w:bookmarkStart w:id="17" w:name="_Toc212369550"/>
      <w:bookmarkStart w:id="18" w:name="_Toc353881012"/>
      <w:bookmarkStart w:id="19"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6"/>
      <w:bookmarkEnd w:id="17"/>
      <w:bookmarkEnd w:id="18"/>
      <w:bookmarkEnd w:id="19"/>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cs="Times New Roman"/>
          <w:color w:val="000000"/>
          <w:sz w:val="24"/>
          <w:szCs w:val="24"/>
          <w:lang w:eastAsia="zh-CN"/>
        </w:rPr>
        <w:t>中国重汽集团</w:t>
      </w:r>
      <w:r>
        <w:rPr>
          <w:rFonts w:hint="eastAsia" w:ascii="宋体" w:hAnsi="宋体" w:cs="Times New Roman"/>
          <w:color w:val="000000"/>
          <w:sz w:val="24"/>
          <w:szCs w:val="24"/>
          <w:lang w:val="en-US" w:eastAsia="zh-CN"/>
        </w:rPr>
        <w:t>济南动力有限公司</w:t>
      </w:r>
      <w:r>
        <w:rPr>
          <w:rFonts w:hint="eastAsia" w:ascii="宋体" w:hAnsi="宋体" w:eastAsia="宋体" w:cs="Times New Roman"/>
          <w:color w:val="000000"/>
          <w:sz w:val="24"/>
          <w:szCs w:val="24"/>
        </w:rPr>
        <w:t>：</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cs="宋体"/>
          <w:b/>
          <w:bCs/>
          <w:sz w:val="24"/>
          <w:szCs w:val="24"/>
          <w:highlight w:val="none"/>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hint="eastAsia" w:ascii="宋体" w:hAnsi="宋体" w:cs="Times New Roman"/>
          <w:bCs/>
          <w:snapToGrid w:val="0"/>
          <w:color w:val="000000"/>
          <w:kern w:val="0"/>
          <w:sz w:val="24"/>
          <w:szCs w:val="24"/>
          <w:u w:val="single"/>
          <w:lang w:val="en-US" w:eastAsia="zh-CN"/>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60DC9CD8">
      <w:pPr>
        <w:pStyle w:val="26"/>
        <w:rPr>
          <w:rFonts w:ascii="黑体" w:hAnsi="Calibri" w:eastAsia="黑体" w:cs="Times New Roman"/>
          <w:color w:val="000000"/>
          <w:sz w:val="24"/>
          <w:szCs w:val="24"/>
        </w:rPr>
      </w:pPr>
    </w:p>
    <w:p w14:paraId="53745646">
      <w:pPr>
        <w:pStyle w:val="26"/>
        <w:rPr>
          <w:rFonts w:ascii="黑体" w:hAnsi="Calibri" w:eastAsia="黑体" w:cs="Times New Roman"/>
          <w:color w:val="000000"/>
          <w:sz w:val="24"/>
          <w:szCs w:val="24"/>
        </w:rPr>
      </w:pPr>
    </w:p>
    <w:p w14:paraId="3C4E83D1">
      <w:pPr>
        <w:pStyle w:val="26"/>
        <w:rPr>
          <w:rFonts w:ascii="黑体" w:hAnsi="Calibri" w:eastAsia="黑体" w:cs="Times New Roman"/>
          <w:color w:val="000000"/>
          <w:sz w:val="24"/>
          <w:szCs w:val="24"/>
        </w:rPr>
      </w:pPr>
    </w:p>
    <w:p w14:paraId="0BCB4B12">
      <w:pPr>
        <w:pStyle w:val="26"/>
        <w:rPr>
          <w:rFonts w:ascii="黑体" w:hAnsi="Calibri" w:eastAsia="黑体" w:cs="Times New Roman"/>
          <w:color w:val="000000"/>
          <w:sz w:val="24"/>
          <w:szCs w:val="24"/>
        </w:rPr>
      </w:pPr>
    </w:p>
    <w:p w14:paraId="1843BF4B">
      <w:pPr>
        <w:rPr>
          <w:rFonts w:ascii="黑体" w:hAnsi="Calibri" w:eastAsia="黑体" w:cs="Times New Roman"/>
          <w:color w:val="000000"/>
          <w:sz w:val="24"/>
          <w:szCs w:val="24"/>
        </w:rPr>
      </w:pPr>
    </w:p>
    <w:p w14:paraId="782724E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A57B117">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cs="宋体"/>
          <w:b/>
          <w:bCs/>
          <w:sz w:val="24"/>
          <w:szCs w:val="24"/>
          <w:highlight w:val="none"/>
          <w:u w:val="single"/>
          <w:lang w:val="en-US" w:eastAsia="zh-CN"/>
        </w:rPr>
        <w:t>科技园区加装逃生缓降索项目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20804FF3">
      <w:pPr>
        <w:pStyle w:val="2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14197805">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23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23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23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23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23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23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231"/>
              <w:spacing w:before="111"/>
              <w:ind w:left="509"/>
              <w:rPr>
                <w:highlight w:val="yellow"/>
              </w:rPr>
            </w:pPr>
            <w:r>
              <w:t xml:space="preserve">企业法人代表  </w:t>
            </w:r>
          </w:p>
        </w:tc>
        <w:tc>
          <w:tcPr>
            <w:tcW w:w="4680" w:type="dxa"/>
            <w:gridSpan w:val="4"/>
          </w:tcPr>
          <w:p w14:paraId="4B5F8599">
            <w:pPr>
              <w:pStyle w:val="6"/>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23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231"/>
              <w:spacing w:before="114"/>
              <w:ind w:left="720"/>
            </w:pPr>
            <w:r>
              <w:t xml:space="preserve">品牌区分 </w:t>
            </w:r>
          </w:p>
        </w:tc>
        <w:tc>
          <w:tcPr>
            <w:tcW w:w="7500" w:type="dxa"/>
            <w:gridSpan w:val="6"/>
          </w:tcPr>
          <w:p w14:paraId="3BAE0FF2">
            <w:pPr>
              <w:pStyle w:val="23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23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231"/>
              <w:spacing w:before="15"/>
              <w:ind w:left="279"/>
            </w:pPr>
            <w:r>
              <w:rPr>
                <w:spacing w:val="-2"/>
              </w:rPr>
              <w:t>质量</w:t>
            </w:r>
            <w:r>
              <w:t xml:space="preserve"> </w:t>
            </w:r>
          </w:p>
          <w:p w14:paraId="38F7D920">
            <w:pPr>
              <w:pStyle w:val="231"/>
              <w:spacing w:before="30" w:line="277" w:lineRule="exact"/>
              <w:ind w:left="279"/>
            </w:pPr>
            <w:r>
              <w:rPr>
                <w:rFonts w:hint="eastAsia"/>
              </w:rPr>
              <w:t>体系</w:t>
            </w:r>
          </w:p>
        </w:tc>
        <w:tc>
          <w:tcPr>
            <w:tcW w:w="2820" w:type="dxa"/>
            <w:gridSpan w:val="2"/>
          </w:tcPr>
          <w:p w14:paraId="53E9DAB1">
            <w:pPr>
              <w:pStyle w:val="23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23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26"/>
        <w:rPr>
          <w:rFonts w:ascii="Times New Roman" w:hAnsi="Times New Roman" w:eastAsia="宋体" w:cs="Times New Roman"/>
          <w:b/>
          <w:bCs/>
          <w:color w:val="000000"/>
          <w:sz w:val="24"/>
          <w:szCs w:val="24"/>
        </w:rPr>
      </w:pPr>
    </w:p>
    <w:p w14:paraId="37100778">
      <w:pPr>
        <w:pStyle w:val="26"/>
        <w:rPr>
          <w:rFonts w:ascii="Times New Roman" w:hAnsi="Times New Roman" w:eastAsia="宋体" w:cs="Times New Roman"/>
          <w:b/>
          <w:bCs/>
          <w:color w:val="000000"/>
          <w:sz w:val="24"/>
          <w:szCs w:val="24"/>
        </w:rPr>
      </w:pPr>
    </w:p>
    <w:p w14:paraId="39756F36">
      <w:pPr>
        <w:pStyle w:val="26"/>
        <w:rPr>
          <w:rFonts w:ascii="Times New Roman" w:hAnsi="Times New Roman" w:eastAsia="宋体" w:cs="Times New Roman"/>
          <w:b/>
          <w:bCs/>
          <w:color w:val="000000"/>
          <w:sz w:val="24"/>
          <w:szCs w:val="24"/>
        </w:rPr>
      </w:pPr>
    </w:p>
    <w:p w14:paraId="73D8D3DE">
      <w:pPr>
        <w:pStyle w:val="26"/>
        <w:rPr>
          <w:rFonts w:ascii="Times New Roman" w:hAnsi="Times New Roman" w:eastAsia="宋体" w:cs="Times New Roman"/>
          <w:b/>
          <w:bCs/>
          <w:color w:val="000000"/>
          <w:sz w:val="24"/>
          <w:szCs w:val="24"/>
        </w:rPr>
      </w:pPr>
    </w:p>
    <w:p w14:paraId="527F4C72">
      <w:pPr>
        <w:pStyle w:val="26"/>
        <w:rPr>
          <w:rFonts w:ascii="Times New Roman" w:hAnsi="Times New Roman" w:eastAsia="宋体" w:cs="Times New Roman"/>
          <w:b/>
          <w:bCs/>
          <w:color w:val="000000"/>
          <w:sz w:val="24"/>
          <w:szCs w:val="24"/>
        </w:rPr>
      </w:pPr>
    </w:p>
    <w:p w14:paraId="792B9788">
      <w:pPr>
        <w:pStyle w:val="26"/>
        <w:rPr>
          <w:rFonts w:ascii="Times New Roman" w:hAnsi="Times New Roman" w:eastAsia="宋体" w:cs="Times New Roman"/>
          <w:b/>
          <w:bCs/>
          <w:color w:val="000000"/>
          <w:sz w:val="24"/>
          <w:szCs w:val="24"/>
        </w:rPr>
      </w:pPr>
    </w:p>
    <w:p w14:paraId="54D6387F">
      <w:pPr>
        <w:pStyle w:val="26"/>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26"/>
        <w:outlineLvl w:val="3"/>
        <w:rPr>
          <w:rFonts w:hint="eastAsia" w:ascii="Times New Roman" w:hAnsi="Times New Roman" w:eastAsia="宋体" w:cs="Times New Roman"/>
          <w:b/>
          <w:bCs/>
          <w:color w:val="000000"/>
          <w:sz w:val="24"/>
          <w:szCs w:val="24"/>
        </w:rPr>
      </w:pP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74D9F54">
      <w:pPr>
        <w:rPr>
          <w:rFonts w:ascii="宋体" w:hAnsi="Calibri" w:eastAsia="宋体" w:cs="宋体"/>
          <w:b/>
          <w:bCs/>
          <w:color w:val="000000"/>
          <w:sz w:val="28"/>
          <w:szCs w:val="20"/>
        </w:rPr>
        <w:sectPr>
          <w:footerReference r:id="rId7" w:type="first"/>
          <w:footerReference r:id="rId6" w:type="default"/>
          <w:pgSz w:w="11906" w:h="16838"/>
          <w:pgMar w:top="1588" w:right="1418" w:bottom="1134" w:left="1418" w:header="851" w:footer="992" w:gutter="0"/>
          <w:cols w:space="720" w:num="1"/>
          <w:titlePg/>
          <w:docGrid w:type="lines" w:linePitch="312" w:charSpace="0"/>
        </w:sectPr>
      </w:pPr>
    </w:p>
    <w:p w14:paraId="153D75E7">
      <w:pPr>
        <w:pStyle w:val="4"/>
        <w:numPr>
          <w:ilvl w:val="0"/>
          <w:numId w:val="0"/>
        </w:numPr>
        <w:adjustRightInd w:val="0"/>
        <w:snapToGrid w:val="0"/>
        <w:spacing w:before="0" w:after="0" w:line="540" w:lineRule="exact"/>
        <w:jc w:val="center"/>
        <w:rPr>
          <w:rFonts w:hint="eastAsia" w:ascii="仿宋" w:hAnsi="仿宋" w:eastAsia="仿宋"/>
          <w:sz w:val="40"/>
        </w:rPr>
      </w:pPr>
      <w:r>
        <w:rPr>
          <w:rFonts w:hint="eastAsia" w:ascii="仿宋" w:hAnsi="仿宋" w:eastAsia="仿宋"/>
          <w:sz w:val="40"/>
          <w:lang w:val="en-US" w:eastAsia="zh-CN"/>
        </w:rPr>
        <w:t>商务</w:t>
      </w:r>
      <w:r>
        <w:rPr>
          <w:rFonts w:hint="eastAsia" w:ascii="仿宋" w:hAnsi="仿宋" w:eastAsia="仿宋"/>
          <w:sz w:val="40"/>
        </w:rPr>
        <w:t>要求</w:t>
      </w:r>
    </w:p>
    <w:p w14:paraId="041AF2B1"/>
    <w:p w14:paraId="6E03E88B">
      <w:pPr>
        <w:adjustRightInd w:val="0"/>
        <w:snapToGrid w:val="0"/>
        <w:spacing w:line="540" w:lineRule="exact"/>
        <w:jc w:val="center"/>
        <w:rPr>
          <w:rFonts w:hint="eastAsia" w:ascii="仿宋" w:hAnsi="仿宋" w:eastAsia="仿宋"/>
          <w:b/>
          <w:sz w:val="40"/>
          <w:szCs w:val="44"/>
        </w:rPr>
      </w:pPr>
      <w:r>
        <w:rPr>
          <w:rFonts w:hint="eastAsia" w:ascii="仿宋" w:hAnsi="仿宋" w:eastAsia="仿宋"/>
          <w:b/>
          <w:sz w:val="40"/>
          <w:szCs w:val="44"/>
          <w:lang w:val="en-US" w:eastAsia="zh-CN"/>
        </w:rPr>
        <w:t>开标一览</w:t>
      </w:r>
      <w:r>
        <w:rPr>
          <w:rFonts w:hint="eastAsia" w:ascii="仿宋" w:hAnsi="仿宋" w:eastAsia="仿宋"/>
          <w:b/>
          <w:sz w:val="40"/>
          <w:szCs w:val="44"/>
        </w:rPr>
        <w:t>表</w:t>
      </w:r>
    </w:p>
    <w:p w14:paraId="399A0CBB">
      <w:pPr>
        <w:adjustRightInd w:val="0"/>
        <w:snapToGrid w:val="0"/>
        <w:spacing w:line="540" w:lineRule="exact"/>
        <w:ind w:firstLine="480" w:firstLineChars="200"/>
        <w:jc w:val="left"/>
        <w:rPr>
          <w:rFonts w:hint="eastAsia" w:ascii="仿宋" w:hAnsi="仿宋" w:eastAsia="仿宋"/>
          <w:sz w:val="24"/>
          <w:szCs w:val="28"/>
        </w:rPr>
      </w:pPr>
      <w:r>
        <w:rPr>
          <w:rFonts w:hint="eastAsia" w:ascii="仿宋" w:hAnsi="仿宋" w:eastAsia="仿宋"/>
          <w:sz w:val="24"/>
          <w:szCs w:val="28"/>
        </w:rPr>
        <w:t>投标单位</w:t>
      </w:r>
      <w:r>
        <w:rPr>
          <w:rFonts w:ascii="仿宋" w:hAnsi="仿宋" w:eastAsia="仿宋"/>
          <w:sz w:val="24"/>
          <w:szCs w:val="28"/>
        </w:rPr>
        <w:t>(</w:t>
      </w:r>
      <w:r>
        <w:rPr>
          <w:rFonts w:hint="eastAsia" w:ascii="仿宋" w:hAnsi="仿宋" w:eastAsia="仿宋"/>
          <w:sz w:val="24"/>
          <w:szCs w:val="28"/>
        </w:rPr>
        <w:t>章</w:t>
      </w:r>
      <w:r>
        <w:rPr>
          <w:rFonts w:ascii="仿宋" w:hAnsi="仿宋" w:eastAsia="仿宋"/>
          <w:sz w:val="24"/>
          <w:szCs w:val="28"/>
        </w:rPr>
        <w:t>)</w:t>
      </w:r>
      <w:r>
        <w:rPr>
          <w:rFonts w:hint="eastAsia" w:ascii="仿宋" w:hAnsi="仿宋" w:eastAsia="仿宋"/>
          <w:sz w:val="24"/>
          <w:szCs w:val="28"/>
        </w:rPr>
        <w:t xml:space="preserve">：                                                     </w:t>
      </w:r>
    </w:p>
    <w:p w14:paraId="14D600CD">
      <w:pPr>
        <w:adjustRightInd w:val="0"/>
        <w:snapToGrid w:val="0"/>
        <w:spacing w:line="540" w:lineRule="exact"/>
        <w:ind w:firstLine="480" w:firstLineChars="200"/>
        <w:jc w:val="left"/>
        <w:rPr>
          <w:rFonts w:hint="eastAsia" w:ascii="仿宋" w:hAnsi="仿宋" w:eastAsia="仿宋"/>
          <w:sz w:val="24"/>
          <w:szCs w:val="28"/>
        </w:rPr>
      </w:pPr>
      <w:r>
        <w:rPr>
          <w:rFonts w:hint="eastAsia" w:ascii="仿宋" w:hAnsi="仿宋" w:eastAsia="仿宋"/>
          <w:sz w:val="24"/>
          <w:szCs w:val="28"/>
        </w:rPr>
        <w:t>项目名称：</w:t>
      </w:r>
      <w:r>
        <w:rPr>
          <w:rFonts w:hint="eastAsia" w:ascii="仿宋" w:hAnsi="仿宋" w:eastAsia="仿宋"/>
          <w:sz w:val="24"/>
          <w:szCs w:val="28"/>
          <w:lang w:val="en-US" w:eastAsia="zh-CN"/>
        </w:rPr>
        <w:t>科技园区加装逃生缓降索项目</w:t>
      </w:r>
    </w:p>
    <w:tbl>
      <w:tblPr>
        <w:tblStyle w:val="49"/>
        <w:tblW w:w="15250" w:type="dxa"/>
        <w:tblInd w:w="118" w:type="dxa"/>
        <w:tblLayout w:type="autofit"/>
        <w:tblCellMar>
          <w:top w:w="0" w:type="dxa"/>
          <w:left w:w="108" w:type="dxa"/>
          <w:bottom w:w="0" w:type="dxa"/>
          <w:right w:w="108" w:type="dxa"/>
        </w:tblCellMar>
      </w:tblPr>
      <w:tblGrid>
        <w:gridCol w:w="597"/>
        <w:gridCol w:w="1890"/>
        <w:gridCol w:w="598"/>
        <w:gridCol w:w="598"/>
        <w:gridCol w:w="1303"/>
        <w:gridCol w:w="1303"/>
        <w:gridCol w:w="1304"/>
        <w:gridCol w:w="599"/>
        <w:gridCol w:w="7058"/>
      </w:tblGrid>
      <w:tr w14:paraId="5747AD79">
        <w:tblPrEx>
          <w:tblCellMar>
            <w:top w:w="0" w:type="dxa"/>
            <w:left w:w="108" w:type="dxa"/>
            <w:bottom w:w="0" w:type="dxa"/>
            <w:right w:w="108" w:type="dxa"/>
          </w:tblCellMar>
        </w:tblPrEx>
        <w:trPr>
          <w:gridAfter w:val="1"/>
          <w:wAfter w:w="7049" w:type="dxa"/>
          <w:trHeight w:val="1005" w:hRule="atLeast"/>
        </w:trPr>
        <w:tc>
          <w:tcPr>
            <w:tcW w:w="597" w:type="dxa"/>
            <w:tcBorders>
              <w:top w:val="single" w:color="auto" w:sz="8" w:space="0"/>
              <w:left w:val="single" w:color="auto" w:sz="8" w:space="0"/>
              <w:bottom w:val="single" w:color="auto" w:sz="8" w:space="0"/>
              <w:right w:val="single" w:color="auto" w:sz="8" w:space="0"/>
            </w:tcBorders>
            <w:noWrap w:val="0"/>
            <w:vAlign w:val="center"/>
          </w:tcPr>
          <w:p w14:paraId="776C2D85">
            <w:pPr>
              <w:widowControl/>
              <w:jc w:val="center"/>
              <w:rPr>
                <w:rFonts w:ascii="仿宋" w:hAnsi="仿宋" w:eastAsia="仿宋" w:cs="宋体"/>
                <w:color w:val="000000"/>
                <w:kern w:val="0"/>
                <w:sz w:val="22"/>
                <w:szCs w:val="22"/>
              </w:rPr>
            </w:pPr>
            <w:r>
              <w:rPr>
                <w:rFonts w:hint="eastAsia" w:ascii="仿宋" w:hAnsi="仿宋" w:eastAsia="仿宋" w:cs="宋体"/>
                <w:color w:val="000000"/>
                <w:kern w:val="0"/>
                <w:sz w:val="22"/>
                <w:szCs w:val="22"/>
              </w:rPr>
              <w:t>序号</w:t>
            </w:r>
          </w:p>
        </w:tc>
        <w:tc>
          <w:tcPr>
            <w:tcW w:w="1888" w:type="dxa"/>
            <w:tcBorders>
              <w:top w:val="single" w:color="auto" w:sz="8" w:space="0"/>
              <w:left w:val="nil"/>
              <w:bottom w:val="single" w:color="auto" w:sz="8" w:space="0"/>
              <w:right w:val="nil"/>
            </w:tcBorders>
            <w:noWrap w:val="0"/>
            <w:vAlign w:val="center"/>
          </w:tcPr>
          <w:p w14:paraId="598C86C4">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项目名称</w:t>
            </w:r>
          </w:p>
        </w:tc>
        <w:tc>
          <w:tcPr>
            <w:tcW w:w="597" w:type="dxa"/>
            <w:tcBorders>
              <w:top w:val="single" w:color="auto" w:sz="8" w:space="0"/>
              <w:left w:val="single" w:color="auto" w:sz="8" w:space="0"/>
              <w:bottom w:val="single" w:color="auto" w:sz="8" w:space="0"/>
              <w:right w:val="single" w:color="auto" w:sz="8" w:space="0"/>
            </w:tcBorders>
            <w:noWrap w:val="0"/>
            <w:vAlign w:val="center"/>
          </w:tcPr>
          <w:p w14:paraId="6FB1428B">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单位</w:t>
            </w:r>
          </w:p>
        </w:tc>
        <w:tc>
          <w:tcPr>
            <w:tcW w:w="597" w:type="dxa"/>
            <w:tcBorders>
              <w:top w:val="single" w:color="auto" w:sz="8" w:space="0"/>
              <w:left w:val="nil"/>
              <w:bottom w:val="single" w:color="auto" w:sz="8" w:space="0"/>
              <w:right w:val="single" w:color="auto" w:sz="8" w:space="0"/>
            </w:tcBorders>
            <w:noWrap w:val="0"/>
            <w:vAlign w:val="center"/>
          </w:tcPr>
          <w:p w14:paraId="0AC5DA17">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数量</w:t>
            </w:r>
          </w:p>
        </w:tc>
        <w:tc>
          <w:tcPr>
            <w:tcW w:w="1301" w:type="dxa"/>
            <w:tcBorders>
              <w:top w:val="single" w:color="auto" w:sz="8" w:space="0"/>
              <w:left w:val="nil"/>
              <w:bottom w:val="single" w:color="auto" w:sz="8" w:space="0"/>
              <w:right w:val="single" w:color="auto" w:sz="8" w:space="0"/>
            </w:tcBorders>
            <w:noWrap w:val="0"/>
            <w:vAlign w:val="center"/>
          </w:tcPr>
          <w:p w14:paraId="309C89E7">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单价（含税）</w:t>
            </w:r>
          </w:p>
        </w:tc>
        <w:tc>
          <w:tcPr>
            <w:tcW w:w="1301" w:type="dxa"/>
            <w:tcBorders>
              <w:top w:val="single" w:color="auto" w:sz="8" w:space="0"/>
              <w:left w:val="nil"/>
              <w:bottom w:val="single" w:color="auto" w:sz="8" w:space="0"/>
              <w:right w:val="single" w:color="auto" w:sz="8" w:space="0"/>
            </w:tcBorders>
            <w:noWrap w:val="0"/>
            <w:vAlign w:val="center"/>
          </w:tcPr>
          <w:p w14:paraId="28FD60BC">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单价（未税）</w:t>
            </w:r>
          </w:p>
        </w:tc>
        <w:tc>
          <w:tcPr>
            <w:tcW w:w="1302" w:type="dxa"/>
            <w:tcBorders>
              <w:top w:val="single" w:color="auto" w:sz="8" w:space="0"/>
              <w:left w:val="nil"/>
              <w:bottom w:val="single" w:color="auto" w:sz="8" w:space="0"/>
              <w:right w:val="single" w:color="auto" w:sz="8" w:space="0"/>
            </w:tcBorders>
            <w:noWrap w:val="0"/>
            <w:vAlign w:val="center"/>
          </w:tcPr>
          <w:p w14:paraId="54315806">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总价（含税）</w:t>
            </w:r>
          </w:p>
        </w:tc>
        <w:tc>
          <w:tcPr>
            <w:tcW w:w="598" w:type="dxa"/>
            <w:tcBorders>
              <w:top w:val="single" w:color="auto" w:sz="8" w:space="0"/>
              <w:left w:val="nil"/>
              <w:bottom w:val="single" w:color="auto" w:sz="8" w:space="0"/>
              <w:right w:val="single" w:color="auto" w:sz="8" w:space="0"/>
            </w:tcBorders>
            <w:noWrap w:val="0"/>
            <w:vAlign w:val="center"/>
          </w:tcPr>
          <w:p w14:paraId="42A35FCA">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备注</w:t>
            </w:r>
          </w:p>
        </w:tc>
      </w:tr>
      <w:tr w14:paraId="08FAA28F">
        <w:tblPrEx>
          <w:tblCellMar>
            <w:top w:w="0" w:type="dxa"/>
            <w:left w:w="108" w:type="dxa"/>
            <w:bottom w:w="0" w:type="dxa"/>
            <w:right w:w="108" w:type="dxa"/>
          </w:tblCellMar>
        </w:tblPrEx>
        <w:trPr>
          <w:gridAfter w:val="1"/>
          <w:wAfter w:w="7049" w:type="dxa"/>
          <w:trHeight w:val="660" w:hRule="atLeast"/>
        </w:trPr>
        <w:tc>
          <w:tcPr>
            <w:tcW w:w="597" w:type="dxa"/>
            <w:vMerge w:val="restart"/>
            <w:tcBorders>
              <w:top w:val="nil"/>
              <w:left w:val="single" w:color="auto" w:sz="8" w:space="0"/>
              <w:bottom w:val="single" w:color="000000" w:sz="8" w:space="0"/>
              <w:right w:val="single" w:color="auto" w:sz="8" w:space="0"/>
            </w:tcBorders>
            <w:noWrap w:val="0"/>
            <w:vAlign w:val="center"/>
          </w:tcPr>
          <w:p w14:paraId="4F7078C2">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1</w:t>
            </w:r>
          </w:p>
        </w:tc>
        <w:tc>
          <w:tcPr>
            <w:tcW w:w="1888" w:type="dxa"/>
            <w:vMerge w:val="restart"/>
            <w:tcBorders>
              <w:top w:val="nil"/>
              <w:left w:val="single" w:color="auto" w:sz="8" w:space="0"/>
              <w:bottom w:val="single" w:color="000000" w:sz="8" w:space="0"/>
              <w:right w:val="single" w:color="auto" w:sz="8" w:space="0"/>
            </w:tcBorders>
            <w:noWrap w:val="0"/>
            <w:vAlign w:val="center"/>
          </w:tcPr>
          <w:p w14:paraId="380418BB">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lang w:val="en-US" w:eastAsia="zh-CN"/>
              </w:rPr>
              <w:t>科技园区加装逃生缓降索项目</w:t>
            </w:r>
          </w:p>
        </w:tc>
        <w:tc>
          <w:tcPr>
            <w:tcW w:w="597" w:type="dxa"/>
            <w:vMerge w:val="restart"/>
            <w:tcBorders>
              <w:top w:val="nil"/>
              <w:left w:val="single" w:color="auto" w:sz="8" w:space="0"/>
              <w:bottom w:val="single" w:color="000000" w:sz="8" w:space="0"/>
              <w:right w:val="single" w:color="auto" w:sz="8" w:space="0"/>
            </w:tcBorders>
            <w:noWrap w:val="0"/>
            <w:vAlign w:val="center"/>
          </w:tcPr>
          <w:p w14:paraId="34F26392">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项</w:t>
            </w:r>
          </w:p>
        </w:tc>
        <w:tc>
          <w:tcPr>
            <w:tcW w:w="597" w:type="dxa"/>
            <w:vMerge w:val="restart"/>
            <w:tcBorders>
              <w:top w:val="nil"/>
              <w:left w:val="single" w:color="auto" w:sz="8" w:space="0"/>
              <w:bottom w:val="single" w:color="000000" w:sz="8" w:space="0"/>
              <w:right w:val="single" w:color="auto" w:sz="8" w:space="0"/>
            </w:tcBorders>
            <w:noWrap w:val="0"/>
            <w:vAlign w:val="center"/>
          </w:tcPr>
          <w:p w14:paraId="57993FCF">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1</w:t>
            </w:r>
          </w:p>
        </w:tc>
        <w:tc>
          <w:tcPr>
            <w:tcW w:w="1301" w:type="dxa"/>
            <w:vMerge w:val="restart"/>
            <w:tcBorders>
              <w:top w:val="nil"/>
              <w:left w:val="single" w:color="auto" w:sz="8" w:space="0"/>
              <w:bottom w:val="single" w:color="000000" w:sz="8" w:space="0"/>
              <w:right w:val="single" w:color="auto" w:sz="8" w:space="0"/>
            </w:tcBorders>
            <w:noWrap w:val="0"/>
            <w:vAlign w:val="center"/>
          </w:tcPr>
          <w:p w14:paraId="235B70CB">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c>
          <w:tcPr>
            <w:tcW w:w="1301" w:type="dxa"/>
            <w:vMerge w:val="restart"/>
            <w:tcBorders>
              <w:top w:val="nil"/>
              <w:left w:val="single" w:color="auto" w:sz="8" w:space="0"/>
              <w:bottom w:val="single" w:color="000000" w:sz="8" w:space="0"/>
              <w:right w:val="single" w:color="auto" w:sz="8" w:space="0"/>
            </w:tcBorders>
            <w:noWrap w:val="0"/>
            <w:vAlign w:val="center"/>
          </w:tcPr>
          <w:p w14:paraId="2351DC13">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c>
          <w:tcPr>
            <w:tcW w:w="1302" w:type="dxa"/>
            <w:vMerge w:val="restart"/>
            <w:tcBorders>
              <w:top w:val="nil"/>
              <w:left w:val="single" w:color="auto" w:sz="8" w:space="0"/>
              <w:bottom w:val="single" w:color="000000" w:sz="8" w:space="0"/>
              <w:right w:val="single" w:color="auto" w:sz="8" w:space="0"/>
            </w:tcBorders>
            <w:noWrap w:val="0"/>
            <w:vAlign w:val="center"/>
          </w:tcPr>
          <w:p w14:paraId="755AC6D4">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c>
          <w:tcPr>
            <w:tcW w:w="598" w:type="dxa"/>
            <w:vMerge w:val="restart"/>
            <w:tcBorders>
              <w:top w:val="nil"/>
              <w:left w:val="single" w:color="auto" w:sz="8" w:space="0"/>
              <w:right w:val="single" w:color="auto" w:sz="8" w:space="0"/>
            </w:tcBorders>
            <w:noWrap w:val="0"/>
            <w:vAlign w:val="center"/>
          </w:tcPr>
          <w:p w14:paraId="4370E1AA">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r>
      <w:tr w14:paraId="5E57442B">
        <w:tblPrEx>
          <w:tblCellMar>
            <w:top w:w="0" w:type="dxa"/>
            <w:left w:w="108" w:type="dxa"/>
            <w:bottom w:w="0" w:type="dxa"/>
            <w:right w:w="108" w:type="dxa"/>
          </w:tblCellMar>
        </w:tblPrEx>
        <w:trPr>
          <w:trHeight w:val="675" w:hRule="atLeast"/>
        </w:trPr>
        <w:tc>
          <w:tcPr>
            <w:tcW w:w="597" w:type="dxa"/>
            <w:vMerge w:val="continue"/>
            <w:tcBorders>
              <w:top w:val="nil"/>
              <w:left w:val="single" w:color="auto" w:sz="8" w:space="0"/>
              <w:bottom w:val="single" w:color="000000" w:sz="8" w:space="0"/>
              <w:right w:val="single" w:color="auto" w:sz="8" w:space="0"/>
            </w:tcBorders>
            <w:noWrap w:val="0"/>
            <w:vAlign w:val="center"/>
          </w:tcPr>
          <w:p w14:paraId="6E2F0F9A">
            <w:pPr>
              <w:widowControl/>
              <w:jc w:val="left"/>
              <w:rPr>
                <w:rFonts w:ascii="仿宋" w:hAnsi="仿宋" w:eastAsia="仿宋" w:cs="宋体"/>
                <w:color w:val="000000"/>
                <w:kern w:val="0"/>
                <w:sz w:val="22"/>
                <w:szCs w:val="22"/>
              </w:rPr>
            </w:pPr>
          </w:p>
        </w:tc>
        <w:tc>
          <w:tcPr>
            <w:tcW w:w="1888" w:type="dxa"/>
            <w:vMerge w:val="continue"/>
            <w:tcBorders>
              <w:top w:val="nil"/>
              <w:left w:val="single" w:color="auto" w:sz="8" w:space="0"/>
              <w:bottom w:val="single" w:color="000000" w:sz="8" w:space="0"/>
              <w:right w:val="single" w:color="auto" w:sz="8" w:space="0"/>
            </w:tcBorders>
            <w:noWrap w:val="0"/>
            <w:vAlign w:val="center"/>
          </w:tcPr>
          <w:p w14:paraId="57AAF2C6">
            <w:pPr>
              <w:widowControl/>
              <w:jc w:val="left"/>
              <w:rPr>
                <w:rFonts w:ascii="仿宋" w:hAnsi="仿宋" w:eastAsia="仿宋" w:cs="宋体"/>
                <w:color w:val="000000"/>
                <w:kern w:val="0"/>
                <w:sz w:val="22"/>
                <w:szCs w:val="22"/>
              </w:rPr>
            </w:pPr>
          </w:p>
        </w:tc>
        <w:tc>
          <w:tcPr>
            <w:tcW w:w="597" w:type="dxa"/>
            <w:vMerge w:val="continue"/>
            <w:tcBorders>
              <w:top w:val="nil"/>
              <w:left w:val="single" w:color="auto" w:sz="8" w:space="0"/>
              <w:bottom w:val="single" w:color="000000" w:sz="8" w:space="0"/>
              <w:right w:val="single" w:color="auto" w:sz="8" w:space="0"/>
            </w:tcBorders>
            <w:noWrap w:val="0"/>
            <w:vAlign w:val="center"/>
          </w:tcPr>
          <w:p w14:paraId="475102A8">
            <w:pPr>
              <w:widowControl/>
              <w:jc w:val="left"/>
              <w:rPr>
                <w:rFonts w:ascii="仿宋" w:hAnsi="仿宋" w:eastAsia="仿宋" w:cs="宋体"/>
                <w:color w:val="000000"/>
                <w:kern w:val="0"/>
                <w:sz w:val="22"/>
                <w:szCs w:val="22"/>
              </w:rPr>
            </w:pPr>
          </w:p>
        </w:tc>
        <w:tc>
          <w:tcPr>
            <w:tcW w:w="597" w:type="dxa"/>
            <w:vMerge w:val="continue"/>
            <w:tcBorders>
              <w:top w:val="nil"/>
              <w:left w:val="single" w:color="auto" w:sz="8" w:space="0"/>
              <w:bottom w:val="single" w:color="000000" w:sz="8" w:space="0"/>
              <w:right w:val="single" w:color="auto" w:sz="8" w:space="0"/>
            </w:tcBorders>
            <w:noWrap w:val="0"/>
            <w:vAlign w:val="center"/>
          </w:tcPr>
          <w:p w14:paraId="1DC6F55D">
            <w:pPr>
              <w:widowControl/>
              <w:jc w:val="left"/>
              <w:rPr>
                <w:rFonts w:ascii="仿宋" w:hAnsi="仿宋" w:eastAsia="仿宋" w:cs="宋体"/>
                <w:color w:val="000000"/>
                <w:kern w:val="0"/>
                <w:sz w:val="22"/>
                <w:szCs w:val="22"/>
              </w:rPr>
            </w:pPr>
          </w:p>
        </w:tc>
        <w:tc>
          <w:tcPr>
            <w:tcW w:w="1301" w:type="dxa"/>
            <w:vMerge w:val="continue"/>
            <w:tcBorders>
              <w:top w:val="nil"/>
              <w:left w:val="single" w:color="auto" w:sz="8" w:space="0"/>
              <w:bottom w:val="single" w:color="000000" w:sz="8" w:space="0"/>
              <w:right w:val="single" w:color="auto" w:sz="8" w:space="0"/>
            </w:tcBorders>
            <w:noWrap w:val="0"/>
            <w:vAlign w:val="center"/>
          </w:tcPr>
          <w:p w14:paraId="521CCB40">
            <w:pPr>
              <w:widowControl/>
              <w:jc w:val="left"/>
              <w:rPr>
                <w:rFonts w:ascii="仿宋" w:hAnsi="仿宋" w:eastAsia="仿宋" w:cs="宋体"/>
                <w:color w:val="000000"/>
                <w:kern w:val="0"/>
                <w:sz w:val="22"/>
                <w:szCs w:val="22"/>
              </w:rPr>
            </w:pPr>
          </w:p>
        </w:tc>
        <w:tc>
          <w:tcPr>
            <w:tcW w:w="1301" w:type="dxa"/>
            <w:vMerge w:val="continue"/>
            <w:tcBorders>
              <w:top w:val="nil"/>
              <w:left w:val="single" w:color="auto" w:sz="8" w:space="0"/>
              <w:bottom w:val="single" w:color="000000" w:sz="8" w:space="0"/>
              <w:right w:val="single" w:color="auto" w:sz="8" w:space="0"/>
            </w:tcBorders>
            <w:noWrap w:val="0"/>
            <w:vAlign w:val="center"/>
          </w:tcPr>
          <w:p w14:paraId="6B476EF2">
            <w:pPr>
              <w:widowControl/>
              <w:jc w:val="left"/>
              <w:rPr>
                <w:rFonts w:ascii="仿宋" w:hAnsi="仿宋" w:eastAsia="仿宋" w:cs="宋体"/>
                <w:color w:val="000000"/>
                <w:kern w:val="0"/>
                <w:sz w:val="22"/>
                <w:szCs w:val="22"/>
              </w:rPr>
            </w:pPr>
          </w:p>
        </w:tc>
        <w:tc>
          <w:tcPr>
            <w:tcW w:w="1302" w:type="dxa"/>
            <w:vMerge w:val="continue"/>
            <w:tcBorders>
              <w:top w:val="nil"/>
              <w:left w:val="single" w:color="auto" w:sz="8" w:space="0"/>
              <w:bottom w:val="single" w:color="000000" w:sz="8" w:space="0"/>
              <w:right w:val="single" w:color="auto" w:sz="8" w:space="0"/>
            </w:tcBorders>
            <w:noWrap w:val="0"/>
            <w:vAlign w:val="center"/>
          </w:tcPr>
          <w:p w14:paraId="09B39280">
            <w:pPr>
              <w:widowControl/>
              <w:jc w:val="left"/>
              <w:rPr>
                <w:rFonts w:ascii="仿宋" w:hAnsi="仿宋" w:eastAsia="仿宋" w:cs="宋体"/>
                <w:color w:val="000000"/>
                <w:kern w:val="0"/>
                <w:sz w:val="22"/>
                <w:szCs w:val="22"/>
              </w:rPr>
            </w:pPr>
          </w:p>
        </w:tc>
        <w:tc>
          <w:tcPr>
            <w:tcW w:w="598" w:type="dxa"/>
            <w:vMerge w:val="continue"/>
            <w:tcBorders>
              <w:left w:val="single" w:color="auto" w:sz="8" w:space="0"/>
              <w:bottom w:val="single" w:color="000000" w:sz="8" w:space="0"/>
              <w:right w:val="single" w:color="auto" w:sz="8" w:space="0"/>
            </w:tcBorders>
            <w:noWrap w:val="0"/>
            <w:vAlign w:val="center"/>
          </w:tcPr>
          <w:p w14:paraId="4072A108">
            <w:pPr>
              <w:widowControl/>
              <w:jc w:val="left"/>
              <w:rPr>
                <w:rFonts w:ascii="仿宋" w:hAnsi="仿宋" w:eastAsia="仿宋" w:cs="宋体"/>
                <w:color w:val="000000"/>
                <w:kern w:val="0"/>
                <w:sz w:val="22"/>
                <w:szCs w:val="22"/>
              </w:rPr>
            </w:pPr>
          </w:p>
        </w:tc>
        <w:tc>
          <w:tcPr>
            <w:tcW w:w="223" w:type="dxa"/>
            <w:tcBorders>
              <w:top w:val="nil"/>
              <w:left w:val="nil"/>
              <w:bottom w:val="nil"/>
              <w:right w:val="nil"/>
            </w:tcBorders>
            <w:noWrap/>
            <w:vAlign w:val="bottom"/>
          </w:tcPr>
          <w:p w14:paraId="2C8E0C16">
            <w:pPr>
              <w:widowControl/>
              <w:jc w:val="center"/>
              <w:rPr>
                <w:rFonts w:hint="eastAsia" w:ascii="仿宋" w:hAnsi="仿宋" w:eastAsia="仿宋" w:cs="宋体"/>
                <w:color w:val="000000"/>
                <w:kern w:val="0"/>
                <w:sz w:val="22"/>
                <w:szCs w:val="22"/>
              </w:rPr>
            </w:pPr>
          </w:p>
        </w:tc>
      </w:tr>
      <w:tr w14:paraId="5930CB01">
        <w:tblPrEx>
          <w:tblCellMar>
            <w:top w:w="0" w:type="dxa"/>
            <w:left w:w="108" w:type="dxa"/>
            <w:bottom w:w="0" w:type="dxa"/>
            <w:right w:w="108" w:type="dxa"/>
          </w:tblCellMar>
        </w:tblPrEx>
        <w:trPr>
          <w:trHeight w:val="923" w:hRule="atLeast"/>
        </w:trPr>
        <w:tc>
          <w:tcPr>
            <w:tcW w:w="8181" w:type="dxa"/>
            <w:gridSpan w:val="8"/>
            <w:tcBorders>
              <w:top w:val="single" w:color="auto" w:sz="8" w:space="0"/>
              <w:left w:val="single" w:color="auto" w:sz="8" w:space="0"/>
              <w:bottom w:val="single" w:color="auto" w:sz="8" w:space="0"/>
              <w:right w:val="single" w:color="000000" w:sz="8" w:space="0"/>
            </w:tcBorders>
            <w:noWrap w:val="0"/>
            <w:vAlign w:val="center"/>
          </w:tcPr>
          <w:p w14:paraId="61827E55">
            <w:pPr>
              <w:widowControl/>
              <w:jc w:val="left"/>
              <w:rPr>
                <w:rFonts w:ascii="仿宋" w:hAnsi="仿宋" w:eastAsia="仿宋" w:cs="宋体"/>
                <w:color w:val="000000"/>
                <w:kern w:val="0"/>
                <w:sz w:val="22"/>
                <w:szCs w:val="22"/>
              </w:rPr>
            </w:pPr>
            <w:r>
              <w:rPr>
                <w:rFonts w:hint="eastAsia" w:ascii="仿宋" w:hAnsi="仿宋" w:eastAsia="仿宋" w:cs="宋体"/>
                <w:color w:val="000000"/>
                <w:kern w:val="0"/>
                <w:sz w:val="22"/>
                <w:szCs w:val="22"/>
              </w:rPr>
              <w:t>合  计：               （含税）</w:t>
            </w:r>
          </w:p>
        </w:tc>
        <w:tc>
          <w:tcPr>
            <w:tcW w:w="223" w:type="dxa"/>
            <w:noWrap w:val="0"/>
            <w:vAlign w:val="center"/>
          </w:tcPr>
          <w:p w14:paraId="5228EB84">
            <w:pPr>
              <w:widowControl/>
              <w:jc w:val="left"/>
              <w:rPr>
                <w:rFonts w:eastAsia="Times New Roman"/>
                <w:kern w:val="0"/>
                <w:sz w:val="20"/>
                <w:szCs w:val="20"/>
              </w:rPr>
            </w:pPr>
          </w:p>
        </w:tc>
      </w:tr>
      <w:tr w14:paraId="3A892C65">
        <w:tblPrEx>
          <w:tblCellMar>
            <w:top w:w="0" w:type="dxa"/>
            <w:left w:w="108" w:type="dxa"/>
            <w:bottom w:w="0" w:type="dxa"/>
            <w:right w:w="108" w:type="dxa"/>
          </w:tblCellMar>
        </w:tblPrEx>
        <w:trPr>
          <w:trHeight w:val="932" w:hRule="atLeast"/>
        </w:trPr>
        <w:tc>
          <w:tcPr>
            <w:tcW w:w="8181" w:type="dxa"/>
            <w:gridSpan w:val="8"/>
            <w:tcBorders>
              <w:top w:val="single" w:color="auto" w:sz="8" w:space="0"/>
              <w:left w:val="single" w:color="auto" w:sz="8" w:space="0"/>
              <w:bottom w:val="single" w:color="auto" w:sz="8" w:space="0"/>
              <w:right w:val="single" w:color="000000" w:sz="8" w:space="0"/>
            </w:tcBorders>
            <w:noWrap w:val="0"/>
            <w:vAlign w:val="center"/>
          </w:tcPr>
          <w:p w14:paraId="0C7E0624">
            <w:pPr>
              <w:widowControl/>
              <w:jc w:val="left"/>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投标总价(大写)：</w:t>
            </w:r>
          </w:p>
        </w:tc>
        <w:tc>
          <w:tcPr>
            <w:tcW w:w="223" w:type="dxa"/>
            <w:noWrap w:val="0"/>
            <w:vAlign w:val="center"/>
          </w:tcPr>
          <w:p w14:paraId="72FC3A9C">
            <w:pPr>
              <w:widowControl/>
              <w:jc w:val="left"/>
              <w:rPr>
                <w:rFonts w:eastAsia="Times New Roman"/>
                <w:kern w:val="0"/>
                <w:sz w:val="20"/>
                <w:szCs w:val="20"/>
              </w:rPr>
            </w:pPr>
          </w:p>
        </w:tc>
      </w:tr>
    </w:tbl>
    <w:p w14:paraId="17BE2950"/>
    <w:p w14:paraId="3113CA73">
      <w:pPr>
        <w:rPr>
          <w:rFonts w:hint="eastAsia" w:ascii="仿宋" w:hAnsi="仿宋" w:eastAsia="仿宋"/>
          <w:b/>
          <w:sz w:val="40"/>
          <w:szCs w:val="44"/>
          <w:lang w:val="en-US" w:eastAsia="zh-CN"/>
        </w:rPr>
      </w:pPr>
      <w:r>
        <w:rPr>
          <w:rFonts w:hint="eastAsia" w:ascii="仿宋" w:hAnsi="仿宋" w:eastAsia="仿宋"/>
          <w:b/>
          <w:sz w:val="40"/>
          <w:szCs w:val="44"/>
          <w:lang w:val="en-US" w:eastAsia="zh-CN"/>
        </w:rPr>
        <w:br w:type="page"/>
      </w:r>
    </w:p>
    <w:p w14:paraId="1149FA79">
      <w:pPr>
        <w:adjustRightInd w:val="0"/>
        <w:snapToGrid w:val="0"/>
        <w:spacing w:line="540" w:lineRule="exact"/>
        <w:jc w:val="center"/>
        <w:rPr>
          <w:rFonts w:hint="eastAsia" w:ascii="仿宋" w:hAnsi="仿宋" w:eastAsia="仿宋"/>
          <w:b/>
          <w:sz w:val="40"/>
          <w:szCs w:val="44"/>
          <w:lang w:val="en-US" w:eastAsia="zh-CN"/>
        </w:rPr>
      </w:pPr>
      <w:r>
        <w:rPr>
          <w:rFonts w:hint="eastAsia" w:ascii="仿宋" w:hAnsi="仿宋" w:eastAsia="仿宋"/>
          <w:b/>
          <w:sz w:val="40"/>
          <w:szCs w:val="44"/>
          <w:lang w:val="en-US" w:eastAsia="zh-CN"/>
        </w:rPr>
        <w:t>报价明细表</w:t>
      </w:r>
    </w:p>
    <w:tbl>
      <w:tblPr>
        <w:tblStyle w:val="4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6"/>
        <w:gridCol w:w="1477"/>
        <w:gridCol w:w="1974"/>
        <w:gridCol w:w="756"/>
        <w:gridCol w:w="756"/>
        <w:gridCol w:w="576"/>
        <w:gridCol w:w="1093"/>
        <w:gridCol w:w="1070"/>
        <w:gridCol w:w="1008"/>
      </w:tblGrid>
      <w:tr w14:paraId="36A1D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5C4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468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0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2B0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规格型号</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433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品牌</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0F9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604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9F9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单价（未税）</w:t>
            </w: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937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合计（未税）</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76B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合计（含税）</w:t>
            </w:r>
          </w:p>
        </w:tc>
      </w:tr>
      <w:tr w14:paraId="54E88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084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16B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7D2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固定往返式，高强度复合钢丝绳27楼115米，下降速度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5BB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A06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D9A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8DF07">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1924B">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5813B">
            <w:pPr>
              <w:jc w:val="center"/>
              <w:rPr>
                <w:rFonts w:hint="eastAsia" w:ascii="宋体" w:hAnsi="宋体" w:eastAsia="宋体" w:cs="宋体"/>
                <w:i w:val="0"/>
                <w:iCs w:val="0"/>
                <w:color w:val="000000"/>
                <w:sz w:val="22"/>
                <w:szCs w:val="22"/>
                <w:u w:val="none"/>
              </w:rPr>
            </w:pPr>
          </w:p>
        </w:tc>
      </w:tr>
      <w:tr w14:paraId="0637B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920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1B1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8B9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固定往返式，高强度复合钢丝绳12楼55米，下降速度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E01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680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A14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83116">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B1CE1">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A3494">
            <w:pPr>
              <w:jc w:val="center"/>
              <w:rPr>
                <w:rFonts w:hint="eastAsia" w:ascii="宋体" w:hAnsi="宋体" w:eastAsia="宋体" w:cs="宋体"/>
                <w:i w:val="0"/>
                <w:iCs w:val="0"/>
                <w:color w:val="000000"/>
                <w:sz w:val="22"/>
                <w:szCs w:val="22"/>
                <w:u w:val="none"/>
              </w:rPr>
            </w:pPr>
          </w:p>
        </w:tc>
      </w:tr>
      <w:tr w14:paraId="6EF5D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44E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C88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55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固定往返式，高强度复合钢丝绳4楼20米，下降速度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D31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F36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1EF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F7B22">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59E12">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A860B">
            <w:pPr>
              <w:jc w:val="center"/>
              <w:rPr>
                <w:rFonts w:hint="eastAsia" w:ascii="宋体" w:hAnsi="宋体" w:eastAsia="宋体" w:cs="宋体"/>
                <w:i w:val="0"/>
                <w:iCs w:val="0"/>
                <w:color w:val="000000"/>
                <w:sz w:val="22"/>
                <w:szCs w:val="22"/>
                <w:u w:val="none"/>
              </w:rPr>
            </w:pPr>
          </w:p>
        </w:tc>
      </w:tr>
      <w:tr w14:paraId="3877C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F89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727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FC5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固定往返式，高强度复合钢丝绳5楼25米，下降速度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D1E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D7A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01A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869E9">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28531">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3A75E">
            <w:pPr>
              <w:jc w:val="center"/>
              <w:rPr>
                <w:rFonts w:hint="eastAsia" w:ascii="宋体" w:hAnsi="宋体" w:eastAsia="宋体" w:cs="宋体"/>
                <w:i w:val="0"/>
                <w:iCs w:val="0"/>
                <w:color w:val="000000"/>
                <w:sz w:val="22"/>
                <w:szCs w:val="22"/>
                <w:u w:val="none"/>
              </w:rPr>
            </w:pPr>
          </w:p>
        </w:tc>
      </w:tr>
      <w:tr w14:paraId="3059B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C98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CA0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66C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固定往返式，高强度复合钢丝绳6楼30米，下降速度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F34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F00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6EB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129C3">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AAE63">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F9291">
            <w:pPr>
              <w:jc w:val="center"/>
              <w:rPr>
                <w:rFonts w:hint="eastAsia" w:ascii="宋体" w:hAnsi="宋体" w:eastAsia="宋体" w:cs="宋体"/>
                <w:i w:val="0"/>
                <w:iCs w:val="0"/>
                <w:color w:val="000000"/>
                <w:sz w:val="22"/>
                <w:szCs w:val="22"/>
                <w:u w:val="none"/>
              </w:rPr>
            </w:pPr>
          </w:p>
        </w:tc>
      </w:tr>
      <w:tr w14:paraId="23F3B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437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150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52E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固定往返式，高强度复合钢丝绳7楼30米，下降速度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B18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3B1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DEA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8B5B9">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62E30">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1D0A5">
            <w:pPr>
              <w:jc w:val="center"/>
              <w:rPr>
                <w:rFonts w:hint="eastAsia" w:ascii="宋体" w:hAnsi="宋体" w:eastAsia="宋体" w:cs="宋体"/>
                <w:i w:val="0"/>
                <w:iCs w:val="0"/>
                <w:color w:val="000000"/>
                <w:sz w:val="22"/>
                <w:szCs w:val="22"/>
                <w:u w:val="none"/>
              </w:rPr>
            </w:pPr>
          </w:p>
        </w:tc>
      </w:tr>
      <w:tr w14:paraId="003FF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F4D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B8C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396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固定往返式，高强度复合钢丝绳8楼35米，下降速度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153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0E9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86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96746">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46C3A">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E1A37">
            <w:pPr>
              <w:jc w:val="center"/>
              <w:rPr>
                <w:rFonts w:hint="eastAsia" w:ascii="宋体" w:hAnsi="宋体" w:eastAsia="宋体" w:cs="宋体"/>
                <w:i w:val="0"/>
                <w:iCs w:val="0"/>
                <w:color w:val="000000"/>
                <w:sz w:val="22"/>
                <w:szCs w:val="22"/>
                <w:u w:val="none"/>
              </w:rPr>
            </w:pPr>
          </w:p>
        </w:tc>
      </w:tr>
      <w:tr w14:paraId="67828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CCF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FAE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E30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固定往返式，高强度复合钢丝绳9楼40米，下降速度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C85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3AB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7FE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7FECD">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E61ED">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B051A">
            <w:pPr>
              <w:jc w:val="center"/>
              <w:rPr>
                <w:rFonts w:hint="eastAsia" w:ascii="宋体" w:hAnsi="宋体" w:eastAsia="宋体" w:cs="宋体"/>
                <w:i w:val="0"/>
                <w:iCs w:val="0"/>
                <w:color w:val="000000"/>
                <w:sz w:val="22"/>
                <w:szCs w:val="22"/>
                <w:u w:val="none"/>
              </w:rPr>
            </w:pPr>
          </w:p>
        </w:tc>
      </w:tr>
      <w:tr w14:paraId="65B2A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B8C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0C2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7E0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固定往返式，高强度复合钢丝绳10楼45米，下降速度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BD7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BE8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CD6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BCD8E">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427AE">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0FEC0">
            <w:pPr>
              <w:jc w:val="center"/>
              <w:rPr>
                <w:rFonts w:hint="eastAsia" w:ascii="宋体" w:hAnsi="宋体" w:eastAsia="宋体" w:cs="宋体"/>
                <w:i w:val="0"/>
                <w:iCs w:val="0"/>
                <w:color w:val="000000"/>
                <w:sz w:val="22"/>
                <w:szCs w:val="22"/>
                <w:u w:val="none"/>
              </w:rPr>
            </w:pPr>
          </w:p>
        </w:tc>
      </w:tr>
      <w:tr w14:paraId="5AC4C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2F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A05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8C0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固定往返式，高强度复合钢丝绳11楼45米，下降速度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6E5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6D4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9BC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AB012">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F86C3">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FA0F9">
            <w:pPr>
              <w:jc w:val="center"/>
              <w:rPr>
                <w:rFonts w:hint="eastAsia" w:ascii="宋体" w:hAnsi="宋体" w:eastAsia="宋体" w:cs="宋体"/>
                <w:i w:val="0"/>
                <w:iCs w:val="0"/>
                <w:color w:val="000000"/>
                <w:sz w:val="22"/>
                <w:szCs w:val="22"/>
                <w:u w:val="none"/>
              </w:rPr>
            </w:pPr>
          </w:p>
        </w:tc>
      </w:tr>
      <w:tr w14:paraId="02467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D62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7D2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484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固定往返式，高强度复合钢丝绳12楼50米，下降速度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3FE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4B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80E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47A92">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450CD">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B9476">
            <w:pPr>
              <w:jc w:val="center"/>
              <w:rPr>
                <w:rFonts w:hint="eastAsia" w:ascii="宋体" w:hAnsi="宋体" w:eastAsia="宋体" w:cs="宋体"/>
                <w:i w:val="0"/>
                <w:iCs w:val="0"/>
                <w:color w:val="000000"/>
                <w:sz w:val="22"/>
                <w:szCs w:val="22"/>
                <w:u w:val="none"/>
              </w:rPr>
            </w:pPr>
          </w:p>
        </w:tc>
      </w:tr>
      <w:tr w14:paraId="4E6C7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AD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640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062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固定往返式，高强度复合钢丝绳13楼55米，下降速度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97E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33E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4EE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AE826">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1B841">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14D55">
            <w:pPr>
              <w:jc w:val="center"/>
              <w:rPr>
                <w:rFonts w:hint="eastAsia" w:ascii="宋体" w:hAnsi="宋体" w:eastAsia="宋体" w:cs="宋体"/>
                <w:i w:val="0"/>
                <w:iCs w:val="0"/>
                <w:color w:val="000000"/>
                <w:sz w:val="22"/>
                <w:szCs w:val="22"/>
                <w:u w:val="none"/>
              </w:rPr>
            </w:pPr>
          </w:p>
        </w:tc>
      </w:tr>
      <w:tr w14:paraId="02DFA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EA9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FC1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59E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固定往返式，高强度复合钢丝绳14楼60米，下降速度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E54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56C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9CA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D6380">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0900F">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E8FFD">
            <w:pPr>
              <w:jc w:val="center"/>
              <w:rPr>
                <w:rFonts w:hint="eastAsia" w:ascii="宋体" w:hAnsi="宋体" w:eastAsia="宋体" w:cs="宋体"/>
                <w:i w:val="0"/>
                <w:iCs w:val="0"/>
                <w:color w:val="000000"/>
                <w:sz w:val="22"/>
                <w:szCs w:val="22"/>
                <w:u w:val="none"/>
              </w:rPr>
            </w:pPr>
          </w:p>
        </w:tc>
      </w:tr>
      <w:tr w14:paraId="2A1D4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0B8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2FD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EA6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固定往返式，高强度复合钢丝绳15楼65米，下降速度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B21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67E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799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CA419">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A691B">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42CC5">
            <w:pPr>
              <w:jc w:val="center"/>
              <w:rPr>
                <w:rFonts w:hint="eastAsia" w:ascii="宋体" w:hAnsi="宋体" w:eastAsia="宋体" w:cs="宋体"/>
                <w:i w:val="0"/>
                <w:iCs w:val="0"/>
                <w:color w:val="000000"/>
                <w:sz w:val="22"/>
                <w:szCs w:val="22"/>
                <w:u w:val="none"/>
              </w:rPr>
            </w:pPr>
          </w:p>
        </w:tc>
      </w:tr>
      <w:tr w14:paraId="7AC29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FC3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830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1B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固定往返式，高强度复合钢丝绳16楼70米，下降速度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EF2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B4A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9E1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98963">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F162B">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DC3F7">
            <w:pPr>
              <w:jc w:val="center"/>
              <w:rPr>
                <w:rFonts w:hint="eastAsia" w:ascii="宋体" w:hAnsi="宋体" w:eastAsia="宋体" w:cs="宋体"/>
                <w:i w:val="0"/>
                <w:iCs w:val="0"/>
                <w:color w:val="000000"/>
                <w:sz w:val="22"/>
                <w:szCs w:val="22"/>
                <w:u w:val="none"/>
              </w:rPr>
            </w:pPr>
          </w:p>
        </w:tc>
      </w:tr>
      <w:tr w14:paraId="57BC9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E39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B4A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BF6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固定往返式，高强度复合钢丝绳17楼75米，下降速度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8A7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EF2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DB3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A0026">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2A777">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1716F">
            <w:pPr>
              <w:jc w:val="center"/>
              <w:rPr>
                <w:rFonts w:hint="eastAsia" w:ascii="宋体" w:hAnsi="宋体" w:eastAsia="宋体" w:cs="宋体"/>
                <w:i w:val="0"/>
                <w:iCs w:val="0"/>
                <w:color w:val="000000"/>
                <w:sz w:val="22"/>
                <w:szCs w:val="22"/>
                <w:u w:val="none"/>
              </w:rPr>
            </w:pPr>
          </w:p>
        </w:tc>
      </w:tr>
      <w:tr w14:paraId="1DFC4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7F1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F36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高楼逃生缓降器</w:t>
            </w:r>
          </w:p>
        </w:tc>
        <w:tc>
          <w:tcPr>
            <w:tcW w:w="10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175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固定往返式，高强度复合钢丝绳18楼80米，下降速度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0.16-1.5m/s，承重35kg-150kg</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7FD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永吉安</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8DB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987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8C01B">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6C10D">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6CD9A">
            <w:pPr>
              <w:jc w:val="center"/>
              <w:rPr>
                <w:rFonts w:hint="eastAsia" w:ascii="宋体" w:hAnsi="宋体" w:eastAsia="宋体" w:cs="宋体"/>
                <w:i w:val="0"/>
                <w:iCs w:val="0"/>
                <w:color w:val="000000"/>
                <w:sz w:val="22"/>
                <w:szCs w:val="22"/>
                <w:u w:val="none"/>
              </w:rPr>
            </w:pPr>
          </w:p>
        </w:tc>
      </w:tr>
      <w:tr w14:paraId="444AE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F79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A01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开孔做暗箱</w:t>
            </w:r>
          </w:p>
        </w:tc>
        <w:tc>
          <w:tcPr>
            <w:tcW w:w="10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597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300*400</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768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A1E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386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CF5EC">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BED6B">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76D26">
            <w:pPr>
              <w:jc w:val="center"/>
              <w:rPr>
                <w:rFonts w:hint="eastAsia" w:ascii="宋体" w:hAnsi="宋体" w:eastAsia="宋体" w:cs="宋体"/>
                <w:i w:val="0"/>
                <w:iCs w:val="0"/>
                <w:color w:val="000000"/>
                <w:sz w:val="22"/>
                <w:szCs w:val="22"/>
                <w:u w:val="none"/>
              </w:rPr>
            </w:pPr>
          </w:p>
        </w:tc>
      </w:tr>
      <w:tr w14:paraId="738CC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085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876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膨胀螺栓</w:t>
            </w:r>
          </w:p>
        </w:tc>
        <w:tc>
          <w:tcPr>
            <w:tcW w:w="10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139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10*12</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475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劲功</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A1F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B4F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C2A76">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9B316">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127E1">
            <w:pPr>
              <w:jc w:val="center"/>
              <w:rPr>
                <w:rFonts w:hint="eastAsia" w:ascii="宋体" w:hAnsi="宋体" w:eastAsia="宋体" w:cs="宋体"/>
                <w:i w:val="0"/>
                <w:iCs w:val="0"/>
                <w:color w:val="000000"/>
                <w:sz w:val="22"/>
                <w:szCs w:val="22"/>
                <w:u w:val="none"/>
              </w:rPr>
            </w:pPr>
          </w:p>
        </w:tc>
      </w:tr>
      <w:tr w14:paraId="30A00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D37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5B3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装饰板</w:t>
            </w:r>
          </w:p>
        </w:tc>
        <w:tc>
          <w:tcPr>
            <w:tcW w:w="10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19B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300*400 100mm镁合金</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4EF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冠镁</w:t>
            </w:r>
          </w:p>
        </w:tc>
        <w:tc>
          <w:tcPr>
            <w:tcW w:w="4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DD9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3BD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B2EC1">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6E9C3">
            <w:pPr>
              <w:jc w:val="center"/>
              <w:rPr>
                <w:rFonts w:hint="eastAsia" w:ascii="宋体" w:hAnsi="宋体" w:eastAsia="宋体" w:cs="宋体"/>
                <w:i w:val="0"/>
                <w:iCs w:val="0"/>
                <w:color w:val="000000"/>
                <w:sz w:val="22"/>
                <w:szCs w:val="22"/>
                <w:u w:val="none"/>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EA116">
            <w:pPr>
              <w:jc w:val="center"/>
              <w:rPr>
                <w:rFonts w:hint="eastAsia" w:ascii="宋体" w:hAnsi="宋体" w:eastAsia="宋体" w:cs="宋体"/>
                <w:i w:val="0"/>
                <w:iCs w:val="0"/>
                <w:color w:val="000000"/>
                <w:sz w:val="22"/>
                <w:szCs w:val="22"/>
                <w:u w:val="none"/>
              </w:rPr>
            </w:pPr>
          </w:p>
        </w:tc>
      </w:tr>
    </w:tbl>
    <w:p w14:paraId="4A6D1A57">
      <w:pPr>
        <w:jc w:val="center"/>
        <w:rPr>
          <w:rFonts w:hint="eastAsia" w:eastAsia="黑体"/>
          <w:b/>
          <w:bCs/>
          <w:sz w:val="28"/>
        </w:rPr>
      </w:pPr>
    </w:p>
    <w:p w14:paraId="1C9AE857">
      <w:pPr>
        <w:rPr>
          <w:rFonts w:hint="eastAsia" w:eastAsia="黑体"/>
          <w:b/>
          <w:bCs/>
          <w:sz w:val="28"/>
        </w:rPr>
      </w:pPr>
      <w:r>
        <w:rPr>
          <w:rFonts w:hint="eastAsia" w:eastAsia="黑体"/>
          <w:b/>
          <w:bCs/>
          <w:sz w:val="28"/>
        </w:rPr>
        <w:br w:type="page"/>
      </w:r>
    </w:p>
    <w:p w14:paraId="6616D12C">
      <w:pPr>
        <w:jc w:val="center"/>
        <w:rPr>
          <w:rFonts w:eastAsia="黑体"/>
          <w:b/>
          <w:bCs/>
          <w:sz w:val="28"/>
        </w:rPr>
      </w:pPr>
      <w:r>
        <w:rPr>
          <w:rFonts w:hint="eastAsia" w:eastAsia="黑体"/>
          <w:b/>
          <w:bCs/>
          <w:sz w:val="28"/>
        </w:rPr>
        <w:t>相关条款偏离表（含商务偏离及技术偏离）</w:t>
      </w:r>
    </w:p>
    <w:tbl>
      <w:tblPr>
        <w:tblStyle w:val="49"/>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62965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0AAF023">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序号</w:t>
            </w:r>
          </w:p>
        </w:tc>
        <w:tc>
          <w:tcPr>
            <w:tcW w:w="4140" w:type="dxa"/>
            <w:gridSpan w:val="2"/>
            <w:vAlign w:val="center"/>
          </w:tcPr>
          <w:p w14:paraId="72CAAA69">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招标文件条款</w:t>
            </w:r>
          </w:p>
        </w:tc>
        <w:tc>
          <w:tcPr>
            <w:tcW w:w="3554" w:type="dxa"/>
            <w:vMerge w:val="restart"/>
            <w:vAlign w:val="center"/>
          </w:tcPr>
          <w:p w14:paraId="77296F8D">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偏离内容</w:t>
            </w:r>
          </w:p>
        </w:tc>
      </w:tr>
      <w:tr w14:paraId="01371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2BCB8BD">
            <w:pPr>
              <w:rPr>
                <w:rFonts w:hint="eastAsia" w:ascii="仿宋_GB2312" w:hAnsi="仿宋_GB2312" w:eastAsia="仿宋_GB2312" w:cs="仿宋_GB2312"/>
                <w:i w:val="0"/>
                <w:iCs w:val="0"/>
                <w:color w:val="000000"/>
                <w:kern w:val="0"/>
                <w:sz w:val="24"/>
                <w:szCs w:val="24"/>
                <w:u w:val="none"/>
                <w:lang w:val="en-US" w:eastAsia="zh-CN" w:bidi="ar"/>
              </w:rPr>
            </w:pPr>
          </w:p>
        </w:tc>
        <w:tc>
          <w:tcPr>
            <w:tcW w:w="1080" w:type="dxa"/>
            <w:vAlign w:val="center"/>
          </w:tcPr>
          <w:p w14:paraId="20962E7C">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条款号</w:t>
            </w:r>
          </w:p>
        </w:tc>
        <w:tc>
          <w:tcPr>
            <w:tcW w:w="3060" w:type="dxa"/>
            <w:vAlign w:val="center"/>
          </w:tcPr>
          <w:p w14:paraId="38264424">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条款要求</w:t>
            </w:r>
          </w:p>
        </w:tc>
        <w:tc>
          <w:tcPr>
            <w:tcW w:w="3554" w:type="dxa"/>
            <w:vMerge w:val="continue"/>
            <w:vAlign w:val="center"/>
          </w:tcPr>
          <w:p w14:paraId="696C849D">
            <w:pPr>
              <w:rPr>
                <w:rFonts w:hint="eastAsia" w:ascii="仿宋_GB2312" w:hAnsi="仿宋_GB2312" w:eastAsia="仿宋_GB2312" w:cs="仿宋_GB2312"/>
                <w:i w:val="0"/>
                <w:iCs w:val="0"/>
                <w:color w:val="000000"/>
                <w:kern w:val="0"/>
                <w:sz w:val="24"/>
                <w:szCs w:val="24"/>
                <w:u w:val="none"/>
                <w:lang w:val="en-US" w:eastAsia="zh-CN" w:bidi="ar"/>
              </w:rPr>
            </w:pPr>
          </w:p>
        </w:tc>
      </w:tr>
      <w:tr w14:paraId="038A1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3EA633C">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w:t>
            </w:r>
          </w:p>
        </w:tc>
        <w:tc>
          <w:tcPr>
            <w:tcW w:w="1080" w:type="dxa"/>
            <w:vAlign w:val="center"/>
          </w:tcPr>
          <w:p w14:paraId="320820E0">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5F82F0CB">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382FD772">
            <w:pPr>
              <w:rPr>
                <w:rFonts w:hint="eastAsia" w:ascii="仿宋_GB2312" w:hAnsi="仿宋_GB2312" w:eastAsia="仿宋_GB2312" w:cs="仿宋_GB2312"/>
                <w:i w:val="0"/>
                <w:iCs w:val="0"/>
                <w:color w:val="000000"/>
                <w:kern w:val="0"/>
                <w:sz w:val="24"/>
                <w:szCs w:val="24"/>
                <w:u w:val="none"/>
                <w:lang w:val="en-US" w:eastAsia="zh-CN" w:bidi="ar"/>
              </w:rPr>
            </w:pPr>
          </w:p>
        </w:tc>
      </w:tr>
      <w:tr w14:paraId="0C9FD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4ABA6">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w:t>
            </w:r>
          </w:p>
        </w:tc>
        <w:tc>
          <w:tcPr>
            <w:tcW w:w="1080" w:type="dxa"/>
            <w:vAlign w:val="center"/>
          </w:tcPr>
          <w:p w14:paraId="38315D9E">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5BFE9E5D">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4A0496EF">
            <w:pPr>
              <w:rPr>
                <w:rFonts w:hint="eastAsia" w:ascii="仿宋_GB2312" w:hAnsi="仿宋_GB2312" w:eastAsia="仿宋_GB2312" w:cs="仿宋_GB2312"/>
                <w:i w:val="0"/>
                <w:iCs w:val="0"/>
                <w:color w:val="000000"/>
                <w:kern w:val="0"/>
                <w:sz w:val="24"/>
                <w:szCs w:val="24"/>
                <w:u w:val="none"/>
                <w:lang w:val="en-US" w:eastAsia="zh-CN" w:bidi="ar"/>
              </w:rPr>
            </w:pPr>
          </w:p>
        </w:tc>
      </w:tr>
      <w:tr w14:paraId="0730C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6A605F">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3</w:t>
            </w:r>
          </w:p>
        </w:tc>
        <w:tc>
          <w:tcPr>
            <w:tcW w:w="1080" w:type="dxa"/>
            <w:vAlign w:val="center"/>
          </w:tcPr>
          <w:p w14:paraId="23804881">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736E5DD2">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2DF1702F">
            <w:pPr>
              <w:rPr>
                <w:rFonts w:hint="eastAsia" w:ascii="仿宋_GB2312" w:hAnsi="仿宋_GB2312" w:eastAsia="仿宋_GB2312" w:cs="仿宋_GB2312"/>
                <w:i w:val="0"/>
                <w:iCs w:val="0"/>
                <w:color w:val="000000"/>
                <w:kern w:val="0"/>
                <w:sz w:val="24"/>
                <w:szCs w:val="24"/>
                <w:u w:val="none"/>
                <w:lang w:val="en-US" w:eastAsia="zh-CN" w:bidi="ar"/>
              </w:rPr>
            </w:pPr>
          </w:p>
        </w:tc>
      </w:tr>
      <w:tr w14:paraId="34A85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D4BFDF">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4</w:t>
            </w:r>
          </w:p>
        </w:tc>
        <w:tc>
          <w:tcPr>
            <w:tcW w:w="1080" w:type="dxa"/>
            <w:vAlign w:val="center"/>
          </w:tcPr>
          <w:p w14:paraId="779D5045">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49072825">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24F0080B">
            <w:pPr>
              <w:rPr>
                <w:rFonts w:hint="eastAsia" w:ascii="仿宋_GB2312" w:hAnsi="仿宋_GB2312" w:eastAsia="仿宋_GB2312" w:cs="仿宋_GB2312"/>
                <w:i w:val="0"/>
                <w:iCs w:val="0"/>
                <w:color w:val="000000"/>
                <w:kern w:val="0"/>
                <w:sz w:val="24"/>
                <w:szCs w:val="24"/>
                <w:u w:val="none"/>
                <w:lang w:val="en-US" w:eastAsia="zh-CN" w:bidi="ar"/>
              </w:rPr>
            </w:pPr>
          </w:p>
        </w:tc>
      </w:tr>
      <w:tr w14:paraId="0F29B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5607EA8">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5</w:t>
            </w:r>
          </w:p>
        </w:tc>
        <w:tc>
          <w:tcPr>
            <w:tcW w:w="1080" w:type="dxa"/>
            <w:vAlign w:val="center"/>
          </w:tcPr>
          <w:p w14:paraId="75381E2C">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304AE35A">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3A23051C">
            <w:pPr>
              <w:rPr>
                <w:rFonts w:hint="eastAsia" w:ascii="仿宋_GB2312" w:hAnsi="仿宋_GB2312" w:eastAsia="仿宋_GB2312" w:cs="仿宋_GB2312"/>
                <w:i w:val="0"/>
                <w:iCs w:val="0"/>
                <w:color w:val="000000"/>
                <w:kern w:val="0"/>
                <w:sz w:val="24"/>
                <w:szCs w:val="24"/>
                <w:u w:val="none"/>
                <w:lang w:val="en-US" w:eastAsia="zh-CN" w:bidi="ar"/>
              </w:rPr>
            </w:pPr>
          </w:p>
        </w:tc>
      </w:tr>
      <w:tr w14:paraId="5B9B4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A15282">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6</w:t>
            </w:r>
          </w:p>
        </w:tc>
        <w:tc>
          <w:tcPr>
            <w:tcW w:w="1080" w:type="dxa"/>
            <w:vAlign w:val="center"/>
          </w:tcPr>
          <w:p w14:paraId="0A2F0B17">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456F295B">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4E79B2E8">
            <w:pPr>
              <w:rPr>
                <w:rFonts w:hint="eastAsia" w:ascii="仿宋_GB2312" w:hAnsi="仿宋_GB2312" w:eastAsia="仿宋_GB2312" w:cs="仿宋_GB2312"/>
                <w:i w:val="0"/>
                <w:iCs w:val="0"/>
                <w:color w:val="000000"/>
                <w:kern w:val="0"/>
                <w:sz w:val="24"/>
                <w:szCs w:val="24"/>
                <w:u w:val="none"/>
                <w:lang w:val="en-US" w:eastAsia="zh-CN" w:bidi="ar"/>
              </w:rPr>
            </w:pPr>
          </w:p>
        </w:tc>
      </w:tr>
      <w:tr w14:paraId="1C5EE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522C42F">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7</w:t>
            </w:r>
          </w:p>
        </w:tc>
        <w:tc>
          <w:tcPr>
            <w:tcW w:w="1080" w:type="dxa"/>
            <w:vAlign w:val="center"/>
          </w:tcPr>
          <w:p w14:paraId="06E568F4">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1B60B3BF">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3CD61318">
            <w:pPr>
              <w:rPr>
                <w:rFonts w:hint="eastAsia" w:ascii="仿宋_GB2312" w:hAnsi="仿宋_GB2312" w:eastAsia="仿宋_GB2312" w:cs="仿宋_GB2312"/>
                <w:i w:val="0"/>
                <w:iCs w:val="0"/>
                <w:color w:val="000000"/>
                <w:kern w:val="0"/>
                <w:sz w:val="24"/>
                <w:szCs w:val="24"/>
                <w:u w:val="none"/>
                <w:lang w:val="en-US" w:eastAsia="zh-CN" w:bidi="ar"/>
              </w:rPr>
            </w:pPr>
          </w:p>
        </w:tc>
      </w:tr>
      <w:tr w14:paraId="0AB78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541696">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8</w:t>
            </w:r>
          </w:p>
        </w:tc>
        <w:tc>
          <w:tcPr>
            <w:tcW w:w="1080" w:type="dxa"/>
            <w:vAlign w:val="center"/>
          </w:tcPr>
          <w:p w14:paraId="055DA0E5">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25A945D7">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46D6A932">
            <w:pPr>
              <w:rPr>
                <w:rFonts w:hint="eastAsia" w:ascii="仿宋_GB2312" w:hAnsi="仿宋_GB2312" w:eastAsia="仿宋_GB2312" w:cs="仿宋_GB2312"/>
                <w:i w:val="0"/>
                <w:iCs w:val="0"/>
                <w:color w:val="000000"/>
                <w:kern w:val="0"/>
                <w:sz w:val="24"/>
                <w:szCs w:val="24"/>
                <w:u w:val="none"/>
                <w:lang w:val="en-US" w:eastAsia="zh-CN" w:bidi="ar"/>
              </w:rPr>
            </w:pPr>
          </w:p>
        </w:tc>
      </w:tr>
      <w:tr w14:paraId="1A224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39694CE">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9</w:t>
            </w:r>
          </w:p>
        </w:tc>
        <w:tc>
          <w:tcPr>
            <w:tcW w:w="1080" w:type="dxa"/>
            <w:vAlign w:val="center"/>
          </w:tcPr>
          <w:p w14:paraId="380101BD">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50358E18">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6A4B67DF">
            <w:pPr>
              <w:rPr>
                <w:rFonts w:hint="eastAsia" w:ascii="仿宋_GB2312" w:hAnsi="仿宋_GB2312" w:eastAsia="仿宋_GB2312" w:cs="仿宋_GB2312"/>
                <w:i w:val="0"/>
                <w:iCs w:val="0"/>
                <w:color w:val="000000"/>
                <w:kern w:val="0"/>
                <w:sz w:val="24"/>
                <w:szCs w:val="24"/>
                <w:u w:val="none"/>
                <w:lang w:val="en-US" w:eastAsia="zh-CN" w:bidi="ar"/>
              </w:rPr>
            </w:pPr>
          </w:p>
        </w:tc>
      </w:tr>
      <w:tr w14:paraId="5C67F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26C2BE">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10</w:t>
            </w:r>
          </w:p>
        </w:tc>
        <w:tc>
          <w:tcPr>
            <w:tcW w:w="1080" w:type="dxa"/>
            <w:vAlign w:val="center"/>
          </w:tcPr>
          <w:p w14:paraId="45C4E038">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0F4D4478">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6D1C68AE">
            <w:pPr>
              <w:rPr>
                <w:rFonts w:hint="eastAsia" w:ascii="仿宋_GB2312" w:hAnsi="仿宋_GB2312" w:eastAsia="仿宋_GB2312" w:cs="仿宋_GB2312"/>
                <w:i w:val="0"/>
                <w:iCs w:val="0"/>
                <w:color w:val="000000"/>
                <w:kern w:val="0"/>
                <w:sz w:val="24"/>
                <w:szCs w:val="24"/>
                <w:u w:val="none"/>
                <w:lang w:val="en-US" w:eastAsia="zh-CN" w:bidi="ar"/>
              </w:rPr>
            </w:pPr>
          </w:p>
        </w:tc>
      </w:tr>
    </w:tbl>
    <w:p w14:paraId="1CA78D45">
      <w:pPr>
        <w:rPr>
          <w:rFonts w:hint="eastAsia" w:ascii="仿宋_GB2312" w:hAnsi="仿宋_GB2312" w:eastAsia="仿宋_GB2312" w:cs="仿宋_GB2312"/>
          <w:i w:val="0"/>
          <w:iCs w:val="0"/>
          <w:color w:val="000000"/>
          <w:kern w:val="0"/>
          <w:sz w:val="24"/>
          <w:szCs w:val="24"/>
          <w:u w:val="none"/>
          <w:lang w:val="en-US" w:eastAsia="zh-CN" w:bidi="ar"/>
        </w:rPr>
      </w:pPr>
    </w:p>
    <w:p w14:paraId="427B7697">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投标人名称（盖章）：              法定代表人或授权代表签字：</w:t>
      </w:r>
    </w:p>
    <w:p w14:paraId="19B10CE0">
      <w:pPr>
        <w:rPr>
          <w:rFonts w:hint="eastAsia" w:ascii="仿宋_GB2312" w:hAnsi="仿宋_GB2312" w:eastAsia="仿宋_GB2312" w:cs="仿宋_GB2312"/>
          <w:i w:val="0"/>
          <w:iCs w:val="0"/>
          <w:color w:val="000000"/>
          <w:kern w:val="0"/>
          <w:sz w:val="24"/>
          <w:szCs w:val="24"/>
          <w:u w:val="none"/>
          <w:lang w:val="en-US" w:eastAsia="zh-CN" w:bidi="ar"/>
        </w:rPr>
      </w:pPr>
    </w:p>
    <w:p w14:paraId="22EDEB97">
      <w:pPr>
        <w:rPr>
          <w:rFonts w:hint="eastAsia" w:ascii="仿宋_GB2312" w:hAnsi="仿宋_GB2312" w:eastAsia="仿宋_GB2312" w:cs="仿宋_GB2312"/>
          <w:i w:val="0"/>
          <w:iCs w:val="0"/>
          <w:color w:val="000000"/>
          <w:kern w:val="0"/>
          <w:sz w:val="24"/>
          <w:szCs w:val="24"/>
          <w:u w:val="none"/>
          <w:lang w:val="en-US" w:eastAsia="zh-CN" w:bidi="ar"/>
        </w:rPr>
      </w:pPr>
    </w:p>
    <w:p w14:paraId="62BC301B">
      <w:pPr>
        <w:spacing w:line="360" w:lineRule="auto"/>
        <w:rPr>
          <w:rFonts w:hint="eastAsia" w:ascii="宋体" w:hAnsi="宋体"/>
          <w:sz w:val="24"/>
        </w:rPr>
      </w:pPr>
      <w:r>
        <w:rPr>
          <w:rFonts w:hint="eastAsia" w:ascii="仿宋_GB2312" w:hAnsi="仿宋_GB2312" w:eastAsia="仿宋_GB2312" w:cs="仿宋_GB2312"/>
          <w:i w:val="0"/>
          <w:iCs w:val="0"/>
          <w:color w:val="000000"/>
          <w:kern w:val="0"/>
          <w:sz w:val="24"/>
          <w:szCs w:val="24"/>
          <w:u w:val="none"/>
          <w:lang w:val="en-US" w:eastAsia="zh-CN" w:bidi="ar"/>
        </w:rPr>
        <w:t>注：为避免歧义，无偏离也应要提报该表，并注明“无”字。如无该表则即使在其它部分已反映，将也被视为“无偏离”。</w:t>
      </w:r>
    </w:p>
    <w:p w14:paraId="2EC6DF5B">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6"/>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5"/>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6"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7"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8"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9" cstate="print"/>
                    <a:srcRect/>
                    <a:stretch>
                      <a:fillRect/>
                    </a:stretch>
                  </pic:blipFill>
                  <pic:spPr>
                    <a:xfrm>
                      <a:off x="0" y="0"/>
                      <a:ext cx="5760085" cy="2853055"/>
                    </a:xfrm>
                    <a:prstGeom prst="rect">
                      <a:avLst/>
                    </a:prstGeom>
                  </pic:spPr>
                </pic:pic>
              </a:graphicData>
            </a:graphic>
          </wp:inline>
        </w:drawing>
      </w:r>
    </w:p>
    <w:p w14:paraId="619779B8">
      <w:pPr>
        <w:numPr>
          <w:ilvl w:val="0"/>
          <w:numId w:val="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0"/>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货物 / 安全消防</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55121DD0">
      <w:pPr>
        <w:outlineLvl w:val="9"/>
        <w:rPr>
          <w:rFonts w:hint="default"/>
          <w:lang w:val="en-US" w:eastAsia="zh-CN"/>
        </w:rPr>
        <w:sectPr>
          <w:headerReference r:id="rId9" w:type="first"/>
          <w:footerReference r:id="rId11" w:type="first"/>
          <w:headerReference r:id="rId8" w:type="default"/>
          <w:footerReference r:id="rId10"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7F5F97E1">
      <w:pPr>
        <w:pStyle w:val="26"/>
      </w:pPr>
    </w:p>
    <w:p w14:paraId="44F04E35">
      <w:pPr>
        <w:pStyle w:val="26"/>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4"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5"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6"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7"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8" cstate="print"/>
                    <a:srcRect/>
                    <a:stretch>
                      <a:fillRect/>
                    </a:stretch>
                  </pic:blipFill>
                  <pic:spPr>
                    <a:xfrm>
                      <a:off x="0" y="0"/>
                      <a:ext cx="5760085" cy="1956435"/>
                    </a:xfrm>
                    <a:prstGeom prst="rect">
                      <a:avLst/>
                    </a:prstGeom>
                  </pic:spPr>
                </pic:pic>
              </a:graphicData>
            </a:graphic>
          </wp:inline>
        </w:drawing>
      </w:r>
    </w:p>
    <w:p w14:paraId="3FF7DF5D">
      <w:pPr>
        <w:pStyle w:val="26"/>
        <w:rPr>
          <w:rFonts w:hAnsi="宋体" w:eastAsia="宋体" w:cs="Times New Roman"/>
          <w:b/>
          <w:color w:val="000000"/>
          <w:sz w:val="24"/>
          <w:szCs w:val="24"/>
        </w:rPr>
      </w:pPr>
    </w:p>
    <w:p w14:paraId="3CEE3B78">
      <w:pPr>
        <w:pStyle w:val="26"/>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12" w:type="default"/>
      <w:footerReference r:id="rId13"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ED90B">
    <w:pPr>
      <w:pStyle w:val="3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C13F392">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C13F392">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7EFE1">
    <w:pPr>
      <w:pStyle w:val="3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EA18FA4">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6EA18FA4">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3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3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2"/>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2"/>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29C55">
    <w:pPr>
      <w:pStyle w:val="3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3"/>
    </w:pPr>
  </w:p>
  <w:p w14:paraId="75DC59E1">
    <w:pPr>
      <w:pStyle w:val="3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3"/>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4BF83F"/>
    <w:multiLevelType w:val="singleLevel"/>
    <w:tmpl w:val="F54BF83F"/>
    <w:lvl w:ilvl="0" w:tentative="0">
      <w:start w:val="1"/>
      <w:numFmt w:val="decimal"/>
      <w:suff w:val="space"/>
      <w:lvlText w:val="%1."/>
      <w:lvlJc w:val="left"/>
      <w:pPr>
        <w:ind w:left="0" w:firstLine="0"/>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4AF0723E"/>
    <w:multiLevelType w:val="singleLevel"/>
    <w:tmpl w:val="4AF0723E"/>
    <w:lvl w:ilvl="0" w:tentative="0">
      <w:start w:val="2"/>
      <w:numFmt w:val="chineseCounting"/>
      <w:suff w:val="nothing"/>
      <w:lvlText w:val="%1、"/>
      <w:lvlJc w:val="left"/>
      <w:rPr>
        <w:rFonts w:hint="eastAsia"/>
      </w:rPr>
    </w:lvl>
  </w:abstractNum>
  <w:abstractNum w:abstractNumId="6">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7">
    <w:nsid w:val="5901D2D1"/>
    <w:multiLevelType w:val="singleLevel"/>
    <w:tmpl w:val="5901D2D1"/>
    <w:lvl w:ilvl="0" w:tentative="0">
      <w:start w:val="3"/>
      <w:numFmt w:val="decimal"/>
      <w:suff w:val="nothing"/>
      <w:lvlText w:val="%1、"/>
      <w:lvlJc w:val="left"/>
    </w:lvl>
  </w:abstractNum>
  <w:abstractNum w:abstractNumId="8">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6"/>
  </w:num>
  <w:num w:numId="2">
    <w:abstractNumId w:val="2"/>
  </w:num>
  <w:num w:numId="3">
    <w:abstractNumId w:val="8"/>
  </w:num>
  <w:num w:numId="4">
    <w:abstractNumId w:val="10"/>
  </w:num>
  <w:num w:numId="5">
    <w:abstractNumId w:val="4"/>
  </w:num>
  <w:num w:numId="6">
    <w:abstractNumId w:val="3"/>
  </w:num>
  <w:num w:numId="7">
    <w:abstractNumId w:val="9"/>
  </w:num>
  <w:num w:numId="8">
    <w:abstractNumId w:val="7"/>
  </w:num>
  <w:num w:numId="9">
    <w:abstractNumId w:val="1"/>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68F55E3"/>
    <w:rsid w:val="09756E61"/>
    <w:rsid w:val="0BEB0202"/>
    <w:rsid w:val="0D326CC2"/>
    <w:rsid w:val="0EA03360"/>
    <w:rsid w:val="10FE7942"/>
    <w:rsid w:val="1378147A"/>
    <w:rsid w:val="13D35827"/>
    <w:rsid w:val="15C91518"/>
    <w:rsid w:val="1868332D"/>
    <w:rsid w:val="1DA82577"/>
    <w:rsid w:val="1E1170AC"/>
    <w:rsid w:val="22A44CDF"/>
    <w:rsid w:val="25F44B01"/>
    <w:rsid w:val="29C928E7"/>
    <w:rsid w:val="2A7C02EC"/>
    <w:rsid w:val="2A8F7CD5"/>
    <w:rsid w:val="2B3F4DD2"/>
    <w:rsid w:val="2B9654FA"/>
    <w:rsid w:val="2E7345D1"/>
    <w:rsid w:val="353F5A8C"/>
    <w:rsid w:val="3589599C"/>
    <w:rsid w:val="36DE1355"/>
    <w:rsid w:val="393D26BB"/>
    <w:rsid w:val="3A5B7C10"/>
    <w:rsid w:val="3C3170AD"/>
    <w:rsid w:val="3D9C2881"/>
    <w:rsid w:val="3F801B0E"/>
    <w:rsid w:val="413C1020"/>
    <w:rsid w:val="41A55A6F"/>
    <w:rsid w:val="429D2840"/>
    <w:rsid w:val="470B7BE0"/>
    <w:rsid w:val="48A82A9E"/>
    <w:rsid w:val="4A082E0A"/>
    <w:rsid w:val="4AC268B8"/>
    <w:rsid w:val="4CC51E60"/>
    <w:rsid w:val="4CD949FD"/>
    <w:rsid w:val="4F4A4FC8"/>
    <w:rsid w:val="50D74B46"/>
    <w:rsid w:val="51654692"/>
    <w:rsid w:val="54D67D81"/>
    <w:rsid w:val="54D7260C"/>
    <w:rsid w:val="57E02431"/>
    <w:rsid w:val="58055C15"/>
    <w:rsid w:val="58AE4B70"/>
    <w:rsid w:val="5AA3574A"/>
    <w:rsid w:val="5B316C0F"/>
    <w:rsid w:val="5F377063"/>
    <w:rsid w:val="5FF411EE"/>
    <w:rsid w:val="62E50A5D"/>
    <w:rsid w:val="633A3E82"/>
    <w:rsid w:val="673F2C72"/>
    <w:rsid w:val="68C06BDA"/>
    <w:rsid w:val="69F8009E"/>
    <w:rsid w:val="6AB76068"/>
    <w:rsid w:val="6C9132F0"/>
    <w:rsid w:val="6D5B701C"/>
    <w:rsid w:val="736A2597"/>
    <w:rsid w:val="74995770"/>
    <w:rsid w:val="75CD3E17"/>
    <w:rsid w:val="76683156"/>
    <w:rsid w:val="7A8F4EBB"/>
    <w:rsid w:val="7B802C44"/>
    <w:rsid w:val="7FC91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1"/>
    <w:qFormat/>
    <w:uiPriority w:val="0"/>
    <w:pPr>
      <w:keepNext/>
      <w:keepLines/>
      <w:spacing w:before="340" w:after="330" w:line="576" w:lineRule="auto"/>
      <w:outlineLvl w:val="0"/>
    </w:pPr>
    <w:rPr>
      <w:b/>
      <w:kern w:val="44"/>
      <w:sz w:val="44"/>
      <w:lang w:val="zh-CN"/>
    </w:rPr>
  </w:style>
  <w:style w:type="paragraph" w:styleId="5">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6">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7">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8">
    <w:name w:val="heading 5"/>
    <w:basedOn w:val="1"/>
    <w:next w:val="9"/>
    <w:link w:val="66"/>
    <w:qFormat/>
    <w:uiPriority w:val="0"/>
    <w:pPr>
      <w:keepNext/>
      <w:keepLines/>
      <w:spacing w:before="280" w:after="290" w:line="372" w:lineRule="auto"/>
      <w:outlineLvl w:val="4"/>
    </w:pPr>
    <w:rPr>
      <w:b/>
      <w:sz w:val="28"/>
      <w:lang w:val="zh-CN"/>
    </w:rPr>
  </w:style>
  <w:style w:type="paragraph" w:styleId="10">
    <w:name w:val="heading 6"/>
    <w:basedOn w:val="1"/>
    <w:next w:val="9"/>
    <w:link w:val="67"/>
    <w:qFormat/>
    <w:uiPriority w:val="0"/>
    <w:pPr>
      <w:keepNext/>
      <w:keepLines/>
      <w:spacing w:before="240" w:after="64" w:line="317" w:lineRule="auto"/>
      <w:outlineLvl w:val="5"/>
    </w:pPr>
    <w:rPr>
      <w:rFonts w:ascii="Arial" w:hAnsi="Arial" w:eastAsia="黑体"/>
      <w:b/>
      <w:sz w:val="24"/>
      <w:lang w:val="zh-CN"/>
    </w:rPr>
  </w:style>
  <w:style w:type="paragraph" w:styleId="11">
    <w:name w:val="heading 7"/>
    <w:basedOn w:val="1"/>
    <w:next w:val="9"/>
    <w:link w:val="68"/>
    <w:qFormat/>
    <w:uiPriority w:val="0"/>
    <w:pPr>
      <w:keepNext/>
      <w:keepLines/>
      <w:spacing w:before="240" w:after="64" w:line="317" w:lineRule="auto"/>
      <w:outlineLvl w:val="6"/>
    </w:pPr>
    <w:rPr>
      <w:b/>
      <w:sz w:val="24"/>
      <w:lang w:val="zh-CN"/>
    </w:rPr>
  </w:style>
  <w:style w:type="paragraph" w:styleId="12">
    <w:name w:val="heading 8"/>
    <w:basedOn w:val="1"/>
    <w:next w:val="9"/>
    <w:link w:val="69"/>
    <w:qFormat/>
    <w:uiPriority w:val="0"/>
    <w:pPr>
      <w:keepNext/>
      <w:keepLines/>
      <w:spacing w:before="240" w:after="64" w:line="317" w:lineRule="auto"/>
      <w:outlineLvl w:val="7"/>
    </w:pPr>
    <w:rPr>
      <w:rFonts w:ascii="Arial" w:hAnsi="Arial" w:eastAsia="黑体"/>
      <w:sz w:val="24"/>
      <w:lang w:val="zh-CN"/>
    </w:rPr>
  </w:style>
  <w:style w:type="paragraph" w:styleId="13">
    <w:name w:val="heading 9"/>
    <w:basedOn w:val="1"/>
    <w:next w:val="9"/>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109"/>
    <w:qFormat/>
    <w:uiPriority w:val="0"/>
    <w:pPr>
      <w:spacing w:after="120"/>
      <w:ind w:left="420" w:leftChars="200" w:firstLine="420" w:firstLineChars="200"/>
    </w:pPr>
    <w:rPr>
      <w:kern w:val="2"/>
      <w:sz w:val="21"/>
    </w:rPr>
  </w:style>
  <w:style w:type="paragraph" w:styleId="3">
    <w:name w:val="Body Text Indent"/>
    <w:basedOn w:val="1"/>
    <w:link w:val="110"/>
    <w:qFormat/>
    <w:uiPriority w:val="0"/>
    <w:pPr>
      <w:ind w:firstLine="360"/>
    </w:pPr>
    <w:rPr>
      <w:kern w:val="0"/>
      <w:sz w:val="28"/>
      <w:szCs w:val="24"/>
    </w:rPr>
  </w:style>
  <w:style w:type="paragraph" w:styleId="9">
    <w:name w:val="Normal Indent"/>
    <w:basedOn w:val="1"/>
    <w:link w:val="64"/>
    <w:qFormat/>
    <w:uiPriority w:val="0"/>
    <w:pPr>
      <w:ind w:firstLine="420"/>
    </w:pPr>
    <w:rPr>
      <w:kern w:val="0"/>
      <w:sz w:val="20"/>
    </w:rPr>
  </w:style>
  <w:style w:type="paragraph" w:styleId="14">
    <w:name w:val="toc 7"/>
    <w:basedOn w:val="1"/>
    <w:next w:val="1"/>
    <w:qFormat/>
    <w:uiPriority w:val="0"/>
    <w:pPr>
      <w:ind w:left="2520" w:leftChars="1200"/>
    </w:pPr>
  </w:style>
  <w:style w:type="paragraph" w:styleId="15">
    <w:name w:val="Note Heading"/>
    <w:basedOn w:val="1"/>
    <w:next w:val="1"/>
    <w:link w:val="115"/>
    <w:qFormat/>
    <w:uiPriority w:val="0"/>
    <w:pPr>
      <w:adjustRightInd w:val="0"/>
      <w:snapToGrid w:val="0"/>
      <w:jc w:val="center"/>
    </w:pPr>
    <w:rPr>
      <w:lang w:val="zh-CN" w:eastAsia="zh-TW"/>
    </w:rPr>
  </w:style>
  <w:style w:type="paragraph" w:styleId="16">
    <w:name w:val="caption"/>
    <w:basedOn w:val="1"/>
    <w:next w:val="1"/>
    <w:qFormat/>
    <w:uiPriority w:val="0"/>
    <w:rPr>
      <w:rFonts w:ascii="Cambria" w:hAnsi="Cambria" w:eastAsia="黑体"/>
    </w:rPr>
  </w:style>
  <w:style w:type="paragraph" w:styleId="17">
    <w:name w:val="Document Map"/>
    <w:basedOn w:val="1"/>
    <w:link w:val="111"/>
    <w:qFormat/>
    <w:uiPriority w:val="0"/>
    <w:pPr>
      <w:shd w:val="clear" w:color="auto" w:fill="000080"/>
    </w:pPr>
    <w:rPr>
      <w:kern w:val="0"/>
      <w:sz w:val="20"/>
    </w:rPr>
  </w:style>
  <w:style w:type="paragraph" w:styleId="18">
    <w:name w:val="toa heading"/>
    <w:basedOn w:val="1"/>
    <w:next w:val="1"/>
    <w:qFormat/>
    <w:uiPriority w:val="0"/>
    <w:pPr>
      <w:adjustRightInd w:val="0"/>
      <w:spacing w:before="120" w:line="312" w:lineRule="atLeast"/>
      <w:textAlignment w:val="baseline"/>
    </w:pPr>
    <w:rPr>
      <w:rFonts w:ascii="Arial" w:hAnsi="Arial"/>
      <w:sz w:val="24"/>
    </w:rPr>
  </w:style>
  <w:style w:type="paragraph" w:styleId="19">
    <w:name w:val="annotation text"/>
    <w:basedOn w:val="1"/>
    <w:link w:val="105"/>
    <w:qFormat/>
    <w:uiPriority w:val="0"/>
    <w:pPr>
      <w:adjustRightInd w:val="0"/>
      <w:spacing w:line="360" w:lineRule="atLeast"/>
      <w:textAlignment w:val="baseline"/>
    </w:pPr>
    <w:rPr>
      <w:kern w:val="0"/>
      <w:sz w:val="24"/>
      <w:lang w:val="zh-CN"/>
    </w:rPr>
  </w:style>
  <w:style w:type="paragraph" w:styleId="20">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1">
    <w:name w:val="Body Text"/>
    <w:basedOn w:val="1"/>
    <w:next w:val="22"/>
    <w:link w:val="77"/>
    <w:qFormat/>
    <w:uiPriority w:val="99"/>
    <w:rPr>
      <w:sz w:val="24"/>
    </w:rPr>
  </w:style>
  <w:style w:type="paragraph" w:customStyle="1" w:styleId="22">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3">
    <w:name w:val="Block Text"/>
    <w:basedOn w:val="1"/>
    <w:qFormat/>
    <w:uiPriority w:val="0"/>
    <w:pPr>
      <w:ind w:left="-540" w:right="-1054"/>
    </w:pPr>
    <w:rPr>
      <w:sz w:val="28"/>
    </w:rPr>
  </w:style>
  <w:style w:type="paragraph" w:styleId="24">
    <w:name w:val="toc 5"/>
    <w:basedOn w:val="1"/>
    <w:next w:val="1"/>
    <w:qFormat/>
    <w:uiPriority w:val="0"/>
    <w:pPr>
      <w:ind w:left="1680" w:leftChars="800"/>
    </w:pPr>
  </w:style>
  <w:style w:type="paragraph" w:styleId="25">
    <w:name w:val="toc 3"/>
    <w:basedOn w:val="1"/>
    <w:next w:val="1"/>
    <w:qFormat/>
    <w:uiPriority w:val="39"/>
    <w:pPr>
      <w:ind w:left="840" w:leftChars="400"/>
    </w:pPr>
  </w:style>
  <w:style w:type="paragraph" w:styleId="26">
    <w:name w:val="Plain Text"/>
    <w:basedOn w:val="1"/>
    <w:link w:val="88"/>
    <w:qFormat/>
    <w:uiPriority w:val="99"/>
    <w:pPr>
      <w:overflowPunct w:val="0"/>
      <w:spacing w:line="360" w:lineRule="auto"/>
    </w:pPr>
    <w:rPr>
      <w:rFonts w:ascii="宋体" w:hAnsi="Courier New" w:eastAsia="仿宋_GB2312"/>
      <w:sz w:val="24"/>
      <w:lang w:val="zh-CN"/>
    </w:rPr>
  </w:style>
  <w:style w:type="paragraph" w:styleId="27">
    <w:name w:val="toc 8"/>
    <w:basedOn w:val="1"/>
    <w:next w:val="1"/>
    <w:qFormat/>
    <w:uiPriority w:val="0"/>
    <w:pPr>
      <w:ind w:left="2940" w:leftChars="1400"/>
    </w:pPr>
  </w:style>
  <w:style w:type="paragraph" w:styleId="28">
    <w:name w:val="Date"/>
    <w:basedOn w:val="1"/>
    <w:next w:val="1"/>
    <w:link w:val="126"/>
    <w:qFormat/>
    <w:uiPriority w:val="99"/>
    <w:rPr>
      <w:kern w:val="0"/>
      <w:sz w:val="24"/>
    </w:rPr>
  </w:style>
  <w:style w:type="paragraph" w:styleId="29">
    <w:name w:val="Body Text Indent 2"/>
    <w:basedOn w:val="1"/>
    <w:link w:val="76"/>
    <w:qFormat/>
    <w:uiPriority w:val="0"/>
    <w:pPr>
      <w:spacing w:before="60" w:after="60"/>
      <w:ind w:left="720" w:hanging="720"/>
    </w:pPr>
    <w:rPr>
      <w:color w:val="000000"/>
      <w:kern w:val="0"/>
      <w:sz w:val="24"/>
    </w:rPr>
  </w:style>
  <w:style w:type="paragraph" w:styleId="30">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1">
    <w:name w:val="Balloon Text"/>
    <w:basedOn w:val="1"/>
    <w:link w:val="107"/>
    <w:qFormat/>
    <w:uiPriority w:val="0"/>
    <w:rPr>
      <w:sz w:val="18"/>
      <w:szCs w:val="18"/>
      <w:lang w:val="zh-CN"/>
    </w:rPr>
  </w:style>
  <w:style w:type="paragraph" w:styleId="32">
    <w:name w:val="footer"/>
    <w:basedOn w:val="1"/>
    <w:link w:val="175"/>
    <w:qFormat/>
    <w:uiPriority w:val="99"/>
    <w:pPr>
      <w:tabs>
        <w:tab w:val="center" w:pos="4153"/>
        <w:tab w:val="right" w:pos="8306"/>
      </w:tabs>
      <w:snapToGrid w:val="0"/>
    </w:pPr>
    <w:rPr>
      <w:sz w:val="18"/>
      <w:lang w:val="zh-CN"/>
    </w:rPr>
  </w:style>
  <w:style w:type="paragraph" w:styleId="33">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4">
    <w:name w:val="toc 1"/>
    <w:basedOn w:val="1"/>
    <w:next w:val="1"/>
    <w:qFormat/>
    <w:uiPriority w:val="39"/>
  </w:style>
  <w:style w:type="paragraph" w:styleId="35">
    <w:name w:val="toc 4"/>
    <w:basedOn w:val="1"/>
    <w:next w:val="1"/>
    <w:qFormat/>
    <w:uiPriority w:val="0"/>
    <w:pPr>
      <w:ind w:left="1260" w:leftChars="600"/>
    </w:pPr>
  </w:style>
  <w:style w:type="paragraph" w:styleId="36">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7">
    <w:name w:val="footnote text"/>
    <w:basedOn w:val="1"/>
    <w:link w:val="129"/>
    <w:qFormat/>
    <w:uiPriority w:val="0"/>
    <w:pPr>
      <w:snapToGrid w:val="0"/>
    </w:pPr>
    <w:rPr>
      <w:sz w:val="18"/>
      <w:szCs w:val="18"/>
      <w:lang w:val="zh-CN"/>
    </w:rPr>
  </w:style>
  <w:style w:type="paragraph" w:styleId="38">
    <w:name w:val="toc 6"/>
    <w:basedOn w:val="1"/>
    <w:next w:val="1"/>
    <w:qFormat/>
    <w:uiPriority w:val="0"/>
    <w:pPr>
      <w:ind w:left="2100" w:leftChars="1000"/>
    </w:pPr>
  </w:style>
  <w:style w:type="paragraph" w:styleId="39">
    <w:name w:val="Body Text Indent 3"/>
    <w:basedOn w:val="1"/>
    <w:link w:val="83"/>
    <w:qFormat/>
    <w:uiPriority w:val="0"/>
    <w:pPr>
      <w:ind w:firstLine="720"/>
    </w:pPr>
    <w:rPr>
      <w:kern w:val="0"/>
      <w:sz w:val="24"/>
    </w:rPr>
  </w:style>
  <w:style w:type="paragraph" w:styleId="40">
    <w:name w:val="table of figures"/>
    <w:basedOn w:val="1"/>
    <w:next w:val="1"/>
    <w:qFormat/>
    <w:uiPriority w:val="0"/>
    <w:pPr>
      <w:ind w:left="440" w:hanging="440"/>
    </w:pPr>
    <w:rPr>
      <w:rFonts w:ascii="Arial" w:hAnsi="Arial"/>
      <w:sz w:val="22"/>
      <w:lang w:val="en-GB" w:eastAsia="en-US"/>
    </w:rPr>
  </w:style>
  <w:style w:type="paragraph" w:styleId="41">
    <w:name w:val="toc 2"/>
    <w:basedOn w:val="1"/>
    <w:next w:val="1"/>
    <w:qFormat/>
    <w:uiPriority w:val="39"/>
    <w:pPr>
      <w:ind w:left="420" w:leftChars="200"/>
    </w:pPr>
  </w:style>
  <w:style w:type="paragraph" w:styleId="42">
    <w:name w:val="toc 9"/>
    <w:basedOn w:val="1"/>
    <w:next w:val="1"/>
    <w:qFormat/>
    <w:uiPriority w:val="0"/>
    <w:pPr>
      <w:ind w:left="3360" w:leftChars="1600"/>
    </w:pPr>
  </w:style>
  <w:style w:type="paragraph" w:styleId="43">
    <w:name w:val="Body Text 2"/>
    <w:basedOn w:val="1"/>
    <w:link w:val="100"/>
    <w:qFormat/>
    <w:uiPriority w:val="0"/>
    <w:pPr>
      <w:spacing w:before="60" w:after="60"/>
    </w:pPr>
    <w:rPr>
      <w:color w:val="0000FF"/>
      <w:kern w:val="0"/>
      <w:sz w:val="24"/>
    </w:rPr>
  </w:style>
  <w:style w:type="paragraph" w:styleId="44">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5">
    <w:name w:val="Normal (Web)"/>
    <w:basedOn w:val="1"/>
    <w:qFormat/>
    <w:uiPriority w:val="99"/>
    <w:rPr>
      <w:rFonts w:ascii="宋体" w:hAnsi="宋体" w:cs="宋体"/>
      <w:sz w:val="24"/>
      <w:szCs w:val="24"/>
    </w:rPr>
  </w:style>
  <w:style w:type="paragraph" w:styleId="46">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7">
    <w:name w:val="annotation subject"/>
    <w:basedOn w:val="19"/>
    <w:next w:val="19"/>
    <w:link w:val="120"/>
    <w:qFormat/>
    <w:uiPriority w:val="0"/>
    <w:pPr>
      <w:adjustRightInd/>
      <w:spacing w:line="240" w:lineRule="auto"/>
      <w:textAlignment w:val="auto"/>
    </w:pPr>
  </w:style>
  <w:style w:type="paragraph" w:styleId="48">
    <w:name w:val="Body Text First Indent"/>
    <w:basedOn w:val="21"/>
    <w:link w:val="121"/>
    <w:qFormat/>
    <w:uiPriority w:val="0"/>
    <w:pPr>
      <w:spacing w:after="120"/>
      <w:ind w:firstLine="420" w:firstLineChars="100"/>
    </w:pPr>
    <w:rPr>
      <w:rFonts w:ascii="宋体" w:hAnsi="宋体"/>
      <w:color w:val="000000"/>
      <w:lang w:val="zh-CN"/>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4"/>
    <w:qFormat/>
    <w:uiPriority w:val="0"/>
    <w:rPr>
      <w:b/>
      <w:kern w:val="44"/>
      <w:sz w:val="44"/>
      <w:lang w:val="zh-CN" w:eastAsia="zh-CN"/>
    </w:rPr>
  </w:style>
  <w:style w:type="character" w:customStyle="1" w:styleId="62">
    <w:name w:val="标题 2 字符"/>
    <w:link w:val="5"/>
    <w:qFormat/>
    <w:uiPriority w:val="0"/>
    <w:rPr>
      <w:rFonts w:ascii="Arial" w:hAnsi="Arial" w:eastAsia="黑体"/>
      <w:b/>
      <w:sz w:val="32"/>
      <w:lang w:val="zh-CN" w:eastAsia="zh-CN"/>
    </w:rPr>
  </w:style>
  <w:style w:type="character" w:customStyle="1" w:styleId="63">
    <w:name w:val="标题 3 字符"/>
    <w:link w:val="6"/>
    <w:qFormat/>
    <w:uiPriority w:val="0"/>
    <w:rPr>
      <w:b/>
      <w:sz w:val="32"/>
      <w:lang w:val="zh-CN" w:eastAsia="zh-CN"/>
    </w:rPr>
  </w:style>
  <w:style w:type="character" w:customStyle="1" w:styleId="64">
    <w:name w:val="正文缩进 字符"/>
    <w:link w:val="9"/>
    <w:qFormat/>
    <w:uiPriority w:val="0"/>
    <w:rPr>
      <w:rFonts w:eastAsia="宋体"/>
      <w:lang w:val="en-US" w:eastAsia="zh-CN" w:bidi="ar-SA"/>
    </w:rPr>
  </w:style>
  <w:style w:type="character" w:customStyle="1" w:styleId="65">
    <w:name w:val="标题 4 字符"/>
    <w:link w:val="7"/>
    <w:qFormat/>
    <w:uiPriority w:val="0"/>
    <w:rPr>
      <w:rFonts w:ascii="Arial" w:hAnsi="Arial" w:eastAsia="黑体"/>
      <w:b/>
      <w:kern w:val="2"/>
      <w:sz w:val="28"/>
      <w:lang w:val="zh-CN" w:eastAsia="zh-CN"/>
    </w:rPr>
  </w:style>
  <w:style w:type="character" w:customStyle="1" w:styleId="66">
    <w:name w:val="标题 5 字符"/>
    <w:link w:val="8"/>
    <w:qFormat/>
    <w:uiPriority w:val="0"/>
    <w:rPr>
      <w:b/>
      <w:kern w:val="2"/>
      <w:sz w:val="28"/>
      <w:lang w:val="zh-CN" w:eastAsia="zh-CN"/>
    </w:rPr>
  </w:style>
  <w:style w:type="character" w:customStyle="1" w:styleId="67">
    <w:name w:val="标题 6 字符"/>
    <w:link w:val="10"/>
    <w:qFormat/>
    <w:uiPriority w:val="0"/>
    <w:rPr>
      <w:rFonts w:ascii="Arial" w:hAnsi="Arial" w:eastAsia="黑体"/>
      <w:b/>
      <w:kern w:val="2"/>
      <w:sz w:val="24"/>
      <w:lang w:val="zh-CN" w:eastAsia="zh-CN"/>
    </w:rPr>
  </w:style>
  <w:style w:type="character" w:customStyle="1" w:styleId="68">
    <w:name w:val="标题 7 字符"/>
    <w:link w:val="11"/>
    <w:qFormat/>
    <w:uiPriority w:val="0"/>
    <w:rPr>
      <w:b/>
      <w:kern w:val="2"/>
      <w:sz w:val="24"/>
      <w:lang w:val="zh-CN" w:eastAsia="zh-CN"/>
    </w:rPr>
  </w:style>
  <w:style w:type="character" w:customStyle="1" w:styleId="69">
    <w:name w:val="标题 8 字符"/>
    <w:link w:val="12"/>
    <w:qFormat/>
    <w:uiPriority w:val="0"/>
    <w:rPr>
      <w:rFonts w:ascii="Arial" w:hAnsi="Arial" w:eastAsia="黑体"/>
      <w:kern w:val="2"/>
      <w:sz w:val="24"/>
      <w:lang w:val="zh-CN" w:eastAsia="zh-CN"/>
    </w:rPr>
  </w:style>
  <w:style w:type="character" w:customStyle="1" w:styleId="70">
    <w:name w:val="标题 9 字符"/>
    <w:link w:val="13"/>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9"/>
    <w:qFormat/>
    <w:uiPriority w:val="0"/>
    <w:rPr>
      <w:rFonts w:eastAsia="宋体"/>
      <w:color w:val="000000"/>
      <w:sz w:val="24"/>
      <w:lang w:val="en-US" w:eastAsia="zh-CN" w:bidi="ar-SA"/>
    </w:rPr>
  </w:style>
  <w:style w:type="character" w:customStyle="1" w:styleId="77">
    <w:name w:val="正文文本 字符"/>
    <w:link w:val="21"/>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20"/>
    <w:qFormat/>
    <w:uiPriority w:val="0"/>
    <w:rPr>
      <w:rFonts w:ascii="Arial" w:hAnsi="Arial"/>
      <w:color w:val="FF0000"/>
      <w:spacing w:val="-3"/>
      <w:sz w:val="22"/>
      <w:lang w:val="en-GB" w:eastAsia="en-US" w:bidi="ar-SA"/>
    </w:rPr>
  </w:style>
  <w:style w:type="character" w:customStyle="1" w:styleId="83">
    <w:name w:val="正文文本缩进 3 字符"/>
    <w:link w:val="39"/>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6"/>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6"/>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6"/>
    <w:qFormat/>
    <w:uiPriority w:val="0"/>
    <w:rPr>
      <w:rFonts w:ascii="Cambria" w:hAnsi="Cambria"/>
      <w:b/>
      <w:bCs/>
      <w:kern w:val="28"/>
      <w:sz w:val="32"/>
      <w:szCs w:val="32"/>
      <w:lang w:val="en-US" w:eastAsia="zh-CN"/>
    </w:rPr>
  </w:style>
  <w:style w:type="character" w:customStyle="1" w:styleId="100">
    <w:name w:val="正文文本 2 字符"/>
    <w:link w:val="43"/>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9"/>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1"/>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2"/>
    <w:qFormat/>
    <w:uiPriority w:val="0"/>
    <w:rPr>
      <w:rFonts w:eastAsia="宋体"/>
      <w:kern w:val="2"/>
      <w:sz w:val="21"/>
      <w:szCs w:val="24"/>
      <w:lang w:val="en-US" w:eastAsia="zh-CN" w:bidi="ar-SA"/>
    </w:rPr>
  </w:style>
  <w:style w:type="character" w:customStyle="1" w:styleId="110">
    <w:name w:val="正文文本缩进 字符"/>
    <w:link w:val="3"/>
    <w:qFormat/>
    <w:uiPriority w:val="0"/>
    <w:rPr>
      <w:rFonts w:eastAsia="宋体"/>
      <w:sz w:val="28"/>
      <w:szCs w:val="24"/>
      <w:lang w:val="en-US" w:eastAsia="zh-CN" w:bidi="ar-SA"/>
    </w:rPr>
  </w:style>
  <w:style w:type="character" w:customStyle="1" w:styleId="111">
    <w:name w:val="文档结构图 字符"/>
    <w:link w:val="17"/>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5"/>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7"/>
    <w:qFormat/>
    <w:uiPriority w:val="0"/>
    <w:rPr>
      <w:sz w:val="24"/>
    </w:rPr>
  </w:style>
  <w:style w:type="character" w:customStyle="1" w:styleId="121">
    <w:name w:val="正文首行缩进 字符"/>
    <w:link w:val="48"/>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8"/>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7"/>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4"/>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1"/>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22"/>
    <w:next w:val="22"/>
    <w:qFormat/>
    <w:uiPriority w:val="0"/>
    <w:pPr>
      <w:spacing w:after="120"/>
    </w:pPr>
    <w:rPr>
      <w:color w:val="auto"/>
    </w:rPr>
  </w:style>
  <w:style w:type="paragraph" w:customStyle="1" w:styleId="145">
    <w:name w:val="样式 正文首行缩进 + 首行缩进:  2 字符1 Char Char"/>
    <w:basedOn w:val="48"/>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22"/>
    <w:next w:val="22"/>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7"/>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3"/>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4"/>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4"/>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22"/>
    <w:next w:val="22"/>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2"/>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5"/>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22"/>
    <w:next w:val="22"/>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5"/>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9"/>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30"/>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1"/>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6"/>
    <w:qFormat/>
    <w:uiPriority w:val="2"/>
    <w:pPr>
      <w:numPr>
        <w:ilvl w:val="0"/>
        <w:numId w:val="1"/>
      </w:numPr>
      <w:spacing w:line="360" w:lineRule="auto"/>
      <w:outlineLvl w:val="2"/>
    </w:pPr>
    <w:rPr>
      <w:b/>
    </w:rPr>
  </w:style>
  <w:style w:type="paragraph" w:customStyle="1" w:styleId="229">
    <w:name w:val="标书正文格式"/>
    <w:basedOn w:val="26"/>
    <w:qFormat/>
    <w:uiPriority w:val="0"/>
    <w:pPr>
      <w:spacing w:line="360" w:lineRule="auto"/>
      <w:ind w:firstLine="200" w:firstLineChars="200"/>
    </w:pPr>
    <w:rPr>
      <w:rFonts w:hAnsi="宋体"/>
      <w:color w:val="000000"/>
      <w:sz w:val="24"/>
      <w:szCs w:val="24"/>
    </w:rPr>
  </w:style>
  <w:style w:type="paragraph" w:customStyle="1" w:styleId="230">
    <w:name w:val="（4）级标题"/>
    <w:basedOn w:val="26"/>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6"/>
    <w:qFormat/>
    <w:uiPriority w:val="1"/>
    <w:pPr>
      <w:numPr>
        <w:ilvl w:val="0"/>
        <w:numId w:val="3"/>
      </w:numPr>
      <w:spacing w:line="360" w:lineRule="auto"/>
      <w:ind w:left="420"/>
      <w:outlineLvl w:val="1"/>
    </w:pPr>
    <w:rPr>
      <w:rFonts w:ascii="黑体" w:eastAsia="黑体"/>
      <w:b/>
      <w:bCs/>
      <w:sz w:val="28"/>
    </w:rPr>
  </w:style>
  <w:style w:type="paragraph" w:customStyle="1" w:styleId="235">
    <w:name w:val="首行缩进"/>
    <w:basedOn w:val="1"/>
    <w:qFormat/>
    <w:uiPriority w:val="0"/>
    <w:pPr>
      <w:spacing w:line="360" w:lineRule="auto"/>
      <w:ind w:firstLine="480" w:firstLineChars="200"/>
    </w:pPr>
    <w:rPr>
      <w:rFonts w:ascii="宋体" w:hAnsi="宋体" w:cs="宋体"/>
      <w:kern w:val="0"/>
      <w:sz w:val="24"/>
    </w:rPr>
  </w:style>
  <w:style w:type="character" w:customStyle="1" w:styleId="236">
    <w:name w:val="font11"/>
    <w:basedOn w:val="51"/>
    <w:qFormat/>
    <w:uiPriority w:val="0"/>
    <w:rPr>
      <w:rFonts w:hint="eastAsia" w:ascii="宋体" w:hAnsi="宋体" w:eastAsia="宋体" w:cs="宋体"/>
      <w:color w:val="000000"/>
      <w:sz w:val="24"/>
      <w:szCs w:val="24"/>
      <w:u w:val="single"/>
    </w:rPr>
  </w:style>
  <w:style w:type="character" w:customStyle="1" w:styleId="237">
    <w:name w:val="font21"/>
    <w:basedOn w:val="51"/>
    <w:qFormat/>
    <w:uiPriority w:val="0"/>
    <w:rPr>
      <w:rFonts w:hint="eastAsia" w:ascii="宋体" w:hAnsi="宋体" w:eastAsia="宋体" w:cs="宋体"/>
      <w:color w:val="000000"/>
      <w:sz w:val="24"/>
      <w:szCs w:val="24"/>
      <w:u w:val="none"/>
    </w:rPr>
  </w:style>
  <w:style w:type="character" w:customStyle="1" w:styleId="238">
    <w:name w:val="font71"/>
    <w:basedOn w:val="51"/>
    <w:qFormat/>
    <w:uiPriority w:val="0"/>
    <w:rPr>
      <w:rFonts w:ascii="Arial" w:hAnsi="Arial" w:cs="Arial"/>
      <w:color w:val="000000"/>
      <w:sz w:val="24"/>
      <w:szCs w:val="24"/>
      <w:u w:val="none"/>
    </w:rPr>
  </w:style>
  <w:style w:type="character" w:customStyle="1" w:styleId="239">
    <w:name w:val="font91"/>
    <w:basedOn w:val="51"/>
    <w:qFormat/>
    <w:uiPriority w:val="0"/>
    <w:rPr>
      <w:rFonts w:hint="default" w:ascii="Arial" w:hAnsi="Arial" w:cs="Arial"/>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39</Pages>
  <Words>3722</Words>
  <Characters>3929</Characters>
  <Lines>52</Lines>
  <Paragraphs>14</Paragraphs>
  <TotalTime>9</TotalTime>
  <ScaleCrop>false</ScaleCrop>
  <LinksUpToDate>false</LinksUpToDate>
  <CharactersWithSpaces>3995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卜剑锋</cp:lastModifiedBy>
  <cp:lastPrinted>2020-01-08T06:44:00Z</cp:lastPrinted>
  <dcterms:modified xsi:type="dcterms:W3CDTF">2025-12-16T07:09:41Z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Base Target">
    <vt:lpwstr>_blank</vt:lpwstr>
  </property>
  <property fmtid="{D5CDD505-2E9C-101B-9397-08002B2CF9AE}" pid="4" name="ICV">
    <vt:lpwstr>6557DA1B12CB48B986EAC1BEA6701BD6_13</vt:lpwstr>
  </property>
  <property fmtid="{D5CDD505-2E9C-101B-9397-08002B2CF9AE}" pid="5" name="KSOTemplateDocerSaveRecord">
    <vt:lpwstr>eyJoZGlkIjoiYzc3ODk5MWQ2ODkxYjIzNzI1YmVhYjkyYmE4NWMzNGUiLCJ1c2VySWQiOiIyNTA0NTg1ODYifQ==</vt:lpwstr>
  </property>
</Properties>
</file>