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32E79028">
      <w:pPr>
        <w:autoSpaceDE w:val="0"/>
        <w:autoSpaceDN w:val="0"/>
        <w:adjustRightInd w:val="0"/>
        <w:snapToGrid w:val="0"/>
        <w:spacing w:line="360" w:lineRule="auto"/>
        <w:ind w:firstLine="723"/>
        <w:jc w:val="center"/>
        <w:rPr>
          <w:rFonts w:hint="eastAsia" w:asciiTheme="minorEastAsia" w:hAnsiTheme="minorEastAsia" w:eastAsiaTheme="minorEastAsia" w:cstheme="minorEastAsia"/>
          <w:b/>
          <w:sz w:val="36"/>
          <w:szCs w:val="36"/>
        </w:rPr>
      </w:pPr>
      <w:bookmarkStart w:id="0" w:name="_Toc10987"/>
      <w:bookmarkStart w:id="1" w:name="_Toc15310"/>
    </w:p>
    <w:p w14:paraId="1C507B11">
      <w:pPr>
        <w:autoSpaceDE w:val="0"/>
        <w:autoSpaceDN w:val="0"/>
        <w:adjustRightInd w:val="0"/>
        <w:snapToGrid w:val="0"/>
        <w:spacing w:line="360" w:lineRule="auto"/>
        <w:ind w:firstLine="723"/>
        <w:jc w:val="center"/>
        <w:rPr>
          <w:rFonts w:hint="eastAsia" w:asciiTheme="minorEastAsia" w:hAnsiTheme="minorEastAsia" w:eastAsiaTheme="minorEastAsia" w:cstheme="minorEastAsia"/>
          <w:b/>
          <w:sz w:val="36"/>
          <w:szCs w:val="36"/>
        </w:rPr>
      </w:pPr>
    </w:p>
    <w:p w14:paraId="009EA4D6">
      <w:pPr>
        <w:autoSpaceDE w:val="0"/>
        <w:autoSpaceDN w:val="0"/>
        <w:adjustRightInd w:val="0"/>
        <w:snapToGrid w:val="0"/>
        <w:spacing w:line="360" w:lineRule="auto"/>
        <w:ind w:firstLine="256" w:firstLineChars="49"/>
        <w:jc w:val="center"/>
        <w:rPr>
          <w:rFonts w:hint="default" w:asciiTheme="minorEastAsia" w:hAnsiTheme="minorEastAsia" w:eastAsiaTheme="minorEastAsia" w:cstheme="minorEastAsia"/>
          <w:b/>
          <w:sz w:val="52"/>
          <w:szCs w:val="52"/>
          <w:highlight w:val="yellow"/>
          <w:lang w:val="en-US"/>
        </w:rPr>
      </w:pPr>
      <w:r>
        <w:rPr>
          <w:rFonts w:hint="eastAsia" w:asciiTheme="minorEastAsia" w:hAnsiTheme="minorEastAsia" w:eastAsiaTheme="minorEastAsia" w:cstheme="minorEastAsia"/>
          <w:b/>
          <w:sz w:val="52"/>
          <w:szCs w:val="52"/>
          <w:lang w:val="en-US" w:eastAsia="zh-CN"/>
        </w:rPr>
        <w:t>科技园区加装逃生缓降锁安装项目</w:t>
      </w:r>
    </w:p>
    <w:p w14:paraId="1511E7B3">
      <w:pPr>
        <w:autoSpaceDE w:val="0"/>
        <w:autoSpaceDN w:val="0"/>
        <w:adjustRightInd w:val="0"/>
        <w:snapToGrid w:val="0"/>
        <w:spacing w:line="360" w:lineRule="auto"/>
        <w:jc w:val="both"/>
        <w:rPr>
          <w:rFonts w:hint="eastAsia" w:asciiTheme="minorEastAsia" w:hAnsiTheme="minorEastAsia" w:eastAsiaTheme="minorEastAsia" w:cstheme="minorEastAsia"/>
          <w:b/>
          <w:sz w:val="72"/>
          <w:szCs w:val="72"/>
        </w:rPr>
      </w:pPr>
    </w:p>
    <w:p w14:paraId="2DE21900">
      <w:pPr>
        <w:autoSpaceDE w:val="0"/>
        <w:autoSpaceDN w:val="0"/>
        <w:adjustRightInd w:val="0"/>
        <w:snapToGrid w:val="0"/>
        <w:spacing w:line="360" w:lineRule="auto"/>
        <w:jc w:val="both"/>
        <w:rPr>
          <w:rFonts w:hint="eastAsia" w:asciiTheme="minorEastAsia" w:hAnsiTheme="minorEastAsia" w:eastAsiaTheme="minorEastAsia" w:cstheme="minorEastAsia"/>
          <w:b/>
          <w:sz w:val="72"/>
          <w:szCs w:val="72"/>
        </w:rPr>
      </w:pPr>
    </w:p>
    <w:p w14:paraId="6CB511C3">
      <w:pPr>
        <w:autoSpaceDE w:val="0"/>
        <w:autoSpaceDN w:val="0"/>
        <w:adjustRightInd w:val="0"/>
        <w:snapToGrid w:val="0"/>
        <w:spacing w:line="360" w:lineRule="auto"/>
        <w:ind w:firstLine="354" w:firstLineChars="49"/>
        <w:jc w:val="center"/>
        <w:rPr>
          <w:rFonts w:hint="eastAsia" w:asciiTheme="minorEastAsia" w:hAnsiTheme="minorEastAsia" w:eastAsiaTheme="minorEastAsia" w:cstheme="minorEastAsia"/>
          <w:b/>
          <w:w w:val="99"/>
          <w:sz w:val="30"/>
          <w:szCs w:val="30"/>
        </w:rPr>
      </w:pPr>
      <w:r>
        <w:rPr>
          <w:rFonts w:hint="eastAsia" w:asciiTheme="minorEastAsia" w:hAnsiTheme="minorEastAsia" w:eastAsiaTheme="minorEastAsia" w:cstheme="minorEastAsia"/>
          <w:b/>
          <w:sz w:val="72"/>
          <w:szCs w:val="72"/>
        </w:rPr>
        <w:t>招　标　文　件</w:t>
      </w:r>
      <w:r>
        <w:rPr>
          <w:rFonts w:hint="eastAsia" w:asciiTheme="minorEastAsia" w:hAnsiTheme="minorEastAsia" w:eastAsiaTheme="minorEastAsia" w:cstheme="minorEastAsia"/>
          <w:b/>
          <w:spacing w:val="-20"/>
          <w:sz w:val="28"/>
          <w:szCs w:val="28"/>
        </w:rPr>
        <w:t xml:space="preserve">                                       </w:t>
      </w:r>
    </w:p>
    <w:p w14:paraId="212D1AF2">
      <w:pPr>
        <w:tabs>
          <w:tab w:val="left" w:pos="3885"/>
          <w:tab w:val="left" w:pos="6219"/>
        </w:tabs>
        <w:autoSpaceDE w:val="0"/>
        <w:autoSpaceDN w:val="0"/>
        <w:adjustRightInd w:val="0"/>
        <w:snapToGrid w:val="0"/>
        <w:spacing w:line="360" w:lineRule="auto"/>
        <w:ind w:firstLine="292" w:firstLineChars="98"/>
        <w:jc w:val="center"/>
        <w:rPr>
          <w:rFonts w:hint="eastAsia" w:asciiTheme="minorEastAsia" w:hAnsiTheme="minorEastAsia" w:eastAsiaTheme="minorEastAsia" w:cstheme="minorEastAsia"/>
          <w:b/>
          <w:w w:val="99"/>
          <w:sz w:val="30"/>
          <w:szCs w:val="30"/>
        </w:rPr>
      </w:pPr>
    </w:p>
    <w:p w14:paraId="382C130E">
      <w:pPr>
        <w:tabs>
          <w:tab w:val="left" w:pos="3885"/>
          <w:tab w:val="left" w:pos="6219"/>
        </w:tabs>
        <w:autoSpaceDE w:val="0"/>
        <w:autoSpaceDN w:val="0"/>
        <w:adjustRightInd w:val="0"/>
        <w:snapToGrid w:val="0"/>
        <w:spacing w:line="360" w:lineRule="auto"/>
        <w:ind w:firstLine="292" w:firstLineChars="98"/>
        <w:jc w:val="center"/>
        <w:rPr>
          <w:rFonts w:hint="eastAsia" w:asciiTheme="minorEastAsia" w:hAnsiTheme="minorEastAsia" w:eastAsiaTheme="minorEastAsia" w:cstheme="minorEastAsia"/>
          <w:b/>
          <w:w w:val="99"/>
          <w:sz w:val="30"/>
          <w:szCs w:val="30"/>
        </w:rPr>
      </w:pPr>
    </w:p>
    <w:p w14:paraId="77C84754">
      <w:pPr>
        <w:tabs>
          <w:tab w:val="left" w:pos="3885"/>
          <w:tab w:val="left" w:pos="6219"/>
        </w:tabs>
        <w:autoSpaceDE w:val="0"/>
        <w:autoSpaceDN w:val="0"/>
        <w:adjustRightInd w:val="0"/>
        <w:snapToGrid w:val="0"/>
        <w:spacing w:line="360" w:lineRule="auto"/>
        <w:ind w:firstLine="292" w:firstLineChars="98"/>
        <w:jc w:val="center"/>
        <w:rPr>
          <w:rFonts w:hint="eastAsia" w:asciiTheme="minorEastAsia" w:hAnsiTheme="minorEastAsia" w:eastAsiaTheme="minorEastAsia" w:cstheme="minorEastAsia"/>
          <w:b/>
          <w:w w:val="99"/>
          <w:sz w:val="30"/>
          <w:szCs w:val="30"/>
        </w:rPr>
      </w:pPr>
    </w:p>
    <w:p w14:paraId="39E42F38">
      <w:pPr>
        <w:tabs>
          <w:tab w:val="left" w:pos="3885"/>
          <w:tab w:val="left" w:pos="6219"/>
        </w:tabs>
        <w:autoSpaceDE w:val="0"/>
        <w:autoSpaceDN w:val="0"/>
        <w:adjustRightInd w:val="0"/>
        <w:snapToGrid w:val="0"/>
        <w:spacing w:line="360" w:lineRule="auto"/>
        <w:ind w:firstLine="292" w:firstLineChars="98"/>
        <w:jc w:val="center"/>
        <w:rPr>
          <w:rFonts w:hint="eastAsia" w:asciiTheme="minorEastAsia" w:hAnsiTheme="minorEastAsia" w:eastAsiaTheme="minorEastAsia" w:cstheme="minorEastAsia"/>
          <w:b/>
          <w:w w:val="99"/>
          <w:sz w:val="30"/>
          <w:szCs w:val="30"/>
        </w:rPr>
      </w:pPr>
    </w:p>
    <w:p w14:paraId="12A0CDB6">
      <w:pPr>
        <w:tabs>
          <w:tab w:val="left" w:pos="3885"/>
          <w:tab w:val="left" w:pos="6219"/>
        </w:tabs>
        <w:autoSpaceDE w:val="0"/>
        <w:autoSpaceDN w:val="0"/>
        <w:adjustRightInd w:val="0"/>
        <w:snapToGrid w:val="0"/>
        <w:spacing w:line="360" w:lineRule="auto"/>
        <w:ind w:firstLine="292" w:firstLineChars="98"/>
        <w:jc w:val="center"/>
        <w:rPr>
          <w:rFonts w:hint="eastAsia" w:asciiTheme="minorEastAsia" w:hAnsiTheme="minorEastAsia" w:eastAsiaTheme="minorEastAsia" w:cstheme="minorEastAsia"/>
          <w:b/>
          <w:w w:val="99"/>
          <w:sz w:val="30"/>
          <w:szCs w:val="30"/>
        </w:rPr>
      </w:pPr>
    </w:p>
    <w:p w14:paraId="12B28BDA">
      <w:pPr>
        <w:tabs>
          <w:tab w:val="left" w:pos="3885"/>
          <w:tab w:val="left" w:pos="6219"/>
        </w:tabs>
        <w:autoSpaceDE w:val="0"/>
        <w:autoSpaceDN w:val="0"/>
        <w:adjustRightInd w:val="0"/>
        <w:snapToGrid w:val="0"/>
        <w:spacing w:line="360" w:lineRule="auto"/>
        <w:ind w:firstLine="292" w:firstLineChars="98"/>
        <w:jc w:val="center"/>
        <w:rPr>
          <w:rFonts w:hint="eastAsia" w:asciiTheme="minorEastAsia" w:hAnsiTheme="minorEastAsia" w:eastAsiaTheme="minorEastAsia" w:cstheme="minorEastAsia"/>
          <w:b/>
          <w:w w:val="99"/>
          <w:sz w:val="30"/>
          <w:szCs w:val="30"/>
        </w:rPr>
      </w:pPr>
    </w:p>
    <w:p w14:paraId="1E6047A0">
      <w:pPr>
        <w:tabs>
          <w:tab w:val="left" w:pos="3885"/>
          <w:tab w:val="left" w:pos="6219"/>
        </w:tabs>
        <w:autoSpaceDE w:val="0"/>
        <w:autoSpaceDN w:val="0"/>
        <w:adjustRightInd w:val="0"/>
        <w:snapToGrid w:val="0"/>
        <w:spacing w:line="360" w:lineRule="auto"/>
        <w:ind w:firstLine="292" w:firstLineChars="98"/>
        <w:jc w:val="center"/>
        <w:rPr>
          <w:rFonts w:hint="eastAsia" w:asciiTheme="minorEastAsia" w:hAnsiTheme="minorEastAsia" w:eastAsiaTheme="minorEastAsia" w:cstheme="minorEastAsia"/>
          <w:b/>
          <w:w w:val="99"/>
          <w:sz w:val="30"/>
          <w:szCs w:val="30"/>
        </w:rPr>
      </w:pPr>
    </w:p>
    <w:p w14:paraId="4EB620A8">
      <w:pPr>
        <w:tabs>
          <w:tab w:val="left" w:pos="3885"/>
          <w:tab w:val="left" w:pos="6219"/>
        </w:tabs>
        <w:autoSpaceDE w:val="0"/>
        <w:autoSpaceDN w:val="0"/>
        <w:adjustRightInd w:val="0"/>
        <w:snapToGrid w:val="0"/>
        <w:spacing w:line="360" w:lineRule="auto"/>
        <w:ind w:firstLine="292" w:firstLineChars="98"/>
        <w:jc w:val="center"/>
        <w:rPr>
          <w:rFonts w:hint="default" w:asciiTheme="minorEastAsia" w:hAnsiTheme="minorEastAsia" w:eastAsiaTheme="minorEastAsia" w:cstheme="minorEastAsia"/>
          <w:b/>
          <w:sz w:val="30"/>
          <w:szCs w:val="30"/>
          <w:u w:val="single"/>
          <w:lang w:val="en-US" w:eastAsia="zh-CN"/>
        </w:rPr>
      </w:pPr>
      <w:r>
        <w:rPr>
          <w:rFonts w:hint="eastAsia" w:asciiTheme="minorEastAsia" w:hAnsiTheme="minorEastAsia" w:eastAsiaTheme="minorEastAsia" w:cstheme="minorEastAsia"/>
          <w:b/>
          <w:w w:val="99"/>
          <w:sz w:val="30"/>
          <w:szCs w:val="30"/>
        </w:rPr>
        <w:t>招   标  人：</w:t>
      </w:r>
      <w:r>
        <w:rPr>
          <w:rFonts w:hint="eastAsia" w:asciiTheme="minorEastAsia" w:hAnsiTheme="minorEastAsia" w:eastAsiaTheme="minorEastAsia" w:cstheme="minorEastAsia"/>
          <w:b/>
          <w:w w:val="99"/>
          <w:sz w:val="30"/>
          <w:szCs w:val="30"/>
          <w:lang w:val="en-US" w:eastAsia="zh-CN"/>
        </w:rPr>
        <w:t>中国重汽集团济南动力有限公司</w:t>
      </w:r>
    </w:p>
    <w:p w14:paraId="35DC8281">
      <w:pPr>
        <w:pStyle w:val="34"/>
        <w:tabs>
          <w:tab w:val="left" w:pos="900"/>
          <w:tab w:val="right" w:leader="dot" w:pos="9100"/>
        </w:tabs>
        <w:spacing w:line="360" w:lineRule="auto"/>
        <w:ind w:firstLine="600"/>
        <w:jc w:val="center"/>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lang w:val="en-US" w:eastAsia="zh-CN"/>
        </w:rPr>
        <w:t>2025</w:t>
      </w:r>
      <w:r>
        <w:rPr>
          <w:rFonts w:hint="eastAsia" w:asciiTheme="minorEastAsia" w:hAnsiTheme="minorEastAsia" w:eastAsiaTheme="minorEastAsia" w:cstheme="minorEastAsia"/>
          <w:sz w:val="30"/>
          <w:szCs w:val="30"/>
        </w:rPr>
        <w:t>年</w:t>
      </w:r>
      <w:r>
        <w:rPr>
          <w:rFonts w:hint="eastAsia" w:asciiTheme="minorEastAsia" w:hAnsiTheme="minorEastAsia" w:eastAsiaTheme="minorEastAsia" w:cstheme="minorEastAsia"/>
          <w:sz w:val="30"/>
          <w:szCs w:val="30"/>
          <w:lang w:val="en-US" w:eastAsia="zh-CN"/>
        </w:rPr>
        <w:t>12</w:t>
      </w:r>
      <w:r>
        <w:rPr>
          <w:rFonts w:hint="eastAsia" w:asciiTheme="minorEastAsia" w:hAnsiTheme="minorEastAsia" w:eastAsiaTheme="minorEastAsia" w:cstheme="minorEastAsia"/>
          <w:sz w:val="30"/>
          <w:szCs w:val="30"/>
        </w:rPr>
        <w:t>月</w:t>
      </w:r>
    </w:p>
    <w:p w14:paraId="16E34025">
      <w:pPr>
        <w:ind w:firstLine="420"/>
        <w:rPr>
          <w:rFonts w:hint="eastAsia" w:asciiTheme="minorEastAsia" w:hAnsiTheme="minorEastAsia" w:eastAsiaTheme="minorEastAsia" w:cstheme="minorEastAsia"/>
        </w:rPr>
      </w:pPr>
    </w:p>
    <w:p w14:paraId="2B32D2B8">
      <w:pPr>
        <w:ind w:firstLine="420"/>
        <w:rPr>
          <w:rFonts w:hint="eastAsia" w:asciiTheme="minorEastAsia" w:hAnsiTheme="minorEastAsia" w:eastAsiaTheme="minorEastAsia" w:cstheme="minorEastAsia"/>
        </w:rPr>
      </w:pPr>
    </w:p>
    <w:bookmarkEnd w:id="0"/>
    <w:bookmarkEnd w:id="1"/>
    <w:p w14:paraId="029D6304">
      <w:pPr>
        <w:widowControl/>
        <w:ind w:firstLine="420"/>
        <w:jc w:val="left"/>
        <w:rPr>
          <w:rFonts w:hint="eastAsia" w:asciiTheme="minorEastAsia" w:hAnsiTheme="minorEastAsia" w:eastAsiaTheme="minorEastAsia" w:cstheme="minorEastAsia"/>
          <w:b/>
          <w:kern w:val="0"/>
          <w:sz w:val="32"/>
          <w:szCs w:val="32"/>
          <w:lang w:val="zh-CN"/>
        </w:rPr>
      </w:pPr>
      <w:bookmarkStart w:id="2" w:name="_Toc16518"/>
      <w:bookmarkStart w:id="3" w:name="_Toc23462"/>
      <w:bookmarkStart w:id="4" w:name="_Toc131406235"/>
      <w:r>
        <w:rPr>
          <w:rFonts w:hint="eastAsia" w:asciiTheme="minorEastAsia" w:hAnsiTheme="minorEastAsia" w:eastAsiaTheme="minorEastAsia" w:cstheme="minorEastAsia"/>
          <w:szCs w:val="32"/>
        </w:rPr>
        <w:br w:type="page"/>
      </w:r>
    </w:p>
    <w:p w14:paraId="16B17986">
      <w:pPr>
        <w:pStyle w:val="5"/>
        <w:snapToGrid w:val="0"/>
        <w:spacing w:before="0" w:after="0" w:line="360" w:lineRule="auto"/>
        <w:ind w:firstLine="643"/>
        <w:jc w:val="center"/>
        <w:rPr>
          <w:rFonts w:hint="eastAsia" w:asciiTheme="minorEastAsia" w:hAnsiTheme="minorEastAsia" w:eastAsiaTheme="minorEastAsia" w:cstheme="minorEastAsia"/>
        </w:rPr>
      </w:pPr>
      <w:r>
        <w:rPr>
          <w:rFonts w:hint="eastAsia" w:asciiTheme="minorEastAsia" w:hAnsiTheme="minorEastAsia" w:eastAsiaTheme="minorEastAsia" w:cstheme="minorEastAsia"/>
          <w:szCs w:val="32"/>
        </w:rPr>
        <w:t>招标公告</w:t>
      </w:r>
      <w:bookmarkEnd w:id="2"/>
      <w:bookmarkEnd w:id="3"/>
      <w:bookmarkEnd w:id="4"/>
    </w:p>
    <w:p w14:paraId="04B3D246">
      <w:pPr>
        <w:widowControl/>
        <w:snapToGrid w:val="0"/>
        <w:spacing w:line="360" w:lineRule="auto"/>
        <w:jc w:val="left"/>
        <w:rPr>
          <w:rFonts w:hint="eastAsia" w:asciiTheme="minorEastAsia" w:hAnsiTheme="minorEastAsia" w:eastAsiaTheme="minorEastAsia" w:cstheme="minorEastAsia"/>
          <w:b/>
          <w:kern w:val="0"/>
          <w:sz w:val="24"/>
          <w:szCs w:val="24"/>
          <w:lang w:bidi="en-US"/>
        </w:rPr>
      </w:pPr>
      <w:r>
        <w:rPr>
          <w:rFonts w:hint="eastAsia" w:asciiTheme="minorEastAsia" w:hAnsiTheme="minorEastAsia" w:eastAsiaTheme="minorEastAsia" w:cstheme="minorEastAsia"/>
          <w:b/>
          <w:kern w:val="0"/>
          <w:sz w:val="24"/>
          <w:szCs w:val="24"/>
          <w:lang w:bidi="en-US"/>
        </w:rPr>
        <w:t>一、招标条件</w:t>
      </w:r>
    </w:p>
    <w:p w14:paraId="7826D7EA">
      <w:pPr>
        <w:widowControl/>
        <w:snapToGrid w:val="0"/>
        <w:spacing w:line="360" w:lineRule="auto"/>
        <w:ind w:firstLine="480" w:firstLineChars="200"/>
        <w:jc w:val="left"/>
        <w:rPr>
          <w:rFonts w:hint="eastAsia" w:asciiTheme="minorEastAsia" w:hAnsiTheme="minorEastAsia" w:eastAsiaTheme="minorEastAsia" w:cstheme="minorEastAsia"/>
          <w:kern w:val="0"/>
          <w:sz w:val="24"/>
          <w:szCs w:val="24"/>
          <w:highlight w:val="none"/>
          <w:lang w:bidi="en-US"/>
        </w:rPr>
      </w:pPr>
      <w:r>
        <w:rPr>
          <w:rFonts w:hint="eastAsia" w:asciiTheme="minorEastAsia" w:hAnsiTheme="minorEastAsia" w:eastAsiaTheme="minorEastAsia" w:cstheme="minorEastAsia"/>
          <w:sz w:val="24"/>
          <w:szCs w:val="24"/>
          <w:highlight w:val="none"/>
          <w:u w:val="single"/>
          <w:lang w:val="en-US" w:eastAsia="zh-CN"/>
        </w:rPr>
        <w:t>科技园区加装逃生缓降锁安装项目</w:t>
      </w:r>
      <w:r>
        <w:rPr>
          <w:rFonts w:hint="eastAsia" w:asciiTheme="minorEastAsia" w:hAnsiTheme="minorEastAsia" w:eastAsiaTheme="minorEastAsia" w:cstheme="minorEastAsia"/>
          <w:kern w:val="0"/>
          <w:sz w:val="24"/>
          <w:szCs w:val="24"/>
          <w:highlight w:val="none"/>
          <w:lang w:bidi="en-US"/>
        </w:rPr>
        <w:t>，以公开招标的方式进行采购。本项目业主为</w:t>
      </w:r>
      <w:r>
        <w:rPr>
          <w:rFonts w:hint="eastAsia" w:asciiTheme="minorEastAsia" w:hAnsiTheme="minorEastAsia" w:eastAsiaTheme="minorEastAsia" w:cstheme="minorEastAsia"/>
          <w:sz w:val="24"/>
          <w:szCs w:val="24"/>
          <w:highlight w:val="none"/>
          <w:u w:val="single"/>
          <w:lang w:val="en-US" w:eastAsia="zh-CN"/>
        </w:rPr>
        <w:t>中国重汽集团济南动力有限公司</w:t>
      </w:r>
      <w:r>
        <w:rPr>
          <w:rFonts w:hint="eastAsia" w:asciiTheme="minorEastAsia" w:hAnsiTheme="minorEastAsia" w:eastAsiaTheme="minorEastAsia" w:cstheme="minorEastAsia"/>
          <w:kern w:val="0"/>
          <w:sz w:val="24"/>
          <w:szCs w:val="24"/>
          <w:highlight w:val="none"/>
          <w:lang w:bidi="en-US"/>
        </w:rPr>
        <w:t>，项目资金来自</w:t>
      </w:r>
      <w:r>
        <w:rPr>
          <w:rFonts w:hint="eastAsia" w:asciiTheme="minorEastAsia" w:hAnsiTheme="minorEastAsia" w:eastAsiaTheme="minorEastAsia" w:cstheme="minorEastAsia"/>
          <w:kern w:val="0"/>
          <w:sz w:val="24"/>
          <w:szCs w:val="24"/>
          <w:highlight w:val="none"/>
          <w:u w:val="single"/>
          <w:lang w:bidi="en-US"/>
        </w:rPr>
        <w:t xml:space="preserve"> 企业自筹 </w:t>
      </w:r>
      <w:r>
        <w:rPr>
          <w:rFonts w:hint="eastAsia" w:asciiTheme="minorEastAsia" w:hAnsiTheme="minorEastAsia" w:eastAsiaTheme="minorEastAsia" w:cstheme="minorEastAsia"/>
          <w:kern w:val="0"/>
          <w:sz w:val="24"/>
          <w:szCs w:val="24"/>
          <w:highlight w:val="none"/>
          <w:lang w:bidi="en-US"/>
        </w:rPr>
        <w:t>，出资比例为</w:t>
      </w:r>
      <w:r>
        <w:rPr>
          <w:rFonts w:hint="eastAsia" w:asciiTheme="minorEastAsia" w:hAnsiTheme="minorEastAsia" w:eastAsiaTheme="minorEastAsia" w:cstheme="minorEastAsia"/>
          <w:kern w:val="0"/>
          <w:sz w:val="24"/>
          <w:szCs w:val="24"/>
          <w:highlight w:val="none"/>
          <w:u w:val="single"/>
          <w:lang w:bidi="en-US"/>
        </w:rPr>
        <w:t xml:space="preserve"> 100% </w:t>
      </w:r>
      <w:r>
        <w:rPr>
          <w:rFonts w:hint="eastAsia" w:asciiTheme="minorEastAsia" w:hAnsiTheme="minorEastAsia" w:eastAsiaTheme="minorEastAsia" w:cstheme="minorEastAsia"/>
          <w:kern w:val="0"/>
          <w:sz w:val="24"/>
          <w:szCs w:val="24"/>
          <w:highlight w:val="none"/>
          <w:lang w:bidi="en-US"/>
        </w:rPr>
        <w:t>。该项目现已具备招标条件，欢迎具备条件的潜在投标人参加投标。</w:t>
      </w:r>
    </w:p>
    <w:p w14:paraId="5E0E4D1D">
      <w:pPr>
        <w:widowControl/>
        <w:snapToGrid w:val="0"/>
        <w:spacing w:line="360" w:lineRule="auto"/>
        <w:jc w:val="left"/>
        <w:rPr>
          <w:rFonts w:hint="eastAsia" w:asciiTheme="minorEastAsia" w:hAnsiTheme="minorEastAsia" w:eastAsiaTheme="minorEastAsia" w:cstheme="minorEastAsia"/>
          <w:kern w:val="0"/>
          <w:sz w:val="24"/>
          <w:szCs w:val="24"/>
          <w:highlight w:val="none"/>
          <w:lang w:bidi="en-US"/>
        </w:rPr>
      </w:pPr>
      <w:r>
        <w:rPr>
          <w:rFonts w:hint="eastAsia" w:asciiTheme="minorEastAsia" w:hAnsiTheme="minorEastAsia" w:eastAsiaTheme="minorEastAsia" w:cstheme="minorEastAsia"/>
          <w:b/>
          <w:bCs/>
          <w:kern w:val="0"/>
          <w:sz w:val="24"/>
          <w:szCs w:val="24"/>
          <w:highlight w:val="none"/>
          <w:lang w:bidi="en-US"/>
        </w:rPr>
        <w:t>二、项目概况与招标范围</w:t>
      </w:r>
    </w:p>
    <w:p w14:paraId="2ABEF8C0">
      <w:pPr>
        <w:pStyle w:val="151"/>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left="0" w:leftChars="0" w:firstLine="0" w:firstLineChars="0"/>
        <w:jc w:val="left"/>
        <w:textAlignment w:val="auto"/>
        <w:rPr>
          <w:rFonts w:hint="eastAsia" w:asciiTheme="minorEastAsia" w:hAnsiTheme="minorEastAsia" w:eastAsiaTheme="minorEastAsia" w:cstheme="minorEastAsia"/>
          <w:kern w:val="0"/>
          <w:sz w:val="24"/>
          <w:szCs w:val="24"/>
          <w:highlight w:val="none"/>
          <w:lang w:bidi="en-US"/>
        </w:rPr>
      </w:pPr>
      <w:bookmarkStart w:id="5" w:name="_Toc152045514"/>
      <w:bookmarkEnd w:id="5"/>
      <w:bookmarkStart w:id="6" w:name="_Toc179632530"/>
      <w:bookmarkEnd w:id="6"/>
      <w:bookmarkStart w:id="7" w:name="_Toc152042290"/>
      <w:bookmarkEnd w:id="7"/>
      <w:bookmarkStart w:id="8" w:name="_Toc285809451"/>
      <w:bookmarkEnd w:id="8"/>
      <w:bookmarkStart w:id="9" w:name="_Toc144974482"/>
      <w:bookmarkEnd w:id="9"/>
      <w:r>
        <w:rPr>
          <w:rFonts w:hint="default" w:asciiTheme="minorEastAsia" w:hAnsiTheme="minorEastAsia" w:eastAsiaTheme="minorEastAsia" w:cstheme="minorEastAsia"/>
          <w:kern w:val="0"/>
          <w:sz w:val="24"/>
          <w:szCs w:val="24"/>
          <w:lang w:val="en-US" w:eastAsia="zh-CN" w:bidi="en-US"/>
        </w:rPr>
        <w:t>1．</w:t>
      </w:r>
      <w:r>
        <w:rPr>
          <w:rFonts w:hint="eastAsia" w:asciiTheme="minorEastAsia" w:hAnsiTheme="minorEastAsia" w:eastAsiaTheme="minorEastAsia" w:cstheme="minorEastAsia"/>
          <w:kern w:val="0"/>
          <w:sz w:val="24"/>
          <w:szCs w:val="24"/>
          <w:highlight w:val="none"/>
          <w:lang w:val="en-US" w:eastAsia="zh-CN" w:bidi="en-US"/>
        </w:rPr>
        <w:t>项目</w:t>
      </w:r>
      <w:r>
        <w:rPr>
          <w:rFonts w:hint="eastAsia" w:asciiTheme="minorEastAsia" w:hAnsiTheme="minorEastAsia" w:eastAsiaTheme="minorEastAsia" w:cstheme="minorEastAsia"/>
          <w:kern w:val="0"/>
          <w:sz w:val="24"/>
          <w:szCs w:val="24"/>
          <w:highlight w:val="none"/>
          <w:lang w:bidi="en-US"/>
        </w:rPr>
        <w:t>名称：</w:t>
      </w:r>
      <w:r>
        <w:rPr>
          <w:rFonts w:hint="eastAsia" w:asciiTheme="minorEastAsia" w:hAnsiTheme="minorEastAsia" w:eastAsiaTheme="minorEastAsia" w:cstheme="minorEastAsia"/>
          <w:kern w:val="0"/>
          <w:sz w:val="24"/>
          <w:szCs w:val="24"/>
          <w:highlight w:val="none"/>
          <w:u w:val="single"/>
          <w:lang w:val="en-US" w:eastAsia="zh-CN" w:bidi="en-US"/>
        </w:rPr>
        <w:t xml:space="preserve">科技园区加装逃生缓降锁安装项目  </w:t>
      </w:r>
    </w:p>
    <w:p w14:paraId="50F0AEDD">
      <w:pPr>
        <w:pStyle w:val="151"/>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left="0" w:leftChars="0" w:firstLine="0" w:firstLineChars="0"/>
        <w:jc w:val="left"/>
        <w:textAlignment w:val="auto"/>
        <w:rPr>
          <w:rFonts w:hint="eastAsia" w:asciiTheme="minorEastAsia" w:hAnsiTheme="minorEastAsia" w:eastAsiaTheme="minorEastAsia" w:cstheme="minorEastAsia"/>
          <w:kern w:val="0"/>
          <w:sz w:val="24"/>
          <w:szCs w:val="24"/>
          <w:highlight w:val="none"/>
        </w:rPr>
      </w:pPr>
      <w:r>
        <w:rPr>
          <w:rFonts w:hint="default" w:asciiTheme="minorEastAsia" w:hAnsiTheme="minorEastAsia" w:eastAsiaTheme="minorEastAsia" w:cstheme="minorEastAsia"/>
          <w:kern w:val="0"/>
          <w:sz w:val="24"/>
          <w:szCs w:val="24"/>
          <w:lang w:val="en-US" w:eastAsia="zh-CN" w:bidi="ar-SA"/>
        </w:rPr>
        <w:t>2．</w:t>
      </w:r>
      <w:r>
        <w:rPr>
          <w:rFonts w:hint="eastAsia" w:asciiTheme="minorEastAsia" w:hAnsiTheme="minorEastAsia" w:eastAsiaTheme="minorEastAsia" w:cstheme="minorEastAsia"/>
          <w:kern w:val="0"/>
          <w:sz w:val="24"/>
          <w:szCs w:val="24"/>
          <w:highlight w:val="none"/>
          <w:lang w:bidi="en-US"/>
        </w:rPr>
        <w:t>采购形式编号：</w:t>
      </w:r>
      <w:r>
        <w:rPr>
          <w:rFonts w:hint="eastAsia" w:asciiTheme="minorEastAsia" w:hAnsiTheme="minorEastAsia" w:eastAsiaTheme="minorEastAsia" w:cstheme="minorEastAsia"/>
          <w:kern w:val="0"/>
          <w:sz w:val="24"/>
          <w:szCs w:val="24"/>
          <w:highlight w:val="none"/>
          <w:u w:val="single"/>
          <w:lang w:val="en-US" w:eastAsia="zh-CN" w:bidi="en-US"/>
        </w:rPr>
        <w:t>FSCZB2025120127</w:t>
      </w:r>
      <w:r>
        <w:rPr>
          <w:rFonts w:hint="eastAsia" w:asciiTheme="minorEastAsia" w:hAnsiTheme="minorEastAsia" w:eastAsiaTheme="minorEastAsia" w:cstheme="minorEastAsia"/>
          <w:kern w:val="0"/>
          <w:sz w:val="24"/>
          <w:szCs w:val="24"/>
          <w:highlight w:val="none"/>
          <w:lang w:bidi="en-US"/>
        </w:rPr>
        <w:t>；</w:t>
      </w:r>
    </w:p>
    <w:p w14:paraId="53F2CDA6">
      <w:pPr>
        <w:pStyle w:val="151"/>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left="0" w:leftChars="0" w:firstLine="0" w:firstLineChars="0"/>
        <w:jc w:val="left"/>
        <w:textAlignment w:val="auto"/>
        <w:rPr>
          <w:rFonts w:hint="eastAsia" w:ascii="Times New Roman" w:hAnsi="Times New Roman"/>
          <w:color w:val="000000"/>
        </w:rPr>
      </w:pPr>
      <w:r>
        <w:rPr>
          <w:rFonts w:hint="eastAsia" w:ascii="宋体" w:hAnsi="宋体" w:cs="Times New Roman"/>
          <w:b w:val="0"/>
          <w:bCs w:val="0"/>
          <w:color w:val="000000"/>
          <w:kern w:val="2"/>
          <w:sz w:val="24"/>
          <w:szCs w:val="24"/>
          <w:lang w:val="en-US" w:eastAsia="zh-CN" w:bidi="zh-CN"/>
        </w:rPr>
        <w:t>3</w:t>
      </w:r>
      <w:r>
        <w:rPr>
          <w:rFonts w:hint="default" w:ascii="宋体" w:hAnsi="宋体" w:eastAsia="宋体" w:cs="Times New Roman"/>
          <w:b w:val="0"/>
          <w:bCs w:val="0"/>
          <w:color w:val="000000"/>
          <w:kern w:val="2"/>
          <w:sz w:val="24"/>
          <w:szCs w:val="24"/>
          <w:lang w:val="en-US" w:eastAsia="zh-CN" w:bidi="zh-CN"/>
        </w:rPr>
        <w:t>．</w:t>
      </w:r>
      <w:r>
        <w:rPr>
          <w:rFonts w:hint="eastAsia" w:asciiTheme="minorEastAsia" w:hAnsiTheme="minorEastAsia" w:eastAsiaTheme="minorEastAsia" w:cstheme="minorEastAsia"/>
          <w:kern w:val="0"/>
          <w:sz w:val="24"/>
          <w:szCs w:val="24"/>
          <w:highlight w:val="none"/>
          <w:lang w:val="en-US" w:eastAsia="zh-CN" w:bidi="en-US"/>
        </w:rPr>
        <w:t>项目</w:t>
      </w:r>
      <w:r>
        <w:rPr>
          <w:rFonts w:hint="eastAsia" w:asciiTheme="minorEastAsia" w:hAnsiTheme="minorEastAsia" w:eastAsiaTheme="minorEastAsia" w:cstheme="minorEastAsia"/>
          <w:kern w:val="0"/>
          <w:sz w:val="24"/>
          <w:szCs w:val="24"/>
          <w:highlight w:val="none"/>
          <w:lang w:bidi="en-US"/>
        </w:rPr>
        <w:t>地点：</w:t>
      </w:r>
      <w:r>
        <w:rPr>
          <w:rFonts w:hint="eastAsia" w:asciiTheme="minorEastAsia" w:hAnsiTheme="minorEastAsia" w:eastAsiaTheme="minorEastAsia" w:cstheme="minorEastAsia"/>
          <w:kern w:val="0"/>
          <w:sz w:val="24"/>
          <w:szCs w:val="24"/>
          <w:highlight w:val="green"/>
          <w:u w:val="single"/>
          <w:lang w:val="en-US" w:eastAsia="zh-CN" w:bidi="en-US"/>
        </w:rPr>
        <w:t>中国重汽集团</w:t>
      </w:r>
      <w:r>
        <w:rPr>
          <w:rFonts w:hint="eastAsia" w:asciiTheme="minorEastAsia" w:hAnsiTheme="minorEastAsia" w:eastAsiaTheme="minorEastAsia" w:cstheme="minorEastAsia"/>
          <w:sz w:val="24"/>
          <w:szCs w:val="24"/>
          <w:highlight w:val="green"/>
          <w:u w:val="single"/>
          <w:lang w:val="en-US" w:eastAsia="zh-CN"/>
        </w:rPr>
        <w:t>科技园区</w:t>
      </w:r>
      <w:r>
        <w:rPr>
          <w:rFonts w:hint="eastAsia" w:asciiTheme="minorEastAsia" w:hAnsiTheme="minorEastAsia" w:eastAsiaTheme="minorEastAsia" w:cstheme="minorEastAsia"/>
          <w:kern w:val="0"/>
          <w:sz w:val="24"/>
          <w:szCs w:val="24"/>
          <w:highlight w:val="green"/>
          <w:u w:val="single"/>
          <w:lang w:bidi="en-US"/>
        </w:rPr>
        <w:t>，山东省济南市</w:t>
      </w:r>
      <w:r>
        <w:rPr>
          <w:rFonts w:hint="eastAsia" w:asciiTheme="minorEastAsia" w:hAnsiTheme="minorEastAsia" w:eastAsiaTheme="minorEastAsia" w:cstheme="minorEastAsia"/>
          <w:kern w:val="0"/>
          <w:sz w:val="24"/>
          <w:szCs w:val="24"/>
          <w:highlight w:val="green"/>
          <w:u w:val="single"/>
          <w:lang w:val="en-US" w:eastAsia="zh-CN" w:bidi="en-US"/>
        </w:rPr>
        <w:t>历城</w:t>
      </w:r>
      <w:r>
        <w:rPr>
          <w:rFonts w:hint="eastAsia" w:asciiTheme="minorEastAsia" w:hAnsiTheme="minorEastAsia" w:eastAsiaTheme="minorEastAsia" w:cstheme="minorEastAsia"/>
          <w:kern w:val="0"/>
          <w:sz w:val="24"/>
          <w:szCs w:val="24"/>
          <w:highlight w:val="green"/>
          <w:u w:val="single"/>
          <w:lang w:bidi="en-US"/>
        </w:rPr>
        <w:t>区</w:t>
      </w:r>
      <w:r>
        <w:rPr>
          <w:rFonts w:hint="eastAsia" w:asciiTheme="minorEastAsia" w:hAnsiTheme="minorEastAsia" w:eastAsiaTheme="minorEastAsia" w:cstheme="minorEastAsia"/>
          <w:kern w:val="0"/>
          <w:sz w:val="24"/>
          <w:szCs w:val="24"/>
          <w:highlight w:val="green"/>
          <w:u w:val="single"/>
          <w:lang w:val="en-US" w:eastAsia="zh-CN" w:bidi="en-US"/>
        </w:rPr>
        <w:t>华奥路7</w:t>
      </w:r>
      <w:r>
        <w:rPr>
          <w:rFonts w:hint="eastAsia" w:asciiTheme="minorEastAsia" w:hAnsiTheme="minorEastAsia" w:eastAsiaTheme="minorEastAsia" w:cstheme="minorEastAsia"/>
          <w:kern w:val="0"/>
          <w:sz w:val="24"/>
          <w:szCs w:val="24"/>
          <w:highlight w:val="green"/>
          <w:u w:val="single"/>
          <w:lang w:bidi="en-US"/>
        </w:rPr>
        <w:t>77号</w:t>
      </w:r>
      <w:r>
        <w:rPr>
          <w:rFonts w:hint="eastAsia" w:asciiTheme="minorEastAsia" w:hAnsiTheme="minorEastAsia" w:eastAsiaTheme="minorEastAsia" w:cstheme="minorEastAsia"/>
          <w:kern w:val="0"/>
          <w:sz w:val="24"/>
          <w:szCs w:val="24"/>
          <w:highlight w:val="none"/>
          <w:u w:val="single"/>
          <w:lang w:bidi="en-US"/>
        </w:rPr>
        <w:t>；</w:t>
      </w:r>
    </w:p>
    <w:p w14:paraId="1493F4D6">
      <w:pPr>
        <w:spacing w:line="360" w:lineRule="auto"/>
        <w:jc w:val="left"/>
        <w:rPr>
          <w:rFonts w:hint="eastAsia" w:ascii="宋体" w:hAnsi="宋体"/>
          <w:b w:val="0"/>
          <w:bCs w:val="0"/>
          <w:color w:val="000000"/>
          <w:sz w:val="24"/>
          <w:szCs w:val="24"/>
          <w:lang w:val="en-US" w:eastAsia="zh-CN" w:bidi="zh-CN"/>
        </w:rPr>
      </w:pPr>
      <w:r>
        <w:rPr>
          <w:rFonts w:hint="default" w:ascii="宋体" w:hAnsi="宋体" w:eastAsia="宋体" w:cs="Times New Roman"/>
          <w:b w:val="0"/>
          <w:bCs w:val="0"/>
          <w:color w:val="000000"/>
          <w:kern w:val="2"/>
          <w:sz w:val="24"/>
          <w:szCs w:val="24"/>
          <w:lang w:val="en-US" w:eastAsia="zh-CN" w:bidi="zh-CN"/>
        </w:rPr>
        <w:t>4．</w:t>
      </w:r>
      <w:r>
        <w:rPr>
          <w:rFonts w:hint="eastAsia" w:asciiTheme="minorEastAsia" w:hAnsiTheme="minorEastAsia" w:eastAsiaTheme="minorEastAsia" w:cstheme="minorEastAsia"/>
          <w:kern w:val="0"/>
          <w:sz w:val="24"/>
          <w:szCs w:val="24"/>
          <w:highlight w:val="none"/>
          <w:lang w:val="en-US" w:eastAsia="zh-CN" w:bidi="en-US"/>
        </w:rPr>
        <w:t>项目概况：根据《山东省消防条例》第二十二条，需在未来科技大厦 4-18 层、科技大厦避难层 12 层、27 层（每层 2 个）加装逃生缓降索，现采取公开招标方式确定施工单位进行采购安装。</w:t>
      </w:r>
    </w:p>
    <w:p w14:paraId="1AEA1A1F">
      <w:pPr>
        <w:pStyle w:val="151"/>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left="0" w:leftChars="0" w:firstLine="0" w:firstLineChars="0"/>
        <w:jc w:val="left"/>
        <w:textAlignment w:val="auto"/>
        <w:rPr>
          <w:rFonts w:hint="eastAsia" w:asciiTheme="minorEastAsia" w:hAnsiTheme="minorEastAsia" w:eastAsiaTheme="minorEastAsia" w:cstheme="minorEastAsia"/>
          <w:kern w:val="0"/>
          <w:sz w:val="24"/>
          <w:szCs w:val="24"/>
          <w:u w:val="single"/>
          <w:lang w:bidi="en-US"/>
        </w:rPr>
      </w:pPr>
      <w:r>
        <w:rPr>
          <w:rFonts w:hint="default" w:asciiTheme="minorEastAsia" w:hAnsiTheme="minorEastAsia" w:eastAsiaTheme="minorEastAsia" w:cstheme="minorEastAsia"/>
          <w:kern w:val="0"/>
          <w:sz w:val="24"/>
          <w:szCs w:val="24"/>
          <w:lang w:val="en-US" w:eastAsia="zh-CN" w:bidi="en-US"/>
        </w:rPr>
        <w:t>5．</w:t>
      </w:r>
      <w:r>
        <w:rPr>
          <w:rFonts w:hint="eastAsia" w:asciiTheme="minorEastAsia" w:hAnsiTheme="minorEastAsia" w:eastAsiaTheme="minorEastAsia" w:cstheme="minorEastAsia"/>
          <w:kern w:val="0"/>
          <w:sz w:val="24"/>
          <w:szCs w:val="24"/>
          <w:lang w:bidi="en-US"/>
        </w:rPr>
        <w:t>资金来源：</w:t>
      </w:r>
      <w:r>
        <w:rPr>
          <w:rFonts w:hint="eastAsia" w:asciiTheme="minorEastAsia" w:hAnsiTheme="minorEastAsia" w:eastAsiaTheme="minorEastAsia" w:cstheme="minorEastAsia"/>
          <w:kern w:val="0"/>
          <w:sz w:val="24"/>
          <w:szCs w:val="24"/>
          <w:u w:val="single"/>
          <w:lang w:bidi="en-US"/>
        </w:rPr>
        <w:t>企业自筹，已落实</w:t>
      </w:r>
      <w:r>
        <w:rPr>
          <w:rFonts w:hint="eastAsia" w:asciiTheme="minorEastAsia" w:hAnsiTheme="minorEastAsia" w:eastAsiaTheme="minorEastAsia" w:cstheme="minorEastAsia"/>
          <w:kern w:val="0"/>
          <w:sz w:val="24"/>
          <w:szCs w:val="24"/>
          <w:lang w:bidi="en-US"/>
        </w:rPr>
        <w:t>；</w:t>
      </w:r>
    </w:p>
    <w:p w14:paraId="3FB5C2CC">
      <w:pPr>
        <w:widowControl/>
        <w:snapToGrid w:val="0"/>
        <w:spacing w:line="360" w:lineRule="auto"/>
        <w:jc w:val="left"/>
        <w:rPr>
          <w:rFonts w:hint="default" w:asciiTheme="minorEastAsia" w:hAnsiTheme="minorEastAsia" w:eastAsiaTheme="minorEastAsia" w:cstheme="minorEastAsia"/>
          <w:b/>
          <w:bCs/>
          <w:kern w:val="0"/>
          <w:sz w:val="24"/>
          <w:szCs w:val="24"/>
          <w:highlight w:val="none"/>
          <w:lang w:val="en-US" w:eastAsia="zh-CN" w:bidi="en-US"/>
        </w:rPr>
      </w:pPr>
      <w:r>
        <w:rPr>
          <w:rFonts w:hint="eastAsia" w:asciiTheme="minorEastAsia" w:hAnsiTheme="minorEastAsia" w:eastAsiaTheme="minorEastAsia" w:cstheme="minorEastAsia"/>
          <w:b/>
          <w:bCs/>
          <w:kern w:val="0"/>
          <w:sz w:val="24"/>
          <w:szCs w:val="24"/>
          <w:highlight w:val="none"/>
          <w:lang w:bidi="en-US"/>
        </w:rPr>
        <w:t>三、投标人资格要求</w:t>
      </w:r>
    </w:p>
    <w:p w14:paraId="2A02F251">
      <w:pPr>
        <w:keepNext w:val="0"/>
        <w:keepLines w:val="0"/>
        <w:pageBreakBefore w:val="0"/>
        <w:widowControl/>
        <w:kinsoku/>
        <w:wordWrap/>
        <w:overflowPunct/>
        <w:topLinePunct w:val="0"/>
        <w:autoSpaceDE/>
        <w:autoSpaceDN/>
        <w:bidi w:val="0"/>
        <w:adjustRightInd/>
        <w:snapToGrid w:val="0"/>
        <w:spacing w:line="360" w:lineRule="auto"/>
        <w:ind w:firstLine="480" w:firstLineChars="200"/>
        <w:jc w:val="left"/>
        <w:textAlignment w:val="auto"/>
        <w:rPr>
          <w:rFonts w:hint="eastAsia" w:ascii="宋体" w:hAnsi="宋体" w:cs="宋体"/>
          <w:kern w:val="2"/>
          <w:sz w:val="24"/>
          <w:szCs w:val="24"/>
          <w:lang w:val="en-US" w:eastAsia="zh-CN" w:bidi="ar"/>
        </w:rPr>
      </w:pPr>
      <w:r>
        <w:rPr>
          <w:rFonts w:hint="eastAsia" w:ascii="宋体" w:hAnsi="宋体" w:cs="宋体"/>
          <w:kern w:val="2"/>
          <w:sz w:val="24"/>
          <w:szCs w:val="24"/>
          <w:lang w:val="en-US" w:eastAsia="zh-CN" w:bidi="ar"/>
        </w:rPr>
        <w:t>1、参加投标的单位，必须是在中华人民共和国合法注册，具有独立法人资格的公司，且成立五年以上（含五年，以注册日期开始计算，至开标之日不少于五年），具有有效的营业执照且注册资金500万元；具有安全生产许可证；</w:t>
      </w:r>
    </w:p>
    <w:p w14:paraId="7007F77C">
      <w:pPr>
        <w:keepNext w:val="0"/>
        <w:keepLines w:val="0"/>
        <w:pageBreakBefore w:val="0"/>
        <w:widowControl/>
        <w:kinsoku/>
        <w:wordWrap/>
        <w:overflowPunct/>
        <w:topLinePunct w:val="0"/>
        <w:autoSpaceDE/>
        <w:autoSpaceDN/>
        <w:bidi w:val="0"/>
        <w:adjustRightInd/>
        <w:snapToGrid w:val="0"/>
        <w:spacing w:line="360" w:lineRule="auto"/>
        <w:ind w:firstLine="480" w:firstLineChars="200"/>
        <w:jc w:val="left"/>
        <w:textAlignment w:val="auto"/>
        <w:rPr>
          <w:rFonts w:hint="eastAsia" w:ascii="宋体" w:hAnsi="宋体" w:cs="宋体"/>
          <w:kern w:val="2"/>
          <w:sz w:val="24"/>
          <w:szCs w:val="24"/>
          <w:lang w:val="en-US" w:eastAsia="zh-CN" w:bidi="ar"/>
        </w:rPr>
      </w:pPr>
      <w:r>
        <w:rPr>
          <w:rFonts w:hint="eastAsia" w:ascii="宋体" w:hAnsi="宋体" w:cs="宋体"/>
          <w:kern w:val="2"/>
          <w:sz w:val="24"/>
          <w:szCs w:val="24"/>
          <w:lang w:val="en-US" w:eastAsia="zh-CN" w:bidi="ar"/>
        </w:rPr>
        <w:t>2、建筑装修装饰工程专业承包资质贰级；</w:t>
      </w:r>
    </w:p>
    <w:p w14:paraId="3DA3E615">
      <w:pPr>
        <w:keepNext w:val="0"/>
        <w:keepLines w:val="0"/>
        <w:pageBreakBefore w:val="0"/>
        <w:widowControl/>
        <w:kinsoku/>
        <w:wordWrap/>
        <w:overflowPunct/>
        <w:topLinePunct w:val="0"/>
        <w:autoSpaceDE/>
        <w:autoSpaceDN/>
        <w:bidi w:val="0"/>
        <w:adjustRightInd/>
        <w:snapToGrid w:val="0"/>
        <w:spacing w:line="360" w:lineRule="auto"/>
        <w:ind w:firstLine="480" w:firstLineChars="200"/>
        <w:jc w:val="left"/>
        <w:textAlignment w:val="auto"/>
        <w:rPr>
          <w:rFonts w:hint="eastAsia" w:ascii="宋体" w:hAnsi="宋体" w:cs="宋体"/>
          <w:kern w:val="2"/>
          <w:sz w:val="24"/>
          <w:szCs w:val="24"/>
          <w:lang w:val="en-US" w:eastAsia="zh-CN" w:bidi="ar"/>
        </w:rPr>
      </w:pPr>
      <w:r>
        <w:rPr>
          <w:rFonts w:hint="eastAsia" w:ascii="宋体" w:hAnsi="宋体" w:cs="宋体"/>
          <w:kern w:val="2"/>
          <w:sz w:val="24"/>
          <w:szCs w:val="24"/>
          <w:lang w:val="en-US" w:eastAsia="zh-CN" w:bidi="ar"/>
        </w:rPr>
        <w:t>3、防水防腐保温工程专业承包贰级；</w:t>
      </w:r>
    </w:p>
    <w:p w14:paraId="4FEF6388">
      <w:pPr>
        <w:keepNext w:val="0"/>
        <w:keepLines w:val="0"/>
        <w:pageBreakBefore w:val="0"/>
        <w:widowControl/>
        <w:kinsoku/>
        <w:wordWrap/>
        <w:overflowPunct/>
        <w:topLinePunct w:val="0"/>
        <w:autoSpaceDE/>
        <w:autoSpaceDN/>
        <w:bidi w:val="0"/>
        <w:adjustRightInd/>
        <w:snapToGrid w:val="0"/>
        <w:spacing w:line="360" w:lineRule="auto"/>
        <w:ind w:firstLine="480" w:firstLineChars="200"/>
        <w:jc w:val="left"/>
        <w:textAlignment w:val="auto"/>
        <w:rPr>
          <w:rFonts w:hint="eastAsia" w:ascii="宋体" w:hAnsi="宋体" w:cs="宋体"/>
          <w:kern w:val="2"/>
          <w:sz w:val="24"/>
          <w:szCs w:val="24"/>
          <w:lang w:val="en-US" w:eastAsia="zh-CN" w:bidi="ar"/>
        </w:rPr>
      </w:pPr>
      <w:r>
        <w:rPr>
          <w:rFonts w:hint="eastAsia" w:ascii="宋体" w:hAnsi="宋体" w:cs="宋体"/>
          <w:kern w:val="2"/>
          <w:sz w:val="24"/>
          <w:szCs w:val="24"/>
          <w:lang w:val="en-US" w:eastAsia="zh-CN" w:bidi="ar"/>
        </w:rPr>
        <w:t>4、获得所供逃生缓降器品牌的厂家授权；</w:t>
      </w:r>
    </w:p>
    <w:p w14:paraId="50B19F91">
      <w:pPr>
        <w:keepNext w:val="0"/>
        <w:keepLines w:val="0"/>
        <w:pageBreakBefore w:val="0"/>
        <w:widowControl/>
        <w:kinsoku/>
        <w:wordWrap/>
        <w:overflowPunct/>
        <w:topLinePunct w:val="0"/>
        <w:autoSpaceDE/>
        <w:autoSpaceDN/>
        <w:bidi w:val="0"/>
        <w:adjustRightInd/>
        <w:snapToGrid w:val="0"/>
        <w:spacing w:line="360" w:lineRule="auto"/>
        <w:ind w:firstLine="480" w:firstLineChars="200"/>
        <w:jc w:val="left"/>
        <w:textAlignment w:val="auto"/>
        <w:rPr>
          <w:rFonts w:hint="eastAsia" w:ascii="宋体" w:hAnsi="宋体" w:cs="宋体"/>
          <w:kern w:val="2"/>
          <w:sz w:val="24"/>
          <w:szCs w:val="24"/>
          <w:lang w:val="en-US" w:eastAsia="zh-CN" w:bidi="ar"/>
        </w:rPr>
      </w:pPr>
      <w:r>
        <w:rPr>
          <w:rFonts w:hint="eastAsia" w:ascii="宋体" w:hAnsi="宋体" w:cs="宋体"/>
          <w:kern w:val="2"/>
          <w:sz w:val="24"/>
          <w:szCs w:val="24"/>
          <w:lang w:val="en-US" w:eastAsia="zh-CN" w:bidi="ar"/>
        </w:rPr>
        <w:t>5、施工劳务不分等级；</w:t>
      </w:r>
    </w:p>
    <w:p w14:paraId="0DF6CB75">
      <w:pPr>
        <w:keepNext w:val="0"/>
        <w:keepLines w:val="0"/>
        <w:pageBreakBefore w:val="0"/>
        <w:widowControl/>
        <w:kinsoku/>
        <w:wordWrap/>
        <w:overflowPunct/>
        <w:topLinePunct w:val="0"/>
        <w:autoSpaceDE/>
        <w:autoSpaceDN/>
        <w:bidi w:val="0"/>
        <w:adjustRightInd/>
        <w:snapToGrid w:val="0"/>
        <w:spacing w:line="360" w:lineRule="auto"/>
        <w:ind w:firstLine="480" w:firstLineChars="200"/>
        <w:jc w:val="left"/>
        <w:textAlignment w:val="auto"/>
        <w:rPr>
          <w:rFonts w:hint="eastAsia" w:ascii="宋体" w:hAnsi="宋体" w:cs="宋体"/>
          <w:kern w:val="2"/>
          <w:sz w:val="24"/>
          <w:szCs w:val="24"/>
          <w:lang w:val="en-US" w:eastAsia="zh-CN" w:bidi="ar"/>
        </w:rPr>
      </w:pPr>
      <w:r>
        <w:rPr>
          <w:rFonts w:hint="eastAsia" w:ascii="宋体" w:hAnsi="宋体" w:cs="宋体"/>
          <w:kern w:val="2"/>
          <w:sz w:val="24"/>
          <w:szCs w:val="24"/>
          <w:lang w:val="en-US" w:eastAsia="zh-CN" w:bidi="ar"/>
        </w:rPr>
        <w:t>6、具有良好的企业信誉和健全的财务会计制度，财务状况和市场行为良好。没有处于被有权机关吊销营业执照、吊销资质、停业整顿、取消投标资格以及财产被接管、冻结或进入破产程序等；</w:t>
      </w:r>
    </w:p>
    <w:p w14:paraId="223E380A">
      <w:pPr>
        <w:keepNext w:val="0"/>
        <w:keepLines w:val="0"/>
        <w:pageBreakBefore w:val="0"/>
        <w:widowControl/>
        <w:kinsoku/>
        <w:wordWrap/>
        <w:overflowPunct/>
        <w:topLinePunct w:val="0"/>
        <w:autoSpaceDE/>
        <w:autoSpaceDN/>
        <w:bidi w:val="0"/>
        <w:adjustRightInd/>
        <w:snapToGrid w:val="0"/>
        <w:spacing w:line="360" w:lineRule="auto"/>
        <w:ind w:firstLine="480" w:firstLineChars="200"/>
        <w:jc w:val="left"/>
        <w:textAlignment w:val="auto"/>
        <w:rPr>
          <w:rFonts w:hint="eastAsia" w:ascii="宋体" w:hAnsi="宋体" w:cs="宋体"/>
          <w:kern w:val="2"/>
          <w:sz w:val="24"/>
          <w:szCs w:val="24"/>
          <w:lang w:val="en-US" w:eastAsia="zh-CN" w:bidi="ar"/>
        </w:rPr>
      </w:pPr>
      <w:r>
        <w:rPr>
          <w:rFonts w:hint="eastAsia" w:ascii="宋体" w:hAnsi="宋体" w:cs="宋体"/>
          <w:kern w:val="2"/>
          <w:sz w:val="24"/>
          <w:szCs w:val="24"/>
          <w:lang w:val="en-US" w:eastAsia="zh-CN" w:bidi="ar"/>
        </w:rPr>
        <w:t>7、投标人须提供近三年的公司财务报表（资产负债表、损益表、现金流量表）；</w:t>
      </w:r>
    </w:p>
    <w:p w14:paraId="52F3C12D">
      <w:pPr>
        <w:keepNext w:val="0"/>
        <w:keepLines w:val="0"/>
        <w:pageBreakBefore w:val="0"/>
        <w:widowControl/>
        <w:kinsoku/>
        <w:wordWrap/>
        <w:overflowPunct/>
        <w:topLinePunct w:val="0"/>
        <w:autoSpaceDE/>
        <w:autoSpaceDN/>
        <w:bidi w:val="0"/>
        <w:adjustRightInd/>
        <w:snapToGrid w:val="0"/>
        <w:spacing w:line="360" w:lineRule="auto"/>
        <w:ind w:firstLine="480" w:firstLineChars="200"/>
        <w:jc w:val="left"/>
        <w:textAlignment w:val="auto"/>
        <w:rPr>
          <w:rFonts w:hint="eastAsia" w:ascii="宋体" w:hAnsi="宋体" w:cs="宋体"/>
          <w:kern w:val="2"/>
          <w:sz w:val="24"/>
          <w:szCs w:val="24"/>
          <w:lang w:val="en-US" w:eastAsia="zh-CN" w:bidi="ar"/>
        </w:rPr>
      </w:pPr>
      <w:r>
        <w:rPr>
          <w:rFonts w:hint="eastAsia" w:ascii="宋体" w:hAnsi="宋体" w:cs="宋体"/>
          <w:kern w:val="2"/>
          <w:sz w:val="24"/>
          <w:szCs w:val="24"/>
          <w:lang w:val="en-US" w:eastAsia="zh-CN" w:bidi="ar"/>
        </w:rPr>
        <w:t>8、有依法缴纳税收和社会保障金的良好纪录；</w:t>
      </w:r>
    </w:p>
    <w:p w14:paraId="61AA7106">
      <w:pPr>
        <w:keepNext w:val="0"/>
        <w:keepLines w:val="0"/>
        <w:pageBreakBefore w:val="0"/>
        <w:widowControl/>
        <w:kinsoku/>
        <w:wordWrap/>
        <w:overflowPunct/>
        <w:topLinePunct w:val="0"/>
        <w:autoSpaceDE/>
        <w:autoSpaceDN/>
        <w:bidi w:val="0"/>
        <w:adjustRightInd/>
        <w:snapToGrid w:val="0"/>
        <w:spacing w:line="360" w:lineRule="auto"/>
        <w:ind w:firstLine="480" w:firstLineChars="200"/>
        <w:jc w:val="left"/>
        <w:textAlignment w:val="auto"/>
        <w:rPr>
          <w:rFonts w:hint="eastAsia" w:ascii="宋体" w:hAnsi="宋体" w:cs="宋体"/>
          <w:kern w:val="2"/>
          <w:sz w:val="24"/>
          <w:szCs w:val="24"/>
          <w:lang w:val="en-US" w:eastAsia="zh-CN" w:bidi="ar"/>
        </w:rPr>
      </w:pPr>
      <w:r>
        <w:rPr>
          <w:rFonts w:hint="eastAsia" w:ascii="宋体" w:hAnsi="宋体" w:cs="宋体"/>
          <w:kern w:val="2"/>
          <w:sz w:val="24"/>
          <w:szCs w:val="24"/>
          <w:lang w:val="en-US" w:eastAsia="zh-CN" w:bidi="ar"/>
        </w:rPr>
        <w:t>9、投标单位应具备并提供近三年相同或类似项目规模的维修业绩；</w:t>
      </w:r>
    </w:p>
    <w:p w14:paraId="235F5A89">
      <w:pPr>
        <w:keepNext w:val="0"/>
        <w:keepLines w:val="0"/>
        <w:pageBreakBefore w:val="0"/>
        <w:widowControl/>
        <w:kinsoku/>
        <w:wordWrap/>
        <w:overflowPunct/>
        <w:topLinePunct w:val="0"/>
        <w:autoSpaceDE/>
        <w:autoSpaceDN/>
        <w:bidi w:val="0"/>
        <w:adjustRightInd/>
        <w:snapToGrid w:val="0"/>
        <w:spacing w:line="360" w:lineRule="auto"/>
        <w:ind w:firstLine="480" w:firstLineChars="200"/>
        <w:jc w:val="left"/>
        <w:textAlignment w:val="auto"/>
        <w:rPr>
          <w:rFonts w:hint="eastAsia" w:ascii="宋体" w:hAnsi="宋体" w:cs="宋体"/>
          <w:kern w:val="2"/>
          <w:sz w:val="24"/>
          <w:szCs w:val="24"/>
          <w:lang w:val="en-US" w:eastAsia="zh-CN" w:bidi="ar"/>
        </w:rPr>
      </w:pPr>
      <w:r>
        <w:rPr>
          <w:rFonts w:hint="eastAsia" w:ascii="宋体" w:hAnsi="宋体" w:cs="宋体"/>
          <w:kern w:val="2"/>
          <w:sz w:val="24"/>
          <w:szCs w:val="24"/>
          <w:lang w:val="en-US" w:eastAsia="zh-CN" w:bidi="ar"/>
        </w:rPr>
        <w:t>10、投标单位三年内无违法及重大违规记录；</w:t>
      </w:r>
    </w:p>
    <w:p w14:paraId="5E43215C">
      <w:pPr>
        <w:keepNext w:val="0"/>
        <w:keepLines w:val="0"/>
        <w:pageBreakBefore w:val="0"/>
        <w:widowControl/>
        <w:kinsoku/>
        <w:wordWrap/>
        <w:overflowPunct/>
        <w:topLinePunct w:val="0"/>
        <w:autoSpaceDE/>
        <w:autoSpaceDN/>
        <w:bidi w:val="0"/>
        <w:adjustRightInd/>
        <w:snapToGrid w:val="0"/>
        <w:spacing w:line="360" w:lineRule="auto"/>
        <w:ind w:firstLine="480" w:firstLineChars="200"/>
        <w:jc w:val="left"/>
        <w:textAlignment w:val="auto"/>
        <w:rPr>
          <w:rFonts w:hint="eastAsia" w:ascii="宋体" w:hAnsi="宋体" w:cs="宋体"/>
          <w:kern w:val="2"/>
          <w:sz w:val="24"/>
          <w:szCs w:val="24"/>
          <w:lang w:val="en-US" w:eastAsia="zh-CN" w:bidi="ar"/>
        </w:rPr>
      </w:pPr>
      <w:r>
        <w:rPr>
          <w:rFonts w:hint="eastAsia" w:ascii="宋体" w:hAnsi="宋体" w:cs="宋体"/>
          <w:kern w:val="2"/>
          <w:sz w:val="24"/>
          <w:szCs w:val="24"/>
          <w:lang w:val="en-US" w:eastAsia="zh-CN" w:bidi="ar"/>
        </w:rPr>
        <w:t>11、投标单位在国家市场监督管理总局的《国家企业信用信息公示系统》、信用中国等无相关行业行政处罚及失信记录等信息，无招标违规、谎报年度报告信息、提供虚假资质资料等行为或其他行政处罚记录；</w:t>
      </w:r>
    </w:p>
    <w:p w14:paraId="55647922">
      <w:pPr>
        <w:keepNext w:val="0"/>
        <w:keepLines w:val="0"/>
        <w:pageBreakBefore w:val="0"/>
        <w:widowControl/>
        <w:kinsoku/>
        <w:wordWrap/>
        <w:overflowPunct/>
        <w:topLinePunct w:val="0"/>
        <w:autoSpaceDE/>
        <w:autoSpaceDN/>
        <w:bidi w:val="0"/>
        <w:adjustRightInd/>
        <w:snapToGrid w:val="0"/>
        <w:spacing w:line="360" w:lineRule="auto"/>
        <w:ind w:firstLine="480" w:firstLineChars="200"/>
        <w:jc w:val="left"/>
        <w:textAlignment w:val="auto"/>
        <w:rPr>
          <w:rFonts w:hint="eastAsia" w:ascii="宋体" w:hAnsi="宋体" w:cs="宋体"/>
          <w:kern w:val="2"/>
          <w:sz w:val="24"/>
          <w:szCs w:val="24"/>
          <w:lang w:val="en-US" w:eastAsia="zh-CN" w:bidi="ar"/>
        </w:rPr>
      </w:pPr>
      <w:r>
        <w:rPr>
          <w:rFonts w:hint="eastAsia" w:ascii="宋体" w:hAnsi="宋体" w:cs="宋体"/>
          <w:kern w:val="2"/>
          <w:sz w:val="24"/>
          <w:szCs w:val="24"/>
          <w:lang w:val="en-US" w:eastAsia="zh-CN" w:bidi="ar"/>
        </w:rPr>
        <w:t>12、未被中国重型汽车集团有限公司列入黑名单（《黑名单》指投标人与招标人在以往或正在进行的合作中，存在招标人认为的违反合同约定或违反法律法规等的失信行为）；</w:t>
      </w:r>
    </w:p>
    <w:p w14:paraId="6E1A689F">
      <w:pPr>
        <w:keepNext w:val="0"/>
        <w:keepLines w:val="0"/>
        <w:pageBreakBefore w:val="0"/>
        <w:widowControl/>
        <w:kinsoku/>
        <w:wordWrap/>
        <w:overflowPunct/>
        <w:topLinePunct w:val="0"/>
        <w:autoSpaceDE/>
        <w:autoSpaceDN/>
        <w:bidi w:val="0"/>
        <w:adjustRightInd/>
        <w:snapToGrid w:val="0"/>
        <w:spacing w:line="360" w:lineRule="auto"/>
        <w:ind w:firstLine="480" w:firstLineChars="200"/>
        <w:jc w:val="left"/>
        <w:textAlignment w:val="auto"/>
        <w:rPr>
          <w:rFonts w:hint="eastAsia" w:ascii="宋体" w:hAnsi="宋体" w:cs="宋体"/>
          <w:kern w:val="2"/>
          <w:sz w:val="24"/>
          <w:szCs w:val="24"/>
          <w:lang w:val="en-US" w:eastAsia="zh-CN" w:bidi="ar"/>
        </w:rPr>
      </w:pPr>
      <w:r>
        <w:rPr>
          <w:rFonts w:hint="eastAsia" w:ascii="宋体" w:hAnsi="宋体" w:cs="宋体"/>
          <w:kern w:val="2"/>
          <w:sz w:val="24"/>
          <w:szCs w:val="24"/>
          <w:lang w:val="en-US" w:eastAsia="zh-CN" w:bidi="ar"/>
        </w:rPr>
        <w:t>13、在中国重汽集团有限公司服务期间无提前终止合同违约或无因服务质量不到位提前终止合同的情况；</w:t>
      </w:r>
    </w:p>
    <w:p w14:paraId="2411BB22">
      <w:pPr>
        <w:keepNext w:val="0"/>
        <w:keepLines w:val="0"/>
        <w:pageBreakBefore w:val="0"/>
        <w:widowControl/>
        <w:kinsoku/>
        <w:wordWrap/>
        <w:overflowPunct/>
        <w:topLinePunct w:val="0"/>
        <w:autoSpaceDE/>
        <w:autoSpaceDN/>
        <w:bidi w:val="0"/>
        <w:adjustRightInd/>
        <w:snapToGrid w:val="0"/>
        <w:spacing w:line="360" w:lineRule="auto"/>
        <w:ind w:firstLine="480" w:firstLineChars="200"/>
        <w:jc w:val="left"/>
        <w:textAlignment w:val="auto"/>
        <w:rPr>
          <w:rFonts w:hint="eastAsia" w:ascii="宋体" w:hAnsi="宋体" w:cs="宋体"/>
          <w:kern w:val="2"/>
          <w:sz w:val="24"/>
          <w:szCs w:val="24"/>
          <w:lang w:val="en-US" w:eastAsia="zh-CN" w:bidi="ar"/>
        </w:rPr>
      </w:pPr>
      <w:r>
        <w:rPr>
          <w:rFonts w:hint="eastAsia" w:ascii="宋体" w:hAnsi="宋体" w:cs="宋体"/>
          <w:kern w:val="2"/>
          <w:sz w:val="24"/>
          <w:szCs w:val="24"/>
          <w:lang w:val="en-US" w:eastAsia="zh-CN" w:bidi="ar"/>
        </w:rPr>
        <w:t>14、供方的直接或间接股东、法定代表人、董事、监事、高管非重汽员工及其亲属；</w:t>
      </w:r>
    </w:p>
    <w:p w14:paraId="0467F9C2">
      <w:pPr>
        <w:keepNext w:val="0"/>
        <w:keepLines w:val="0"/>
        <w:pageBreakBefore w:val="0"/>
        <w:widowControl/>
        <w:kinsoku/>
        <w:wordWrap/>
        <w:overflowPunct/>
        <w:topLinePunct w:val="0"/>
        <w:autoSpaceDE/>
        <w:autoSpaceDN/>
        <w:bidi w:val="0"/>
        <w:adjustRightInd/>
        <w:snapToGrid w:val="0"/>
        <w:spacing w:line="360" w:lineRule="auto"/>
        <w:ind w:firstLine="480" w:firstLineChars="200"/>
        <w:jc w:val="left"/>
        <w:textAlignment w:val="auto"/>
        <w:rPr>
          <w:rFonts w:hint="eastAsia" w:ascii="宋体" w:hAnsi="宋体" w:cs="宋体"/>
          <w:kern w:val="2"/>
          <w:sz w:val="24"/>
          <w:szCs w:val="24"/>
          <w:lang w:val="en-US" w:eastAsia="zh-CN" w:bidi="ar"/>
        </w:rPr>
      </w:pPr>
      <w:r>
        <w:rPr>
          <w:rFonts w:hint="eastAsia" w:ascii="宋体" w:hAnsi="宋体" w:cs="宋体"/>
          <w:kern w:val="2"/>
          <w:sz w:val="24"/>
          <w:szCs w:val="24"/>
          <w:lang w:val="en-US" w:eastAsia="zh-CN" w:bidi="ar"/>
        </w:rPr>
        <w:t>15、如有投标单位资料造假，一经发现，5年内不得参与集团内所有消防类项目投标资格；</w:t>
      </w:r>
    </w:p>
    <w:p w14:paraId="04A3E43A">
      <w:pPr>
        <w:keepNext w:val="0"/>
        <w:keepLines w:val="0"/>
        <w:pageBreakBefore w:val="0"/>
        <w:widowControl/>
        <w:kinsoku/>
        <w:wordWrap/>
        <w:overflowPunct/>
        <w:topLinePunct w:val="0"/>
        <w:autoSpaceDE/>
        <w:autoSpaceDN/>
        <w:bidi w:val="0"/>
        <w:adjustRightInd/>
        <w:snapToGrid w:val="0"/>
        <w:spacing w:line="360" w:lineRule="auto"/>
        <w:ind w:firstLine="480" w:firstLineChars="200"/>
        <w:jc w:val="left"/>
        <w:textAlignment w:val="auto"/>
        <w:rPr>
          <w:rFonts w:hint="eastAsia" w:ascii="宋体" w:hAnsi="宋体" w:cs="宋体"/>
          <w:kern w:val="2"/>
          <w:sz w:val="24"/>
          <w:szCs w:val="24"/>
          <w:lang w:val="en-US" w:eastAsia="zh-CN" w:bidi="ar"/>
        </w:rPr>
      </w:pPr>
      <w:r>
        <w:rPr>
          <w:rFonts w:hint="eastAsia" w:ascii="宋体" w:hAnsi="宋体" w:cs="宋体"/>
          <w:kern w:val="2"/>
          <w:sz w:val="24"/>
          <w:szCs w:val="24"/>
          <w:lang w:val="en-US" w:eastAsia="zh-CN" w:bidi="ar"/>
        </w:rPr>
        <w:t>16、投标人须提供具有统一社会信用代码的新版营业执照副本复印件（加盖公章）；参与投标时需携带营业执照副本原件以及投标单位授权人身份证原件以供查验；</w:t>
      </w:r>
    </w:p>
    <w:p w14:paraId="4C7F9C06">
      <w:pPr>
        <w:keepNext w:val="0"/>
        <w:keepLines w:val="0"/>
        <w:pageBreakBefore w:val="0"/>
        <w:widowControl/>
        <w:kinsoku/>
        <w:wordWrap/>
        <w:overflowPunct/>
        <w:topLinePunct w:val="0"/>
        <w:autoSpaceDE/>
        <w:autoSpaceDN/>
        <w:bidi w:val="0"/>
        <w:adjustRightInd/>
        <w:snapToGrid w:val="0"/>
        <w:spacing w:line="360" w:lineRule="auto"/>
        <w:ind w:firstLine="480" w:firstLineChars="200"/>
        <w:jc w:val="left"/>
        <w:textAlignment w:val="auto"/>
        <w:rPr>
          <w:rFonts w:hint="eastAsia" w:ascii="宋体" w:hAnsi="宋体" w:cs="宋体"/>
          <w:kern w:val="2"/>
          <w:sz w:val="24"/>
          <w:szCs w:val="24"/>
          <w:lang w:val="en-US" w:eastAsia="zh-CN" w:bidi="ar"/>
        </w:rPr>
      </w:pPr>
      <w:r>
        <w:rPr>
          <w:rFonts w:hint="eastAsia" w:ascii="宋体" w:hAnsi="宋体" w:cs="宋体"/>
          <w:kern w:val="2"/>
          <w:sz w:val="24"/>
          <w:szCs w:val="24"/>
          <w:lang w:val="en-US" w:eastAsia="zh-CN" w:bidi="ar"/>
        </w:rPr>
        <w:t>17、本次投标，各投标单位不允许联合体投标，确定一家中标单位；</w:t>
      </w:r>
    </w:p>
    <w:p w14:paraId="146AD8C9">
      <w:pPr>
        <w:keepNext w:val="0"/>
        <w:keepLines w:val="0"/>
        <w:pageBreakBefore w:val="0"/>
        <w:widowControl/>
        <w:kinsoku/>
        <w:wordWrap/>
        <w:overflowPunct/>
        <w:topLinePunct w:val="0"/>
        <w:autoSpaceDE/>
        <w:autoSpaceDN/>
        <w:bidi w:val="0"/>
        <w:adjustRightInd/>
        <w:snapToGrid w:val="0"/>
        <w:spacing w:line="360" w:lineRule="auto"/>
        <w:ind w:firstLine="480" w:firstLineChars="200"/>
        <w:jc w:val="left"/>
        <w:textAlignment w:val="auto"/>
        <w:rPr>
          <w:rFonts w:hint="eastAsia" w:ascii="宋体" w:hAnsi="宋体" w:eastAsia="宋体" w:cs="宋体"/>
          <w:kern w:val="2"/>
          <w:sz w:val="24"/>
          <w:szCs w:val="24"/>
          <w:lang w:val="en-US" w:eastAsia="zh-CN" w:bidi="ar"/>
        </w:rPr>
      </w:pPr>
      <w:r>
        <w:rPr>
          <w:rFonts w:hint="eastAsia" w:ascii="宋体" w:hAnsi="宋体" w:cs="宋体"/>
          <w:kern w:val="2"/>
          <w:sz w:val="24"/>
          <w:szCs w:val="24"/>
          <w:lang w:val="en-US" w:eastAsia="zh-CN" w:bidi="ar"/>
        </w:rPr>
        <w:t>18、相关法律法规对合格投标单位的其他要求。</w:t>
      </w:r>
    </w:p>
    <w:p w14:paraId="2A19F322">
      <w:pPr>
        <w:widowControl/>
        <w:snapToGrid w:val="0"/>
        <w:spacing w:line="360" w:lineRule="auto"/>
        <w:jc w:val="left"/>
        <w:rPr>
          <w:rFonts w:hint="eastAsia" w:asciiTheme="minorEastAsia" w:hAnsiTheme="minorEastAsia" w:eastAsiaTheme="minorEastAsia" w:cstheme="minorEastAsia"/>
          <w:b/>
          <w:bCs/>
          <w:kern w:val="0"/>
          <w:sz w:val="24"/>
          <w:szCs w:val="24"/>
          <w:lang w:bidi="en-US"/>
        </w:rPr>
      </w:pPr>
      <w:r>
        <w:rPr>
          <w:rFonts w:hint="eastAsia" w:asciiTheme="minorEastAsia" w:hAnsiTheme="minorEastAsia" w:eastAsiaTheme="minorEastAsia" w:cstheme="minorEastAsia"/>
          <w:b/>
          <w:bCs/>
          <w:kern w:val="0"/>
          <w:sz w:val="24"/>
          <w:szCs w:val="24"/>
          <w:lang w:bidi="en-US"/>
        </w:rPr>
        <w:t>四、报名、投标</w:t>
      </w:r>
    </w:p>
    <w:p w14:paraId="51509281">
      <w:pPr>
        <w:keepNext/>
        <w:keepLines/>
        <w:spacing w:line="360" w:lineRule="auto"/>
        <w:ind w:firstLine="482" w:firstLineChars="200"/>
        <w:outlineLvl w:val="2"/>
        <w:rPr>
          <w:rFonts w:hint="eastAsia"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rPr>
        <w:t>1.报名</w:t>
      </w:r>
    </w:p>
    <w:p w14:paraId="4B7DDBA9">
      <w:pPr>
        <w:keepNext/>
        <w:keepLines/>
        <w:spacing w:line="360" w:lineRule="auto"/>
        <w:ind w:firstLine="482" w:firstLineChars="200"/>
        <w:outlineLvl w:val="2"/>
        <w:rPr>
          <w:rFonts w:hint="eastAsia" w:ascii="宋体" w:hAnsi="宋体" w:cs="宋体"/>
          <w:b/>
          <w:bCs/>
          <w:color w:val="000000"/>
          <w:sz w:val="24"/>
          <w:szCs w:val="24"/>
          <w:highlight w:val="yellow"/>
          <w:lang w:val="en-US" w:eastAsia="zh-CN"/>
        </w:rPr>
      </w:pPr>
      <w:r>
        <w:rPr>
          <w:rFonts w:hint="eastAsia" w:ascii="宋体" w:hAnsi="宋体" w:cs="宋体"/>
          <w:b/>
          <w:bCs/>
          <w:color w:val="000000"/>
          <w:sz w:val="24"/>
          <w:szCs w:val="24"/>
          <w:highlight w:val="yellow"/>
          <w:lang w:val="en-US" w:eastAsia="zh-CN"/>
        </w:rPr>
        <w:t>报名截止时间：2025年12月21日17：00</w:t>
      </w:r>
    </w:p>
    <w:p w14:paraId="048E9A12">
      <w:pPr>
        <w:keepNext/>
        <w:keepLines/>
        <w:spacing w:line="360" w:lineRule="auto"/>
        <w:ind w:firstLine="482" w:firstLineChars="200"/>
        <w:outlineLvl w:val="2"/>
        <w:rPr>
          <w:rFonts w:hint="eastAsia" w:ascii="宋体" w:hAnsi="Courier New" w:eastAsia="宋体" w:cs="Times New Roman"/>
          <w:kern w:val="2"/>
          <w:sz w:val="24"/>
          <w:szCs w:val="24"/>
        </w:rPr>
      </w:pPr>
      <w:r>
        <w:rPr>
          <w:rFonts w:hint="eastAsia" w:ascii="宋体" w:hAnsi="宋体" w:eastAsia="宋体" w:cs="宋体"/>
          <w:b/>
          <w:bCs/>
          <w:kern w:val="2"/>
          <w:sz w:val="24"/>
          <w:szCs w:val="24"/>
          <w:lang w:val="en-US" w:eastAsia="zh-CN" w:bidi="ar"/>
        </w:rPr>
        <w:t>报名方式</w:t>
      </w:r>
      <w:r>
        <w:rPr>
          <w:rFonts w:hint="eastAsia" w:ascii="宋体" w:hAnsi="宋体" w:eastAsia="宋体" w:cs="宋体"/>
          <w:kern w:val="2"/>
          <w:sz w:val="24"/>
          <w:szCs w:val="24"/>
          <w:lang w:val="en-US" w:eastAsia="zh-CN" w:bidi="ar"/>
        </w:rPr>
        <w:t>：</w:t>
      </w:r>
    </w:p>
    <w:p w14:paraId="7053B8EF">
      <w:pPr>
        <w:pStyle w:val="45"/>
        <w:keepNext w:val="0"/>
        <w:keepLines w:val="0"/>
        <w:widowControl w:val="0"/>
        <w:suppressLineNumbers w:val="0"/>
        <w:autoSpaceDE w:val="0"/>
        <w:autoSpaceDN/>
        <w:spacing w:before="0" w:beforeAutospacing="0" w:after="0" w:afterAutospacing="0" w:line="360" w:lineRule="auto"/>
        <w:ind w:left="0" w:leftChars="0" w:right="0" w:firstLine="480" w:firstLineChars="200"/>
        <w:jc w:val="both"/>
        <w:rPr>
          <w:rFonts w:hint="eastAsia" w:ascii="宋体" w:hAnsi="宋体" w:eastAsia="宋体" w:cs="宋体"/>
          <w:b/>
          <w:bCs/>
          <w:kern w:val="2"/>
          <w:sz w:val="24"/>
          <w:szCs w:val="24"/>
          <w:lang w:val="en-US" w:eastAsia="zh-CN" w:bidi="ar"/>
        </w:rPr>
      </w:pPr>
      <w:r>
        <w:rPr>
          <w:rFonts w:hint="eastAsia" w:ascii="宋体" w:hAnsi="宋体" w:eastAsia="宋体" w:cs="宋体"/>
          <w:kern w:val="2"/>
          <w:sz w:val="24"/>
          <w:szCs w:val="24"/>
          <w:lang w:val="en-US" w:eastAsia="zh-CN" w:bidi="ar"/>
        </w:rPr>
        <w:t>拟投标人根据招标人在中国重汽官网公开媒体上发布的招标信息，</w:t>
      </w:r>
      <w:r>
        <w:rPr>
          <w:rFonts w:hint="eastAsia" w:ascii="宋体" w:hAnsi="宋体" w:eastAsia="宋体" w:cs="宋体"/>
          <w:color w:val="000000"/>
          <w:kern w:val="2"/>
          <w:sz w:val="24"/>
          <w:szCs w:val="24"/>
          <w:lang w:val="en-US" w:eastAsia="zh-CN" w:bidi="ar"/>
        </w:rPr>
        <w:t>在“中国重汽e采通”平台报名，具体流程如下：</w:t>
      </w:r>
      <w:r>
        <w:rPr>
          <w:rFonts w:hint="eastAsia" w:ascii="宋体" w:hAnsi="宋体" w:eastAsia="宋体" w:cs="宋体"/>
          <w:kern w:val="2"/>
          <w:sz w:val="24"/>
          <w:szCs w:val="24"/>
          <w:lang w:val="en-US" w:eastAsia="zh-CN" w:bidi="ar"/>
        </w:rPr>
        <w:br w:type="textWrapping"/>
      </w:r>
      <w:r>
        <w:rPr>
          <w:rFonts w:hint="eastAsia" w:ascii="宋体" w:hAnsi="宋体" w:eastAsia="宋体" w:cs="宋体"/>
          <w:b/>
          <w:bCs/>
          <w:kern w:val="2"/>
          <w:sz w:val="24"/>
          <w:szCs w:val="24"/>
          <w:lang w:val="en-US" w:eastAsia="zh-CN" w:bidi="ar"/>
        </w:rPr>
        <w:t>①系统注册与信息维护</w:t>
      </w:r>
    </w:p>
    <w:p w14:paraId="0B8AE87B">
      <w:pPr>
        <w:pStyle w:val="45"/>
        <w:keepNext w:val="0"/>
        <w:keepLines w:val="0"/>
        <w:widowControl w:val="0"/>
        <w:suppressLineNumbers w:val="0"/>
        <w:autoSpaceDE w:val="0"/>
        <w:autoSpaceDN/>
        <w:spacing w:before="0" w:beforeAutospacing="0" w:after="0" w:afterAutospacing="0" w:line="360" w:lineRule="auto"/>
        <w:ind w:left="0" w:leftChars="0" w:right="0" w:firstLine="482" w:firstLineChars="200"/>
        <w:jc w:val="both"/>
        <w:rPr>
          <w:rFonts w:hint="eastAsia" w:ascii="宋体" w:hAnsi="宋体" w:eastAsia="宋体" w:cs="宋体"/>
          <w:kern w:val="2"/>
          <w:sz w:val="24"/>
          <w:szCs w:val="24"/>
          <w:lang w:val="en-US" w:eastAsia="zh-CN" w:bidi="ar"/>
        </w:rPr>
      </w:pPr>
      <w:r>
        <w:rPr>
          <w:rFonts w:hint="eastAsia" w:ascii="宋体" w:hAnsi="宋体" w:eastAsia="宋体" w:cs="宋体"/>
          <w:b/>
          <w:bCs/>
          <w:kern w:val="2"/>
          <w:sz w:val="24"/>
          <w:szCs w:val="24"/>
          <w:lang w:val="en-US" w:eastAsia="zh-CN" w:bidi="ar"/>
        </w:rPr>
        <w:t>首次注册供应商</w:t>
      </w:r>
      <w:r>
        <w:rPr>
          <w:rFonts w:hint="eastAsia" w:ascii="宋体" w:hAnsi="宋体" w:eastAsia="宋体" w:cs="宋体"/>
          <w:kern w:val="2"/>
          <w:sz w:val="24"/>
          <w:szCs w:val="24"/>
          <w:lang w:val="en-US" w:eastAsia="zh-CN" w:bidi="ar"/>
        </w:rPr>
        <w:t>：请根据《SRM非生产供应商注册手册》（附件一）完成平台账号注册。</w:t>
      </w:r>
    </w:p>
    <w:p w14:paraId="7090C312">
      <w:pPr>
        <w:pStyle w:val="45"/>
        <w:keepNext w:val="0"/>
        <w:keepLines w:val="0"/>
        <w:widowControl w:val="0"/>
        <w:suppressLineNumbers w:val="0"/>
        <w:autoSpaceDE w:val="0"/>
        <w:autoSpaceDN/>
        <w:spacing w:before="0" w:beforeAutospacing="0" w:after="0" w:afterAutospacing="0" w:line="360" w:lineRule="auto"/>
        <w:ind w:left="0" w:leftChars="0" w:right="0" w:firstLine="482" w:firstLineChars="200"/>
        <w:jc w:val="both"/>
        <w:rPr>
          <w:rFonts w:hint="eastAsia" w:ascii="宋体" w:hAnsi="宋体" w:eastAsia="宋体" w:cs="宋体"/>
          <w:kern w:val="2"/>
          <w:sz w:val="24"/>
          <w:szCs w:val="24"/>
        </w:rPr>
      </w:pPr>
      <w:r>
        <w:rPr>
          <w:rFonts w:hint="eastAsia" w:ascii="宋体" w:hAnsi="宋体" w:eastAsia="宋体" w:cs="宋体"/>
          <w:b/>
          <w:bCs/>
          <w:kern w:val="2"/>
          <w:sz w:val="24"/>
          <w:szCs w:val="24"/>
          <w:lang w:val="en-US" w:eastAsia="zh-CN" w:bidi="ar"/>
        </w:rPr>
        <w:t>已注册供应商</w:t>
      </w:r>
      <w:r>
        <w:rPr>
          <w:rFonts w:hint="eastAsia" w:ascii="宋体" w:hAnsi="宋体" w:eastAsia="宋体" w:cs="宋体"/>
          <w:kern w:val="2"/>
          <w:sz w:val="24"/>
          <w:szCs w:val="24"/>
          <w:lang w:val="en-US" w:eastAsia="zh-CN" w:bidi="ar"/>
        </w:rPr>
        <w:t>：请登录系统核对系统中2022-2024年度财务数据。如尚未填写或信息不全，请参照《SRM非生产供应商注册手册》（附件二）及时进行补充与更新，确保信息真实、完整。</w:t>
      </w:r>
      <w:r>
        <w:rPr>
          <w:rFonts w:hint="eastAsia" w:ascii="宋体" w:hAnsi="宋体" w:eastAsia="宋体" w:cs="宋体"/>
          <w:kern w:val="2"/>
          <w:sz w:val="24"/>
          <w:szCs w:val="24"/>
          <w:lang w:val="en-US" w:eastAsia="zh-CN" w:bidi="ar"/>
        </w:rPr>
        <w:br w:type="textWrapping"/>
      </w:r>
      <w:r>
        <w:rPr>
          <w:rFonts w:hint="eastAsia" w:ascii="宋体" w:hAnsi="宋体" w:eastAsia="宋体" w:cs="宋体"/>
          <w:b/>
          <w:bCs/>
          <w:kern w:val="2"/>
          <w:sz w:val="24"/>
          <w:szCs w:val="24"/>
          <w:lang w:val="en-US" w:eastAsia="zh-CN" w:bidi="ar"/>
        </w:rPr>
        <w:t>②应标流程</w:t>
      </w:r>
    </w:p>
    <w:p w14:paraId="23D4D124">
      <w:pPr>
        <w:pStyle w:val="45"/>
        <w:keepNext w:val="0"/>
        <w:keepLines w:val="0"/>
        <w:widowControl w:val="0"/>
        <w:suppressLineNumbers w:val="0"/>
        <w:autoSpaceDE w:val="0"/>
        <w:autoSpaceDN/>
        <w:spacing w:before="0" w:beforeAutospacing="0" w:after="0" w:afterAutospacing="0" w:line="360" w:lineRule="auto"/>
        <w:ind w:left="0" w:leftChars="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注册及财务数据维护完成后，参照《SRM系统供应商用户手册》（附件三）登录平台，进入“供应商应标”模块，选择对应项目点击“应标”，并按照本公告第四部分“应标文件编制”要求准备资料并上传。资质审查通过后，视为报名成功（是否为代理商请如实选择）。</w:t>
      </w:r>
    </w:p>
    <w:p w14:paraId="618918DC">
      <w:pPr>
        <w:pStyle w:val="45"/>
        <w:keepNext w:val="0"/>
        <w:keepLines w:val="0"/>
        <w:widowControl w:val="0"/>
        <w:suppressLineNumbers w:val="0"/>
        <w:autoSpaceDE w:val="0"/>
        <w:autoSpaceDN/>
        <w:spacing w:before="0" w:beforeAutospacing="0" w:after="0" w:afterAutospacing="0" w:line="360" w:lineRule="auto"/>
        <w:ind w:left="0" w:leftChars="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若为</w:t>
      </w:r>
      <w:r>
        <w:rPr>
          <w:rFonts w:hint="eastAsia" w:ascii="宋体" w:hAnsi="宋体" w:eastAsia="宋体" w:cs="宋体"/>
          <w:b/>
          <w:bCs/>
          <w:kern w:val="2"/>
          <w:sz w:val="24"/>
          <w:szCs w:val="24"/>
          <w:lang w:val="en-US" w:eastAsia="zh-CN" w:bidi="ar"/>
        </w:rPr>
        <w:t>代理商应标</w:t>
      </w:r>
      <w:r>
        <w:rPr>
          <w:rFonts w:hint="eastAsia" w:ascii="宋体" w:hAnsi="宋体" w:eastAsia="宋体" w:cs="宋体"/>
          <w:kern w:val="2"/>
          <w:sz w:val="24"/>
          <w:szCs w:val="24"/>
          <w:lang w:val="en-US" w:eastAsia="zh-CN" w:bidi="ar"/>
        </w:rPr>
        <w:t>，请在应标后</w:t>
      </w:r>
      <w:r>
        <w:rPr>
          <w:rFonts w:hint="eastAsia" w:ascii="宋体" w:hAnsi="宋体" w:eastAsia="宋体" w:cs="宋体"/>
          <w:b/>
          <w:bCs/>
          <w:kern w:val="2"/>
          <w:sz w:val="24"/>
          <w:szCs w:val="24"/>
          <w:lang w:val="en-US" w:eastAsia="zh-CN" w:bidi="ar"/>
        </w:rPr>
        <w:t>主动联系商务联系人</w:t>
      </w:r>
      <w:r>
        <w:rPr>
          <w:rFonts w:hint="eastAsia" w:ascii="宋体" w:hAnsi="宋体" w:eastAsia="宋体" w:cs="宋体"/>
          <w:kern w:val="2"/>
          <w:sz w:val="24"/>
          <w:szCs w:val="24"/>
          <w:lang w:val="en-US" w:eastAsia="zh-CN" w:bidi="ar"/>
        </w:rPr>
        <w:t>。</w:t>
      </w:r>
    </w:p>
    <w:p w14:paraId="1C6CD54C">
      <w:pPr>
        <w:pStyle w:val="45"/>
        <w:keepNext w:val="0"/>
        <w:keepLines w:val="0"/>
        <w:widowControl w:val="0"/>
        <w:suppressLineNumbers w:val="0"/>
        <w:autoSpaceDE w:val="0"/>
        <w:autoSpaceDN/>
        <w:spacing w:before="0" w:beforeAutospacing="0" w:after="0" w:afterAutospacing="0" w:line="360" w:lineRule="auto"/>
        <w:ind w:left="0" w:leftChars="0" w:right="0" w:firstLine="480" w:firstLineChars="200"/>
        <w:jc w:val="both"/>
        <w:rPr>
          <w:rFonts w:hint="eastAsia" w:ascii="宋体" w:hAnsi="Courier New" w:eastAsia="宋体" w:cs="宋体"/>
          <w:kern w:val="2"/>
          <w:sz w:val="21"/>
          <w:szCs w:val="21"/>
        </w:rPr>
      </w:pPr>
      <w:r>
        <w:rPr>
          <w:rFonts w:hint="eastAsia" w:ascii="宋体" w:hAnsi="宋体" w:eastAsia="宋体" w:cs="宋体"/>
          <w:kern w:val="2"/>
          <w:sz w:val="24"/>
          <w:szCs w:val="24"/>
          <w:lang w:val="en-US" w:eastAsia="zh-CN" w:bidi="ar"/>
        </w:rPr>
        <w:t>如资质审查未通过，请按审核意见修改后重新上传。请注意：应标截止时间后将无法再次上传或修改应标文件。</w:t>
      </w:r>
    </w:p>
    <w:p w14:paraId="05229B6B">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宋体" w:hAnsi="宋体" w:eastAsia="宋体" w:cs="宋体"/>
          <w:color w:val="000000"/>
          <w:sz w:val="24"/>
          <w:szCs w:val="24"/>
          <w:highlight w:val="none"/>
          <w:lang w:val="en-US" w:eastAsia="zh-CN"/>
        </w:rPr>
      </w:pPr>
      <w:r>
        <w:rPr>
          <w:rFonts w:hint="eastAsia" w:asciiTheme="minorEastAsia" w:hAnsiTheme="minorEastAsia" w:eastAsiaTheme="minorEastAsia" w:cstheme="minorEastAsia"/>
          <w:bCs/>
          <w:sz w:val="24"/>
          <w:szCs w:val="24"/>
        </w:rPr>
        <w:t>投标人应按资质文件格式要求组成</w:t>
      </w:r>
      <w:r>
        <w:rPr>
          <w:rFonts w:hint="eastAsia" w:asciiTheme="minorEastAsia" w:hAnsiTheme="minorEastAsia" w:eastAsiaTheme="minorEastAsia" w:cstheme="minorEastAsia"/>
          <w:bCs/>
          <w:sz w:val="24"/>
          <w:szCs w:val="24"/>
          <w:lang w:val="en-US" w:eastAsia="zh-CN"/>
        </w:rPr>
        <w:t>应标</w:t>
      </w:r>
      <w:r>
        <w:rPr>
          <w:rFonts w:hint="eastAsia" w:asciiTheme="minorEastAsia" w:hAnsiTheme="minorEastAsia" w:eastAsiaTheme="minorEastAsia" w:cstheme="minorEastAsia"/>
          <w:bCs/>
          <w:sz w:val="24"/>
          <w:szCs w:val="24"/>
        </w:rPr>
        <w:t>资质文件（对以下所要求的投标文件如有任何一项未实质性响应，将可能导致其投标文件被拒绝）</w:t>
      </w:r>
      <w:r>
        <w:rPr>
          <w:rFonts w:hint="eastAsia" w:asciiTheme="minorEastAsia" w:hAnsiTheme="minorEastAsia" w:eastAsiaTheme="minorEastAsia" w:cstheme="minorEastAsia"/>
          <w:b/>
          <w:bCs w:val="0"/>
          <w:sz w:val="24"/>
          <w:szCs w:val="24"/>
          <w:lang w:val="en-US" w:eastAsia="zh-CN"/>
        </w:rPr>
        <w:t>要求每页都需加盖公章</w:t>
      </w:r>
      <w:r>
        <w:rPr>
          <w:rFonts w:hint="eastAsia" w:ascii="宋体" w:hAnsi="宋体" w:cs="宋体"/>
          <w:color w:val="000000"/>
          <w:sz w:val="24"/>
          <w:szCs w:val="24"/>
          <w:highlight w:val="none"/>
          <w:lang w:val="en-US" w:eastAsia="zh-CN"/>
        </w:rPr>
        <w:t>：</w:t>
      </w:r>
    </w:p>
    <w:p w14:paraId="01F77271">
      <w:pPr>
        <w:pStyle w:val="21"/>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1）企业资质：公司简介；营业执照副本复印件；法人代表授权书原件；投标单位需提供近三年审计报告；法人代表或授权代表有效身份证；（盖有法人单位公章的复印件，包括正反两面）；投标单位三年内无违法及重大违规记录证明；投标认为需提供的其他资质证明；保证金缴纳证明；企业最近半年完税证明、信用证明材料（征信报告）；年度纳税信用评价信息（可从电子税务局查询截图，需加盖公章）；企业对外担保说明（写明贵单位对外有无对外担保和质押业务，需加盖公章）；</w:t>
      </w:r>
    </w:p>
    <w:p w14:paraId="16E39400">
      <w:pPr>
        <w:pStyle w:val="21"/>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（2）企业简介：PDF版企业简介；</w:t>
      </w:r>
    </w:p>
    <w:p w14:paraId="6CFA9D48">
      <w:pPr>
        <w:pStyle w:val="21"/>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（3）企业业绩：证明投标人满足投标资料表中列出的业绩要求的文件：近三年类似项目业绩及合同复印件（加盖公章，须有客户联系方式及联系人以供招标人核实确认）；</w:t>
      </w:r>
    </w:p>
    <w:p w14:paraId="59577AD2">
      <w:pPr>
        <w:pStyle w:val="21"/>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（4）其他：投标报名表、逃生缓降锁品牌授权书、现场踏勘表、详细的可行施工方案等。</w:t>
      </w:r>
    </w:p>
    <w:p w14:paraId="10E42FDC">
      <w:pPr>
        <w:pStyle w:val="21"/>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eastAsia" w:ascii="宋体" w:hAnsi="宋体" w:eastAsia="宋体" w:cs="宋体"/>
          <w:color w:val="000000"/>
          <w:sz w:val="24"/>
          <w:szCs w:val="24"/>
          <w:highlight w:val="none"/>
          <w:lang w:val="en-US" w:eastAsia="zh-CN"/>
        </w:rPr>
      </w:pPr>
      <w:r>
        <w:rPr>
          <w:rFonts w:hint="eastAsia" w:asciiTheme="minorEastAsia" w:hAnsiTheme="minorEastAsia" w:eastAsiaTheme="minorEastAsia" w:cstheme="minorEastAsia"/>
          <w:bCs/>
          <w:kern w:val="2"/>
          <w:sz w:val="24"/>
          <w:szCs w:val="24"/>
          <w:highlight w:val="none"/>
          <w:lang w:val="en-US" w:eastAsia="zh-CN" w:bidi="ar-SA"/>
        </w:rPr>
        <w:t>备注：提供上述资料均须加盖单位公章，以PDF的形式在规定时间内上传至重汽e采通内（未提供详细可行的施工方案不得进入商务标）。</w:t>
      </w:r>
    </w:p>
    <w:p w14:paraId="5B06CD58">
      <w:pPr>
        <w:keepNext w:val="0"/>
        <w:keepLines w:val="0"/>
        <w:pageBreakBefore w:val="0"/>
        <w:widowControl w:val="0"/>
        <w:kinsoku/>
        <w:wordWrap/>
        <w:overflowPunct/>
        <w:topLinePunct w:val="0"/>
        <w:autoSpaceDE/>
        <w:autoSpaceDN/>
        <w:bidi w:val="0"/>
        <w:spacing w:line="360" w:lineRule="auto"/>
        <w:ind w:firstLine="482" w:firstLineChars="200"/>
        <w:textAlignment w:val="auto"/>
        <w:rPr>
          <w:rFonts w:hint="eastAsia" w:asciiTheme="minorEastAsia" w:hAnsiTheme="minorEastAsia" w:eastAsiaTheme="minorEastAsia" w:cstheme="minorEastAsia"/>
          <w:bCs/>
          <w:kern w:val="2"/>
          <w:sz w:val="24"/>
          <w:szCs w:val="24"/>
          <w:lang w:val="en-US" w:eastAsia="zh-CN" w:bidi="ar-SA"/>
        </w:rPr>
      </w:pPr>
      <w:r>
        <w:rPr>
          <w:rFonts w:hint="eastAsia" w:asciiTheme="minorEastAsia" w:hAnsiTheme="minorEastAsia" w:eastAsiaTheme="minorEastAsia" w:cstheme="minorEastAsia"/>
          <w:b/>
          <w:bCs w:val="0"/>
          <w:kern w:val="2"/>
          <w:sz w:val="24"/>
          <w:szCs w:val="24"/>
          <w:lang w:val="en-US" w:eastAsia="zh-CN" w:bidi="ar-SA"/>
        </w:rPr>
        <w:t>以上内容合定扫描到资质文件当中。投标人提供的以上材料必须真实有效，任何一项的虚假将导致其应标文件被拒绝，请投标人确认中国重汽e采通系统中供应商信息完整、准确，因供应商信息不全或错误导致的报名不成功，由投标人自行承担</w:t>
      </w:r>
      <w:r>
        <w:rPr>
          <w:rFonts w:hint="eastAsia" w:asciiTheme="minorEastAsia" w:hAnsiTheme="minorEastAsia" w:eastAsiaTheme="minorEastAsia" w:cstheme="minorEastAsia"/>
          <w:bCs/>
          <w:kern w:val="2"/>
          <w:sz w:val="24"/>
          <w:szCs w:val="24"/>
          <w:lang w:val="en-US" w:eastAsia="zh-CN" w:bidi="ar-SA"/>
        </w:rPr>
        <w:t>。</w:t>
      </w:r>
    </w:p>
    <w:p w14:paraId="391D971A">
      <w:pPr>
        <w:pStyle w:val="151"/>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2" w:firstLineChars="200"/>
        <w:jc w:val="left"/>
        <w:textAlignment w:val="auto"/>
        <w:rPr>
          <w:rFonts w:hint="eastAsia" w:ascii="宋体" w:hAnsi="宋体" w:eastAsia="宋体" w:cs="宋体"/>
          <w:b/>
          <w:bCs/>
          <w:color w:val="000000"/>
          <w:kern w:val="2"/>
          <w:sz w:val="24"/>
          <w:szCs w:val="24"/>
          <w:highlight w:val="none"/>
          <w:lang w:val="en-US" w:eastAsia="zh-CN" w:bidi="ar-SA"/>
        </w:rPr>
      </w:pPr>
      <w:r>
        <w:rPr>
          <w:rFonts w:hint="eastAsia" w:ascii="宋体" w:hAnsi="宋体" w:cs="宋体"/>
          <w:b/>
          <w:bCs/>
          <w:color w:val="000000"/>
          <w:kern w:val="2"/>
          <w:sz w:val="24"/>
          <w:szCs w:val="24"/>
          <w:highlight w:val="none"/>
          <w:lang w:val="en-US" w:eastAsia="zh-CN" w:bidi="ar-SA"/>
        </w:rPr>
        <w:t>2.</w:t>
      </w:r>
      <w:r>
        <w:rPr>
          <w:rFonts w:hint="eastAsia" w:ascii="宋体" w:hAnsi="宋体" w:eastAsia="宋体" w:cs="宋体"/>
          <w:b/>
          <w:bCs/>
          <w:color w:val="000000"/>
          <w:kern w:val="2"/>
          <w:sz w:val="24"/>
          <w:szCs w:val="24"/>
          <w:highlight w:val="none"/>
          <w:lang w:val="en-US" w:eastAsia="zh-CN" w:bidi="ar-SA"/>
        </w:rPr>
        <w:t>投标</w:t>
      </w:r>
    </w:p>
    <w:p w14:paraId="06063258">
      <w:pPr>
        <w:pStyle w:val="151"/>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0" w:firstLineChars="200"/>
        <w:jc w:val="left"/>
        <w:textAlignment w:val="auto"/>
        <w:rPr>
          <w:rFonts w:hint="eastAsia" w:asciiTheme="minorEastAsia" w:hAnsiTheme="minorEastAsia" w:eastAsiaTheme="minorEastAsia" w:cstheme="minorEastAsia"/>
          <w:bCs/>
          <w:sz w:val="24"/>
          <w:szCs w:val="24"/>
          <w:lang w:val="en-US" w:eastAsia="zh-CN"/>
        </w:rPr>
      </w:pPr>
      <w:r>
        <w:rPr>
          <w:rFonts w:hint="eastAsia" w:asciiTheme="minorEastAsia" w:hAnsiTheme="minorEastAsia" w:eastAsiaTheme="minorEastAsia" w:cstheme="minorEastAsia"/>
          <w:bCs/>
          <w:sz w:val="24"/>
          <w:szCs w:val="24"/>
        </w:rPr>
        <w:t>投标人在重汽e采通网站上应标审批通过后需继续完成供应商投标，</w:t>
      </w:r>
      <w:r>
        <w:rPr>
          <w:rFonts w:hint="eastAsia" w:asciiTheme="minorEastAsia" w:hAnsiTheme="minorEastAsia" w:eastAsiaTheme="minorEastAsia" w:cstheme="minorEastAsia"/>
          <w:b/>
          <w:bCs/>
          <w:sz w:val="24"/>
          <w:szCs w:val="24"/>
        </w:rPr>
        <w:t>供应商需在投标截止时间前上传投标文件（电子版）至e采通网站投标</w:t>
      </w:r>
      <w:r>
        <w:rPr>
          <w:rFonts w:hint="eastAsia" w:asciiTheme="minorEastAsia" w:hAnsiTheme="minorEastAsia" w:eastAsiaTheme="minorEastAsia" w:cstheme="minorEastAsia"/>
          <w:bCs/>
          <w:sz w:val="24"/>
          <w:szCs w:val="24"/>
        </w:rPr>
        <w:t>，超过投标截止时间将视为参与失败。</w:t>
      </w:r>
      <w:r>
        <w:rPr>
          <w:rFonts w:hint="eastAsia" w:asciiTheme="minorEastAsia" w:hAnsiTheme="minorEastAsia" w:eastAsiaTheme="minorEastAsia" w:cstheme="minorEastAsia"/>
          <w:bCs/>
          <w:sz w:val="24"/>
          <w:szCs w:val="24"/>
          <w:lang w:val="en-US" w:eastAsia="zh-CN"/>
        </w:rPr>
        <w:t xml:space="preserve"> </w:t>
      </w:r>
    </w:p>
    <w:p w14:paraId="2DE510A0">
      <w:pPr>
        <w:pStyle w:val="151"/>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jc w:val="left"/>
        <w:textAlignment w:val="auto"/>
        <w:rPr>
          <w:rFonts w:hint="eastAsia" w:asciiTheme="minorEastAsia" w:hAnsiTheme="minorEastAsia" w:eastAsiaTheme="minorEastAsia" w:cstheme="minorEastAsia"/>
          <w:bCs/>
          <w:sz w:val="24"/>
          <w:szCs w:val="24"/>
          <w:highlight w:val="green"/>
        </w:rPr>
      </w:pPr>
      <w:r>
        <w:rPr>
          <w:rFonts w:hint="eastAsia" w:asciiTheme="minorEastAsia" w:hAnsiTheme="minorEastAsia" w:eastAsiaTheme="minorEastAsia" w:cstheme="minorEastAsia"/>
          <w:bCs/>
          <w:sz w:val="24"/>
          <w:szCs w:val="24"/>
        </w:rPr>
        <w:t>投标截止时间</w:t>
      </w:r>
      <w:r>
        <w:rPr>
          <w:rFonts w:hint="eastAsia" w:asciiTheme="minorEastAsia" w:hAnsiTheme="minorEastAsia" w:eastAsiaTheme="minorEastAsia" w:cstheme="minorEastAsia"/>
          <w:bCs/>
          <w:sz w:val="24"/>
          <w:szCs w:val="24"/>
          <w:highlight w:val="none"/>
          <w:lang w:eastAsia="zh-CN"/>
        </w:rPr>
        <w:t>：</w:t>
      </w:r>
      <w:r>
        <w:rPr>
          <w:rFonts w:hint="eastAsia" w:asciiTheme="minorEastAsia" w:hAnsiTheme="minorEastAsia" w:eastAsiaTheme="minorEastAsia" w:cstheme="minorEastAsia"/>
          <w:b/>
          <w:sz w:val="24"/>
          <w:szCs w:val="24"/>
          <w:highlight w:val="yellow"/>
        </w:rPr>
        <w:t>2025年</w:t>
      </w:r>
      <w:r>
        <w:rPr>
          <w:rFonts w:hint="eastAsia" w:asciiTheme="minorEastAsia" w:hAnsiTheme="minorEastAsia" w:eastAsiaTheme="minorEastAsia" w:cstheme="minorEastAsia"/>
          <w:b/>
          <w:sz w:val="24"/>
          <w:szCs w:val="24"/>
          <w:highlight w:val="yellow"/>
          <w:lang w:val="en-US" w:eastAsia="zh-CN"/>
        </w:rPr>
        <w:t>12</w:t>
      </w:r>
      <w:r>
        <w:rPr>
          <w:rFonts w:hint="eastAsia" w:asciiTheme="minorEastAsia" w:hAnsiTheme="minorEastAsia" w:eastAsiaTheme="minorEastAsia" w:cstheme="minorEastAsia"/>
          <w:b/>
          <w:sz w:val="24"/>
          <w:szCs w:val="24"/>
          <w:highlight w:val="yellow"/>
        </w:rPr>
        <w:t>月</w:t>
      </w:r>
      <w:r>
        <w:rPr>
          <w:rFonts w:hint="eastAsia" w:asciiTheme="minorEastAsia" w:hAnsiTheme="minorEastAsia" w:eastAsiaTheme="minorEastAsia" w:cstheme="minorEastAsia"/>
          <w:b/>
          <w:sz w:val="24"/>
          <w:szCs w:val="24"/>
          <w:highlight w:val="yellow"/>
          <w:lang w:val="en-US" w:eastAsia="zh-CN"/>
        </w:rPr>
        <w:t>27</w:t>
      </w:r>
      <w:r>
        <w:rPr>
          <w:rFonts w:hint="eastAsia" w:asciiTheme="minorEastAsia" w:hAnsiTheme="minorEastAsia" w:eastAsiaTheme="minorEastAsia" w:cstheme="minorEastAsia"/>
          <w:b/>
          <w:sz w:val="24"/>
          <w:szCs w:val="24"/>
          <w:highlight w:val="yellow"/>
        </w:rPr>
        <w:t>日</w:t>
      </w:r>
      <w:r>
        <w:rPr>
          <w:rFonts w:hint="eastAsia" w:asciiTheme="minorEastAsia" w:hAnsiTheme="minorEastAsia" w:eastAsiaTheme="minorEastAsia" w:cstheme="minorEastAsia"/>
          <w:b/>
          <w:sz w:val="24"/>
          <w:szCs w:val="24"/>
          <w:highlight w:val="yellow"/>
          <w:lang w:val="en-US" w:eastAsia="zh-CN"/>
        </w:rPr>
        <w:t>9</w:t>
      </w:r>
      <w:r>
        <w:rPr>
          <w:rFonts w:hint="eastAsia" w:asciiTheme="minorEastAsia" w:hAnsiTheme="minorEastAsia" w:eastAsiaTheme="minorEastAsia" w:cstheme="minorEastAsia"/>
          <w:b/>
          <w:sz w:val="24"/>
          <w:szCs w:val="24"/>
          <w:highlight w:val="yellow"/>
        </w:rPr>
        <w:t>:</w:t>
      </w:r>
      <w:r>
        <w:rPr>
          <w:rFonts w:hint="eastAsia" w:asciiTheme="minorEastAsia" w:hAnsiTheme="minorEastAsia" w:eastAsiaTheme="minorEastAsia" w:cstheme="minorEastAsia"/>
          <w:b/>
          <w:sz w:val="24"/>
          <w:szCs w:val="24"/>
          <w:highlight w:val="yellow"/>
          <w:lang w:val="en-US" w:eastAsia="zh-CN"/>
        </w:rPr>
        <w:t>0</w:t>
      </w:r>
      <w:r>
        <w:rPr>
          <w:rFonts w:hint="eastAsia" w:asciiTheme="minorEastAsia" w:hAnsiTheme="minorEastAsia" w:eastAsiaTheme="minorEastAsia" w:cstheme="minorEastAsia"/>
          <w:b/>
          <w:sz w:val="24"/>
          <w:szCs w:val="24"/>
          <w:highlight w:val="yellow"/>
        </w:rPr>
        <w:t>0</w:t>
      </w:r>
    </w:p>
    <w:p w14:paraId="023E2FA8">
      <w:pPr>
        <w:tabs>
          <w:tab w:val="left" w:pos="1050"/>
          <w:tab w:val="left" w:pos="1470"/>
        </w:tabs>
        <w:autoSpaceDE w:val="0"/>
        <w:autoSpaceDN w:val="0"/>
        <w:adjustRightInd w:val="0"/>
        <w:snapToGrid w:val="0"/>
        <w:spacing w:line="360" w:lineRule="auto"/>
        <w:jc w:val="left"/>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五、开标</w:t>
      </w:r>
    </w:p>
    <w:p w14:paraId="287316C8">
      <w:pPr>
        <w:pStyle w:val="151"/>
        <w:numPr>
          <w:ilvl w:val="0"/>
          <w:numId w:val="0"/>
        </w:numPr>
        <w:adjustRightInd w:val="0"/>
        <w:snapToGrid w:val="0"/>
        <w:spacing w:line="360" w:lineRule="auto"/>
        <w:ind w:leftChars="0"/>
        <w:rPr>
          <w:rFonts w:hint="eastAsia" w:asciiTheme="minorEastAsia" w:hAnsiTheme="minorEastAsia" w:eastAsiaTheme="minorEastAsia" w:cstheme="minorEastAsia"/>
          <w:b/>
          <w:sz w:val="24"/>
          <w:szCs w:val="24"/>
          <w:lang w:val="en-US" w:eastAsia="zh-CN"/>
        </w:rPr>
      </w:pPr>
      <w:r>
        <w:rPr>
          <w:rFonts w:hint="eastAsia" w:asciiTheme="minorEastAsia" w:hAnsiTheme="minorEastAsia" w:eastAsiaTheme="minorEastAsia" w:cstheme="minorEastAsia"/>
          <w:bCs/>
          <w:sz w:val="24"/>
          <w:szCs w:val="24"/>
          <w:lang w:val="en-US" w:eastAsia="zh-CN"/>
        </w:rPr>
        <w:t>1.</w:t>
      </w:r>
      <w:r>
        <w:rPr>
          <w:rFonts w:hint="eastAsia" w:asciiTheme="minorEastAsia" w:hAnsiTheme="minorEastAsia" w:eastAsiaTheme="minorEastAsia" w:cstheme="minorEastAsia"/>
          <w:bCs/>
          <w:sz w:val="24"/>
          <w:szCs w:val="24"/>
        </w:rPr>
        <w:t>开标时间：</w:t>
      </w:r>
      <w:r>
        <w:rPr>
          <w:rFonts w:hint="eastAsia" w:asciiTheme="minorEastAsia" w:hAnsiTheme="minorEastAsia" w:eastAsiaTheme="minorEastAsia" w:cstheme="minorEastAsia"/>
          <w:b/>
          <w:sz w:val="24"/>
          <w:szCs w:val="24"/>
          <w:highlight w:val="yellow"/>
        </w:rPr>
        <w:t>2025年</w:t>
      </w:r>
      <w:r>
        <w:rPr>
          <w:rFonts w:hint="eastAsia" w:asciiTheme="minorEastAsia" w:hAnsiTheme="minorEastAsia" w:eastAsiaTheme="minorEastAsia" w:cstheme="minorEastAsia"/>
          <w:b/>
          <w:sz w:val="24"/>
          <w:szCs w:val="24"/>
          <w:highlight w:val="yellow"/>
          <w:lang w:val="en-US" w:eastAsia="zh-CN"/>
        </w:rPr>
        <w:t>12</w:t>
      </w:r>
      <w:r>
        <w:rPr>
          <w:rFonts w:hint="eastAsia" w:asciiTheme="minorEastAsia" w:hAnsiTheme="minorEastAsia" w:eastAsiaTheme="minorEastAsia" w:cstheme="minorEastAsia"/>
          <w:b/>
          <w:sz w:val="24"/>
          <w:szCs w:val="24"/>
          <w:highlight w:val="yellow"/>
        </w:rPr>
        <w:t>月</w:t>
      </w:r>
      <w:r>
        <w:rPr>
          <w:rFonts w:hint="eastAsia" w:asciiTheme="minorEastAsia" w:hAnsiTheme="minorEastAsia" w:eastAsiaTheme="minorEastAsia" w:cstheme="minorEastAsia"/>
          <w:b/>
          <w:sz w:val="24"/>
          <w:szCs w:val="24"/>
          <w:highlight w:val="yellow"/>
          <w:lang w:val="en-US" w:eastAsia="zh-CN"/>
        </w:rPr>
        <w:t>29</w:t>
      </w:r>
      <w:r>
        <w:rPr>
          <w:rFonts w:hint="eastAsia" w:asciiTheme="minorEastAsia" w:hAnsiTheme="minorEastAsia" w:eastAsiaTheme="minorEastAsia" w:cstheme="minorEastAsia"/>
          <w:b/>
          <w:sz w:val="24"/>
          <w:szCs w:val="24"/>
          <w:highlight w:val="yellow"/>
        </w:rPr>
        <w:t>日</w:t>
      </w:r>
      <w:r>
        <w:rPr>
          <w:rFonts w:hint="eastAsia" w:asciiTheme="minorEastAsia" w:hAnsiTheme="minorEastAsia" w:eastAsiaTheme="minorEastAsia" w:cstheme="minorEastAsia"/>
          <w:b/>
          <w:sz w:val="24"/>
          <w:szCs w:val="24"/>
          <w:highlight w:val="yellow"/>
          <w:lang w:val="en-US" w:eastAsia="zh-CN"/>
        </w:rPr>
        <w:t>9</w:t>
      </w:r>
      <w:r>
        <w:rPr>
          <w:rFonts w:hint="eastAsia" w:asciiTheme="minorEastAsia" w:hAnsiTheme="minorEastAsia" w:eastAsiaTheme="minorEastAsia" w:cstheme="minorEastAsia"/>
          <w:b/>
          <w:sz w:val="24"/>
          <w:szCs w:val="24"/>
          <w:highlight w:val="yellow"/>
        </w:rPr>
        <w:t>:</w:t>
      </w:r>
      <w:r>
        <w:rPr>
          <w:rFonts w:hint="eastAsia" w:asciiTheme="minorEastAsia" w:hAnsiTheme="minorEastAsia" w:eastAsiaTheme="minorEastAsia" w:cstheme="minorEastAsia"/>
          <w:b/>
          <w:sz w:val="24"/>
          <w:szCs w:val="24"/>
          <w:highlight w:val="yellow"/>
          <w:lang w:val="en-US" w:eastAsia="zh-CN"/>
        </w:rPr>
        <w:t>0</w:t>
      </w:r>
      <w:r>
        <w:rPr>
          <w:rFonts w:hint="eastAsia" w:asciiTheme="minorEastAsia" w:hAnsiTheme="minorEastAsia" w:eastAsiaTheme="minorEastAsia" w:cstheme="minorEastAsia"/>
          <w:b/>
          <w:sz w:val="24"/>
          <w:szCs w:val="24"/>
          <w:highlight w:val="yellow"/>
        </w:rPr>
        <w:t>0时</w:t>
      </w:r>
      <w:r>
        <w:rPr>
          <w:rFonts w:hint="eastAsia" w:asciiTheme="minorEastAsia" w:hAnsiTheme="minorEastAsia" w:eastAsiaTheme="minorEastAsia" w:cstheme="minorEastAsia"/>
          <w:b/>
          <w:sz w:val="24"/>
          <w:szCs w:val="24"/>
        </w:rPr>
        <w:t>。</w:t>
      </w:r>
      <w:r>
        <w:rPr>
          <w:rFonts w:hint="eastAsia" w:asciiTheme="minorEastAsia" w:hAnsiTheme="minorEastAsia" w:eastAsiaTheme="minorEastAsia" w:cstheme="minorEastAsia"/>
          <w:b/>
          <w:sz w:val="24"/>
          <w:szCs w:val="24"/>
          <w:lang w:val="en-US" w:eastAsia="zh-CN"/>
        </w:rPr>
        <w:t>待定(投标完成后联系商务联系人，发送投标保证金缴纳凭证获取会议链接号)）</w:t>
      </w:r>
    </w:p>
    <w:p w14:paraId="0CE8FDC8">
      <w:pPr>
        <w:pStyle w:val="151"/>
        <w:numPr>
          <w:ilvl w:val="0"/>
          <w:numId w:val="0"/>
        </w:numPr>
        <w:adjustRightInd w:val="0"/>
        <w:snapToGrid w:val="0"/>
        <w:spacing w:line="360" w:lineRule="auto"/>
        <w:ind w:leftChars="0"/>
        <w:rPr>
          <w:rFonts w:hint="default" w:asciiTheme="minorEastAsia" w:hAnsiTheme="minorEastAsia" w:eastAsiaTheme="minorEastAsia" w:cstheme="minorEastAsia"/>
          <w:b/>
          <w:sz w:val="24"/>
          <w:szCs w:val="24"/>
          <w:lang w:val="en-US" w:eastAsia="zh-CN"/>
        </w:rPr>
      </w:pPr>
      <w:r>
        <w:rPr>
          <w:rFonts w:hint="eastAsia" w:asciiTheme="minorEastAsia" w:hAnsiTheme="minorEastAsia" w:eastAsiaTheme="minorEastAsia" w:cstheme="minorEastAsia"/>
          <w:b w:val="0"/>
          <w:bCs/>
          <w:sz w:val="24"/>
          <w:szCs w:val="24"/>
          <w:lang w:val="en-US" w:eastAsia="zh-CN"/>
        </w:rPr>
        <w:t>2.开标地点：线上会议</w:t>
      </w:r>
    </w:p>
    <w:p w14:paraId="18593B7F">
      <w:pPr>
        <w:pStyle w:val="151"/>
        <w:numPr>
          <w:ilvl w:val="0"/>
          <w:numId w:val="0"/>
        </w:numPr>
        <w:adjustRightInd w:val="0"/>
        <w:snapToGrid w:val="0"/>
        <w:spacing w:line="360" w:lineRule="auto"/>
        <w:ind w:leftChars="0"/>
        <w:rPr>
          <w:rFonts w:hint="default"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3.商务</w:t>
      </w:r>
      <w:r>
        <w:rPr>
          <w:rFonts w:hint="eastAsia" w:asciiTheme="minorEastAsia" w:hAnsiTheme="minorEastAsia" w:eastAsiaTheme="minorEastAsia" w:cstheme="minorEastAsia"/>
          <w:sz w:val="24"/>
          <w:szCs w:val="24"/>
        </w:rPr>
        <w:t>联系人：</w:t>
      </w:r>
      <w:r>
        <w:rPr>
          <w:rFonts w:hint="eastAsia" w:asciiTheme="minorEastAsia" w:hAnsiTheme="minorEastAsia" w:eastAsiaTheme="minorEastAsia" w:cstheme="minorEastAsia"/>
          <w:sz w:val="24"/>
          <w:szCs w:val="24"/>
          <w:highlight w:val="none"/>
          <w:lang w:val="en-US" w:eastAsia="zh-CN"/>
        </w:rPr>
        <w:t>卜老师 15542226228 bujianfeng@sinotruk.com</w:t>
      </w:r>
    </w:p>
    <w:p w14:paraId="439DE341">
      <w:pPr>
        <w:pStyle w:val="151"/>
        <w:numPr>
          <w:ilvl w:val="0"/>
          <w:numId w:val="0"/>
        </w:numPr>
        <w:adjustRightInd w:val="0"/>
        <w:snapToGrid w:val="0"/>
        <w:spacing w:line="360" w:lineRule="auto"/>
        <w:ind w:firstLine="240" w:firstLineChars="100"/>
        <w:rPr>
          <w:rFonts w:hint="default"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lang w:val="en-US" w:eastAsia="zh-CN"/>
        </w:rPr>
        <w:t>技术联系人：</w:t>
      </w:r>
      <w:r>
        <w:rPr>
          <w:rFonts w:hint="eastAsia" w:asciiTheme="minorEastAsia" w:hAnsiTheme="minorEastAsia" w:eastAsiaTheme="minorEastAsia" w:cstheme="minorEastAsia"/>
          <w:sz w:val="24"/>
          <w:szCs w:val="24"/>
          <w:highlight w:val="none"/>
          <w:lang w:val="en-US" w:eastAsia="zh-CN"/>
        </w:rPr>
        <w:t>卜老师 15542226228 bujianfeng@sinotruk.com</w:t>
      </w:r>
    </w:p>
    <w:p w14:paraId="303FC02B">
      <w:pPr>
        <w:adjustRightInd w:val="0"/>
        <w:snapToGrid w:val="0"/>
        <w:spacing w:line="360" w:lineRule="auto"/>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六、评标办法</w:t>
      </w:r>
    </w:p>
    <w:p w14:paraId="50A39A6B">
      <w:pPr>
        <w:keepNext w:val="0"/>
        <w:keepLines w:val="0"/>
        <w:pageBreakBefore w:val="0"/>
        <w:widowControl w:val="0"/>
        <w:tabs>
          <w:tab w:val="left" w:pos="1134"/>
        </w:tabs>
        <w:kinsoku/>
        <w:wordWrap/>
        <w:overflowPunct/>
        <w:topLinePunct w:val="0"/>
        <w:autoSpaceDE/>
        <w:autoSpaceDN/>
        <w:bidi w:val="0"/>
        <w:adjustRightInd/>
        <w:snapToGrid w:val="0"/>
        <w:spacing w:line="360" w:lineRule="auto"/>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评标由依照有关法律、法规组建的评标委员会负责。评标委员会由招标人或其委托的招标代理机构熟悉相关业务的代表，以及有关技术、经济等方面的专家组成。评标委员会成员人数为三人以上单数。其中，技术、经济等方面的专家不少于成员总数的三分之二。评标专家小组负责参照评分标准，按照国家招投标有关规定，本着公平、公正、公开、有序的原则，在最大限度地满足招标文件实质性要求的前提下，按照合理最低价的原则选择中标</w:t>
      </w:r>
      <w:r>
        <w:rPr>
          <w:rFonts w:hint="eastAsia" w:asciiTheme="minorEastAsia" w:hAnsiTheme="minorEastAsia" w:eastAsiaTheme="minorEastAsia" w:cstheme="minorEastAsia"/>
          <w:sz w:val="24"/>
          <w:szCs w:val="24"/>
          <w:lang w:val="en-US" w:eastAsia="zh-CN"/>
        </w:rPr>
        <w:t>方</w:t>
      </w:r>
      <w:r>
        <w:rPr>
          <w:rFonts w:hint="eastAsia" w:asciiTheme="minorEastAsia" w:hAnsiTheme="minorEastAsia" w:eastAsiaTheme="minorEastAsia" w:cstheme="minorEastAsia"/>
          <w:sz w:val="24"/>
          <w:szCs w:val="24"/>
        </w:rPr>
        <w:t>。</w:t>
      </w:r>
    </w:p>
    <w:p w14:paraId="76148A0C">
      <w:pPr>
        <w:tabs>
          <w:tab w:val="left" w:pos="1134"/>
        </w:tabs>
        <w:snapToGrid w:val="0"/>
        <w:spacing w:line="360" w:lineRule="auto"/>
        <w:rPr>
          <w:rFonts w:asciiTheme="majorEastAsia" w:hAnsiTheme="majorEastAsia" w:eastAsiaTheme="majorEastAsia"/>
          <w:sz w:val="24"/>
          <w:szCs w:val="24"/>
        </w:rPr>
      </w:pPr>
      <w:r>
        <w:rPr>
          <w:rFonts w:hint="eastAsia" w:asciiTheme="minorEastAsia" w:hAnsiTheme="minorEastAsia" w:eastAsiaTheme="minorEastAsia" w:cstheme="minorEastAsia"/>
          <w:b/>
          <w:sz w:val="24"/>
          <w:szCs w:val="24"/>
        </w:rPr>
        <w:t>七、</w:t>
      </w:r>
      <w:r>
        <w:rPr>
          <w:rFonts w:hint="eastAsia" w:asciiTheme="majorEastAsia" w:hAnsiTheme="majorEastAsia" w:eastAsiaTheme="majorEastAsia"/>
          <w:b/>
          <w:sz w:val="24"/>
          <w:szCs w:val="24"/>
        </w:rPr>
        <w:t>技术要求</w:t>
      </w:r>
    </w:p>
    <w:p w14:paraId="1DB345D9">
      <w:pPr>
        <w:spacing w:line="360" w:lineRule="auto"/>
        <w:ind w:firstLine="482" w:firstLineChars="200"/>
        <w:rPr>
          <w:rFonts w:hint="default" w:asciiTheme="minorEastAsia" w:hAnsiTheme="minorEastAsia" w:eastAsiaTheme="minorEastAsia" w:cstheme="minorEastAsia"/>
          <w:b/>
          <w:sz w:val="24"/>
          <w:szCs w:val="24"/>
          <w:lang w:val="en-US" w:eastAsia="zh-CN"/>
        </w:rPr>
      </w:pPr>
      <w:r>
        <w:rPr>
          <w:rFonts w:hint="eastAsia" w:ascii="宋体" w:hAnsi="宋体"/>
          <w:b/>
          <w:bCs/>
          <w:color w:val="000000"/>
          <w:sz w:val="24"/>
          <w:szCs w:val="24"/>
          <w:lang w:val="en-US" w:eastAsia="zh-CN" w:bidi="zh-CN"/>
        </w:rPr>
        <w:t>技术要求详见</w:t>
      </w:r>
      <w:r>
        <w:rPr>
          <w:rFonts w:hint="eastAsia" w:ascii="宋体" w:hAnsi="宋体"/>
          <w:b/>
          <w:bCs/>
          <w:color w:val="000000"/>
          <w:sz w:val="24"/>
          <w:szCs w:val="24"/>
          <w:highlight w:val="none"/>
          <w:lang w:val="en-US" w:eastAsia="zh-CN" w:bidi="zh-CN"/>
        </w:rPr>
        <w:t>“技术文件”</w:t>
      </w:r>
    </w:p>
    <w:p w14:paraId="53E9E309">
      <w:pPr>
        <w:tabs>
          <w:tab w:val="left" w:pos="454"/>
        </w:tabs>
        <w:snapToGrid w:val="0"/>
        <w:spacing w:line="360" w:lineRule="auto"/>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lang w:val="en-US" w:eastAsia="zh-CN"/>
        </w:rPr>
        <w:t>八</w:t>
      </w:r>
      <w:r>
        <w:rPr>
          <w:rFonts w:hint="eastAsia" w:asciiTheme="minorEastAsia" w:hAnsiTheme="minorEastAsia" w:eastAsiaTheme="minorEastAsia" w:cstheme="minorEastAsia"/>
          <w:b/>
          <w:sz w:val="24"/>
          <w:szCs w:val="24"/>
        </w:rPr>
        <w:t>、投标文件</w:t>
      </w:r>
    </w:p>
    <w:p w14:paraId="11BBF338">
      <w:pPr>
        <w:tabs>
          <w:tab w:val="left" w:pos="454"/>
        </w:tabs>
        <w:snapToGrid w:val="0"/>
        <w:spacing w:line="360" w:lineRule="auto"/>
        <w:ind w:firstLine="480" w:firstLineChars="200"/>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sz w:val="24"/>
          <w:szCs w:val="24"/>
        </w:rPr>
        <w:t>投标方的投标文件由资格证明文件、商务标书构成。</w:t>
      </w:r>
      <w:r>
        <w:rPr>
          <w:rFonts w:hint="eastAsia" w:asciiTheme="minorEastAsia" w:hAnsiTheme="minorEastAsia" w:eastAsiaTheme="minorEastAsia" w:cstheme="minorEastAsia"/>
          <w:b/>
          <w:sz w:val="24"/>
          <w:szCs w:val="24"/>
        </w:rPr>
        <w:t>投标人需在投标截止时间前上传完</w:t>
      </w:r>
      <w:r>
        <w:rPr>
          <w:rFonts w:hint="eastAsia" w:asciiTheme="minorEastAsia" w:hAnsiTheme="minorEastAsia" w:eastAsiaTheme="minorEastAsia" w:cstheme="minorEastAsia"/>
          <w:b/>
          <w:bCs/>
          <w:sz w:val="24"/>
          <w:szCs w:val="24"/>
        </w:rPr>
        <w:t>整的投标文件（电子版）至e采通网站投标。</w:t>
      </w:r>
    </w:p>
    <w:p w14:paraId="525A03C0">
      <w:pPr>
        <w:pStyle w:val="151"/>
        <w:numPr>
          <w:ilvl w:val="0"/>
          <w:numId w:val="4"/>
        </w:numPr>
        <w:tabs>
          <w:tab w:val="left" w:pos="454"/>
        </w:tabs>
        <w:adjustRightInd w:val="0"/>
        <w:snapToGrid w:val="0"/>
        <w:spacing w:line="360" w:lineRule="auto"/>
        <w:ind w:left="420" w:firstLineChars="0"/>
        <w:jc w:val="left"/>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b/>
          <w:bCs/>
          <w:sz w:val="24"/>
          <w:szCs w:val="24"/>
          <w:highlight w:val="none"/>
        </w:rPr>
        <w:t>资格证明文件</w:t>
      </w:r>
      <w:r>
        <w:rPr>
          <w:rFonts w:hint="eastAsia" w:asciiTheme="minorEastAsia" w:hAnsiTheme="minorEastAsia" w:eastAsiaTheme="minorEastAsia" w:cstheme="minorEastAsia"/>
          <w:sz w:val="24"/>
          <w:szCs w:val="24"/>
          <w:highlight w:val="none"/>
        </w:rPr>
        <w:t>包括（以下文件均需加盖公章）：</w:t>
      </w:r>
    </w:p>
    <w:p w14:paraId="5FDF8E69">
      <w:pPr>
        <w:pStyle w:val="26"/>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default"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1、资质文件</w:t>
      </w:r>
    </w:p>
    <w:p w14:paraId="39CC5A44">
      <w:pPr>
        <w:pStyle w:val="26"/>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default"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（1）公司简介；</w:t>
      </w:r>
    </w:p>
    <w:p w14:paraId="075AAAF9">
      <w:pPr>
        <w:pStyle w:val="26"/>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default"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（2）营业执照副本复印件；</w:t>
      </w:r>
    </w:p>
    <w:p w14:paraId="5BBFF1F1">
      <w:pPr>
        <w:pStyle w:val="26"/>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default"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（3）法人代表授权书原件；</w:t>
      </w:r>
    </w:p>
    <w:p w14:paraId="51095E58">
      <w:pPr>
        <w:pStyle w:val="26"/>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（4）投标单位需提供近三年审计报告；</w:t>
      </w:r>
    </w:p>
    <w:p w14:paraId="42FD8E80">
      <w:pPr>
        <w:pStyle w:val="26"/>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default"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（5）法人代表或授权代表有效身份证；（盖有法人单位公章的复印件，包括正反两面）</w:t>
      </w:r>
    </w:p>
    <w:p w14:paraId="172A3360">
      <w:pPr>
        <w:pStyle w:val="26"/>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（5）投标单位类似项目案例介绍，与本次项目相关或类似的合同扫描件（需与技术标提供的合同扫描件一致）；</w:t>
      </w:r>
    </w:p>
    <w:p w14:paraId="646CA5FB">
      <w:pPr>
        <w:pStyle w:val="26"/>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（6）投标单位三年内无违法及重大违规记录证明；</w:t>
      </w:r>
    </w:p>
    <w:p w14:paraId="18DC7F5C">
      <w:pPr>
        <w:pStyle w:val="26"/>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（7）投标认为需提供的其他资质证明；</w:t>
      </w:r>
    </w:p>
    <w:p w14:paraId="75B89FBD">
      <w:pPr>
        <w:pStyle w:val="26"/>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（8）企业最近半年完税证明、信用证明材料（征信报告）；</w:t>
      </w:r>
    </w:p>
    <w:p w14:paraId="1A6BB283">
      <w:pPr>
        <w:pStyle w:val="26"/>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（9）年度纳税信用评价信息（可从电子税务局查询截图，需加盖公章）；</w:t>
      </w:r>
    </w:p>
    <w:p w14:paraId="21B0F14F">
      <w:pPr>
        <w:pStyle w:val="26"/>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（10）企业对外担保说明（写明贵单位对外有无对外担保和质押业务，需加盖公章）；</w:t>
      </w:r>
    </w:p>
    <w:p w14:paraId="356DC9E1">
      <w:pPr>
        <w:pStyle w:val="26"/>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default"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（11）现场踏勘表。</w:t>
      </w:r>
    </w:p>
    <w:p w14:paraId="38534D73">
      <w:pPr>
        <w:pStyle w:val="26"/>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default"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(12)投标保证金缴纳凭证（应标时不做要求，投标时需随资质文件一同上传）。</w:t>
      </w:r>
    </w:p>
    <w:p w14:paraId="358CF421">
      <w:pPr>
        <w:pStyle w:val="26"/>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default"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2、技术标文件</w:t>
      </w:r>
    </w:p>
    <w:p w14:paraId="00A64C54">
      <w:pPr>
        <w:pStyle w:val="26"/>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（1）技术规格；</w:t>
      </w:r>
    </w:p>
    <w:p w14:paraId="31D5ECAC">
      <w:pPr>
        <w:pStyle w:val="26"/>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（2）项目施工方案；</w:t>
      </w:r>
    </w:p>
    <w:p w14:paraId="682D891A">
      <w:pPr>
        <w:pStyle w:val="26"/>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（3）相关条款偏离表；</w:t>
      </w:r>
    </w:p>
    <w:p w14:paraId="7823A701">
      <w:pPr>
        <w:pStyle w:val="26"/>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（4）综合说明；</w:t>
      </w:r>
    </w:p>
    <w:p w14:paraId="6AE2D46C">
      <w:pPr>
        <w:pStyle w:val="26"/>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（5）服务承诺；</w:t>
      </w:r>
    </w:p>
    <w:p w14:paraId="58196F81">
      <w:pPr>
        <w:pStyle w:val="26"/>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（6）投标单位认为其他需要提供的材料。</w:t>
      </w:r>
    </w:p>
    <w:p w14:paraId="28487276">
      <w:pPr>
        <w:pStyle w:val="26"/>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default"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3、商务标文件</w:t>
      </w:r>
    </w:p>
    <w:p w14:paraId="0CB09C8A">
      <w:pPr>
        <w:pStyle w:val="26"/>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（1）投标函；</w:t>
      </w:r>
    </w:p>
    <w:p w14:paraId="47366199">
      <w:pPr>
        <w:pStyle w:val="26"/>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（2）开标一览表；</w:t>
      </w:r>
    </w:p>
    <w:p w14:paraId="105D4DE6">
      <w:pPr>
        <w:pStyle w:val="26"/>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（3）分项报价表；</w:t>
      </w:r>
    </w:p>
    <w:p w14:paraId="5AC825B9">
      <w:pPr>
        <w:pStyle w:val="26"/>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（4）服务承诺函、质量承诺函；</w:t>
      </w:r>
    </w:p>
    <w:p w14:paraId="62C45B2F">
      <w:pPr>
        <w:pStyle w:val="26"/>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（5）商务条款偏离表；</w:t>
      </w:r>
    </w:p>
    <w:p w14:paraId="1B79BBE5">
      <w:pPr>
        <w:pStyle w:val="26"/>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default"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（6）其他需要说明的事项。</w:t>
      </w:r>
    </w:p>
    <w:p w14:paraId="22E389DD">
      <w:pPr>
        <w:pStyle w:val="26"/>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备注：提供上述资料均须加盖单位公章，扫描后上传e采通系统中。</w:t>
      </w:r>
    </w:p>
    <w:p w14:paraId="66504422">
      <w:pPr>
        <w:pStyle w:val="26"/>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4、其他</w:t>
      </w:r>
    </w:p>
    <w:p w14:paraId="0B0F07C8">
      <w:pPr>
        <w:pStyle w:val="26"/>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default"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（1）</w:t>
      </w:r>
      <w:r>
        <w:rPr>
          <w:rFonts w:hint="default" w:asciiTheme="minorEastAsia" w:hAnsiTheme="minorEastAsia" w:eastAsiaTheme="minorEastAsia" w:cstheme="minorEastAsia"/>
          <w:kern w:val="2"/>
          <w:sz w:val="24"/>
          <w:szCs w:val="24"/>
          <w:lang w:val="en-US" w:eastAsia="zh-CN" w:bidi="ar-SA"/>
        </w:rPr>
        <w:t>投标人应与招标人指派的答疑人员充分沟通，理解认可并接受相关技术规范及服务要求；</w:t>
      </w:r>
    </w:p>
    <w:p w14:paraId="2BCA8D8C">
      <w:pPr>
        <w:pStyle w:val="26"/>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default"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（2）</w:t>
      </w:r>
      <w:r>
        <w:rPr>
          <w:rFonts w:hint="default" w:asciiTheme="minorEastAsia" w:hAnsiTheme="minorEastAsia" w:eastAsiaTheme="minorEastAsia" w:cstheme="minorEastAsia"/>
          <w:kern w:val="2"/>
          <w:sz w:val="24"/>
          <w:szCs w:val="24"/>
          <w:lang w:val="en-US" w:eastAsia="zh-CN" w:bidi="ar-SA"/>
        </w:rPr>
        <w:t>投标人可免费提供的、包含但不限于招标人所要求的其他相关服务内容，在“开标一览表”中一并说明</w:t>
      </w:r>
      <w:r>
        <w:rPr>
          <w:rFonts w:hint="eastAsia" w:asciiTheme="minorEastAsia" w:hAnsiTheme="minorEastAsia" w:eastAsiaTheme="minorEastAsia" w:cstheme="minorEastAsia"/>
          <w:kern w:val="2"/>
          <w:sz w:val="24"/>
          <w:szCs w:val="24"/>
          <w:lang w:val="en-US" w:eastAsia="zh-CN" w:bidi="ar-SA"/>
        </w:rPr>
        <w:t>；</w:t>
      </w:r>
    </w:p>
    <w:p w14:paraId="0388396C">
      <w:pPr>
        <w:pStyle w:val="26"/>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（3）要求招标人或相关合同签订单位提供的配合，在标书文件中说明；</w:t>
      </w:r>
    </w:p>
    <w:p w14:paraId="15666A36">
      <w:pPr>
        <w:pStyle w:val="26"/>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default"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（4）投标人须认可招标人由于招标人上级集团公司政策变化引起的合同签订前终止项目的要求。如投标人不认可、不接受，则投标人在“相关条款偏离表（含商务偏离及技术偏离）”中注明“不接受”字。</w:t>
      </w:r>
    </w:p>
    <w:p w14:paraId="5A405031">
      <w:pPr>
        <w:tabs>
          <w:tab w:val="left" w:pos="454"/>
        </w:tabs>
        <w:snapToGrid w:val="0"/>
        <w:spacing w:line="360" w:lineRule="auto"/>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九、付款方式</w:t>
      </w:r>
    </w:p>
    <w:p w14:paraId="0F962BF0">
      <w:pPr>
        <w:pStyle w:val="26"/>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⑴本次招标为公开招标，报价应为：</w:t>
      </w:r>
    </w:p>
    <w:p w14:paraId="191654E4">
      <w:pPr>
        <w:pStyle w:val="26"/>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经与招标人或其指派的答疑人员充分沟通确认基础上，由投标人在满足招标人所提出的、与本项目所有相关环节有关的所有费用；</w:t>
      </w:r>
    </w:p>
    <w:p w14:paraId="1BC3FE32">
      <w:pPr>
        <w:pStyle w:val="26"/>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⑵所有报价货币单位为：万元（人民币），含税，</w:t>
      </w:r>
      <w:r>
        <w:rPr>
          <w:rFonts w:hint="eastAsia" w:ascii="宋体" w:hAnsi="Courier New"/>
          <w:highlight w:val="none"/>
        </w:rPr>
        <w:t>税率</w:t>
      </w:r>
      <w:r>
        <w:rPr>
          <w:rFonts w:hint="eastAsia" w:ascii="宋体" w:hAnsi="Courier New"/>
          <w:highlight w:val="none"/>
          <w:lang w:val="en-US" w:eastAsia="zh-CN"/>
        </w:rPr>
        <w:t>13</w:t>
      </w:r>
      <w:r>
        <w:rPr>
          <w:rFonts w:hint="eastAsia" w:ascii="宋体" w:hAnsi="Courier New"/>
          <w:highlight w:val="none"/>
        </w:rPr>
        <w:t>%</w:t>
      </w:r>
      <w:r>
        <w:rPr>
          <w:rFonts w:hint="eastAsia" w:asciiTheme="minorEastAsia" w:hAnsiTheme="minorEastAsia" w:eastAsiaTheme="minorEastAsia" w:cstheme="minorEastAsia"/>
          <w:kern w:val="2"/>
          <w:sz w:val="24"/>
          <w:szCs w:val="24"/>
          <w:lang w:val="en-US" w:eastAsia="zh-CN" w:bidi="ar-SA"/>
        </w:rPr>
        <w:t>；</w:t>
      </w:r>
    </w:p>
    <w:p w14:paraId="2F719F05">
      <w:pPr>
        <w:pStyle w:val="26"/>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highlight w:val="yellow"/>
          <w:lang w:val="en-US" w:eastAsia="zh-CN" w:bidi="ar-SA"/>
        </w:rPr>
      </w:pPr>
      <w:r>
        <w:rPr>
          <w:rFonts w:hint="eastAsia" w:asciiTheme="minorEastAsia" w:hAnsiTheme="minorEastAsia" w:eastAsiaTheme="minorEastAsia" w:cstheme="minorEastAsia"/>
          <w:kern w:val="2"/>
          <w:sz w:val="24"/>
          <w:szCs w:val="24"/>
          <w:lang w:val="en-US" w:eastAsia="zh-CN" w:bidi="ar-SA"/>
        </w:rPr>
        <w:t>⑶付款结算方式：</w:t>
      </w:r>
      <w:r>
        <w:rPr>
          <w:rFonts w:hint="eastAsia" w:asciiTheme="minorEastAsia" w:hAnsiTheme="minorEastAsia" w:eastAsiaTheme="minorEastAsia" w:cstheme="minorEastAsia"/>
          <w:kern w:val="2"/>
          <w:sz w:val="24"/>
          <w:szCs w:val="24"/>
          <w:highlight w:val="yellow"/>
          <w:lang w:val="en-US" w:eastAsia="zh-CN" w:bidi="ar-SA"/>
        </w:rPr>
        <w:t>半年期商业汇票（包括银行承兑汇票和商业承兑汇票）</w:t>
      </w:r>
    </w:p>
    <w:p w14:paraId="47C9794E">
      <w:pPr>
        <w:pStyle w:val="26"/>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highlight w:val="yellow"/>
          <w:lang w:val="en-US" w:eastAsia="zh-CN" w:bidi="ar-SA"/>
        </w:rPr>
        <w:t>经第三方检测和甲方验收通过后，付至合同总额的90%。付款方式为承兑汇票，施工方开具100%增值税专用发票，质保期满后业主无息结清。</w:t>
      </w:r>
    </w:p>
    <w:p w14:paraId="32CDA1E3">
      <w:pPr>
        <w:pStyle w:val="26"/>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default" w:asciiTheme="minorEastAsia" w:hAnsiTheme="minorEastAsia" w:eastAsiaTheme="minorEastAsia" w:cstheme="minorEastAsia"/>
          <w:kern w:val="2"/>
          <w:sz w:val="24"/>
          <w:szCs w:val="24"/>
          <w:lang w:val="en-US" w:eastAsia="zh-CN" w:bidi="ar-SA"/>
        </w:rPr>
      </w:pPr>
      <w:r>
        <w:rPr>
          <w:rFonts w:hint="default" w:asciiTheme="minorEastAsia" w:hAnsiTheme="minorEastAsia" w:eastAsiaTheme="minorEastAsia" w:cstheme="minorEastAsia"/>
          <w:kern w:val="2"/>
          <w:sz w:val="24"/>
          <w:szCs w:val="24"/>
          <w:lang w:val="en-US" w:eastAsia="zh-CN" w:bidi="ar-SA"/>
        </w:rPr>
        <w:t>（4）</w:t>
      </w:r>
      <w:r>
        <w:rPr>
          <w:rFonts w:hint="eastAsia" w:asciiTheme="minorEastAsia" w:hAnsiTheme="minorEastAsia" w:eastAsiaTheme="minorEastAsia" w:cstheme="minorEastAsia"/>
          <w:kern w:val="2"/>
          <w:sz w:val="24"/>
          <w:szCs w:val="24"/>
          <w:lang w:val="en-US" w:eastAsia="zh-CN" w:bidi="ar-SA"/>
        </w:rPr>
        <w:t>项目限价：含税2.8137万元，超过投标限价无法投标。</w:t>
      </w:r>
    </w:p>
    <w:p w14:paraId="0D771EB5">
      <w:pPr>
        <w:pStyle w:val="22"/>
        <w:keepNext w:val="0"/>
        <w:keepLines w:val="0"/>
        <w:pageBreakBefore w:val="0"/>
        <w:widowControl w:val="0"/>
        <w:kinsoku/>
        <w:wordWrap/>
        <w:overflowPunct/>
        <w:topLinePunct w:val="0"/>
        <w:autoSpaceDE w:val="0"/>
        <w:autoSpaceDN w:val="0"/>
        <w:bidi w:val="0"/>
        <w:adjustRightInd w:val="0"/>
        <w:snapToGrid w:val="0"/>
        <w:spacing w:line="360" w:lineRule="auto"/>
        <w:ind w:firstLine="482" w:firstLineChars="200"/>
        <w:textAlignment w:val="auto"/>
        <w:rPr>
          <w:rFonts w:hint="default" w:asciiTheme="minorEastAsia" w:hAnsiTheme="minorEastAsia" w:eastAsiaTheme="minorEastAsia" w:cstheme="minorEastAsia"/>
          <w:b/>
          <w:bCs w:val="0"/>
          <w:color w:val="auto"/>
          <w:kern w:val="2"/>
          <w:sz w:val="24"/>
          <w:szCs w:val="24"/>
          <w:highlight w:val="none"/>
          <w:lang w:val="en-US" w:eastAsia="zh-CN" w:bidi="ar-SA"/>
        </w:rPr>
      </w:pPr>
      <w:r>
        <w:rPr>
          <w:rFonts w:hint="eastAsia" w:asciiTheme="minorEastAsia" w:hAnsiTheme="minorEastAsia" w:eastAsiaTheme="minorEastAsia" w:cstheme="minorEastAsia"/>
          <w:b/>
          <w:bCs w:val="0"/>
          <w:color w:val="auto"/>
          <w:kern w:val="2"/>
          <w:sz w:val="24"/>
          <w:szCs w:val="24"/>
          <w:highlight w:val="none"/>
          <w:lang w:val="en-US" w:eastAsia="zh-CN" w:bidi="ar-SA"/>
        </w:rPr>
        <w:t>注：付款方式和付款比例不允许偏离。</w:t>
      </w:r>
    </w:p>
    <w:p w14:paraId="34F2058B">
      <w:pPr>
        <w:snapToGrid w:val="0"/>
        <w:spacing w:line="360" w:lineRule="auto"/>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十、投标保证金</w:t>
      </w:r>
    </w:p>
    <w:p w14:paraId="491AFF5D">
      <w:pPr>
        <w:pStyle w:val="151"/>
        <w:numPr>
          <w:ilvl w:val="0"/>
          <w:numId w:val="5"/>
        </w:numPr>
        <w:tabs>
          <w:tab w:val="left" w:pos="454"/>
        </w:tabs>
        <w:snapToGrid w:val="0"/>
        <w:spacing w:line="360" w:lineRule="auto"/>
        <w:ind w:firstLineChars="0"/>
        <w:rPr>
          <w:rFonts w:hint="eastAsia" w:asciiTheme="minorEastAsia" w:hAnsiTheme="minorEastAsia" w:eastAsiaTheme="minorEastAsia" w:cstheme="minorEastAsia"/>
          <w:color w:val="000000"/>
          <w:sz w:val="24"/>
          <w:szCs w:val="24"/>
        </w:rPr>
      </w:pPr>
      <w:r>
        <w:rPr>
          <w:rFonts w:hint="eastAsia" w:ascii="宋体" w:hAnsi="宋体" w:eastAsia="宋体" w:cs="宋体"/>
          <w:b/>
          <w:bCs/>
          <w:sz w:val="24"/>
          <w:szCs w:val="24"/>
          <w:highlight w:val="none"/>
        </w:rPr>
        <w:t>投标保证金的缴纳形式：</w:t>
      </w:r>
      <w:r>
        <w:rPr>
          <w:rFonts w:hint="eastAsia" w:ascii="宋体" w:hAnsi="宋体" w:cs="宋体"/>
          <w:sz w:val="24"/>
          <w:szCs w:val="24"/>
          <w:highlight w:val="none"/>
          <w:lang w:val="en-US" w:eastAsia="zh-CN"/>
        </w:rPr>
        <w:t>电汇或网银</w:t>
      </w:r>
      <w:r>
        <w:rPr>
          <w:rFonts w:hint="eastAsia" w:asciiTheme="minorEastAsia" w:hAnsiTheme="minorEastAsia" w:eastAsiaTheme="minorEastAsia" w:cstheme="minorEastAsia"/>
          <w:color w:val="000000"/>
          <w:sz w:val="24"/>
          <w:szCs w:val="24"/>
        </w:rPr>
        <w:t>。</w:t>
      </w:r>
    </w:p>
    <w:p w14:paraId="14301353">
      <w:pPr>
        <w:pStyle w:val="151"/>
        <w:keepNext w:val="0"/>
        <w:keepLines w:val="0"/>
        <w:pageBreakBefore w:val="0"/>
        <w:widowControl w:val="0"/>
        <w:numPr>
          <w:ilvl w:val="0"/>
          <w:numId w:val="5"/>
        </w:numPr>
        <w:tabs>
          <w:tab w:val="left" w:pos="454"/>
        </w:tabs>
        <w:kinsoku/>
        <w:wordWrap/>
        <w:overflowPunct/>
        <w:topLinePunct w:val="0"/>
        <w:autoSpaceDE/>
        <w:autoSpaceDN/>
        <w:bidi w:val="0"/>
        <w:adjustRightInd/>
        <w:snapToGrid w:val="0"/>
        <w:spacing w:line="360" w:lineRule="auto"/>
        <w:ind w:firstLineChars="0"/>
        <w:textAlignment w:val="auto"/>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投标保证金</w:t>
      </w:r>
      <w:r>
        <w:rPr>
          <w:rFonts w:hint="eastAsia" w:asciiTheme="minorEastAsia" w:hAnsiTheme="minorEastAsia" w:eastAsiaTheme="minorEastAsia" w:cstheme="minorEastAsia"/>
          <w:color w:val="000000"/>
          <w:sz w:val="24"/>
          <w:szCs w:val="24"/>
          <w:lang w:val="en-US" w:eastAsia="zh-CN"/>
        </w:rPr>
        <w:t>缴纳截止</w:t>
      </w:r>
      <w:r>
        <w:rPr>
          <w:rFonts w:hint="eastAsia" w:asciiTheme="minorEastAsia" w:hAnsiTheme="minorEastAsia" w:eastAsiaTheme="minorEastAsia" w:cstheme="minorEastAsia"/>
          <w:color w:val="000000"/>
          <w:sz w:val="24"/>
          <w:szCs w:val="24"/>
        </w:rPr>
        <w:t>时间</w:t>
      </w:r>
      <w:r>
        <w:rPr>
          <w:rFonts w:hint="eastAsia" w:asciiTheme="minorEastAsia" w:hAnsiTheme="minorEastAsia" w:eastAsiaTheme="minorEastAsia" w:cstheme="minorEastAsia"/>
          <w:color w:val="000000"/>
          <w:sz w:val="24"/>
          <w:szCs w:val="24"/>
          <w:lang w:eastAsia="zh-CN"/>
        </w:rPr>
        <w:t>：</w:t>
      </w:r>
      <w:r>
        <w:rPr>
          <w:rFonts w:hint="eastAsia" w:asciiTheme="minorEastAsia" w:hAnsiTheme="minorEastAsia" w:eastAsiaTheme="minorEastAsia" w:cstheme="minorEastAsia"/>
          <w:b/>
          <w:bCs/>
          <w:color w:val="000000"/>
          <w:sz w:val="24"/>
          <w:szCs w:val="24"/>
          <w:highlight w:val="none"/>
          <w:u w:val="single"/>
        </w:rPr>
        <w:t>2025年</w:t>
      </w:r>
      <w:r>
        <w:rPr>
          <w:rFonts w:hint="eastAsia" w:asciiTheme="minorEastAsia" w:hAnsiTheme="minorEastAsia" w:eastAsiaTheme="minorEastAsia" w:cstheme="minorEastAsia"/>
          <w:b/>
          <w:bCs/>
          <w:color w:val="000000"/>
          <w:sz w:val="24"/>
          <w:szCs w:val="24"/>
          <w:highlight w:val="none"/>
          <w:u w:val="single"/>
          <w:lang w:val="en-US" w:eastAsia="zh-CN"/>
        </w:rPr>
        <w:t>12</w:t>
      </w:r>
      <w:r>
        <w:rPr>
          <w:rFonts w:hint="eastAsia" w:asciiTheme="minorEastAsia" w:hAnsiTheme="minorEastAsia" w:eastAsiaTheme="minorEastAsia" w:cstheme="minorEastAsia"/>
          <w:b/>
          <w:bCs/>
          <w:color w:val="000000"/>
          <w:sz w:val="24"/>
          <w:szCs w:val="24"/>
          <w:highlight w:val="none"/>
          <w:u w:val="single"/>
        </w:rPr>
        <w:t>月</w:t>
      </w:r>
      <w:r>
        <w:rPr>
          <w:rFonts w:hint="eastAsia" w:asciiTheme="minorEastAsia" w:hAnsiTheme="minorEastAsia" w:eastAsiaTheme="minorEastAsia" w:cstheme="minorEastAsia"/>
          <w:b/>
          <w:bCs/>
          <w:color w:val="000000"/>
          <w:sz w:val="24"/>
          <w:szCs w:val="24"/>
          <w:highlight w:val="none"/>
          <w:u w:val="single"/>
          <w:lang w:val="en-US" w:eastAsia="zh-CN"/>
        </w:rPr>
        <w:t>29</w:t>
      </w:r>
      <w:bookmarkStart w:id="20" w:name="_GoBack"/>
      <w:bookmarkEnd w:id="20"/>
      <w:r>
        <w:rPr>
          <w:rFonts w:hint="eastAsia" w:asciiTheme="minorEastAsia" w:hAnsiTheme="minorEastAsia" w:eastAsiaTheme="minorEastAsia" w:cstheme="minorEastAsia"/>
          <w:b/>
          <w:bCs/>
          <w:color w:val="000000"/>
          <w:sz w:val="24"/>
          <w:szCs w:val="24"/>
          <w:highlight w:val="none"/>
          <w:u w:val="single"/>
        </w:rPr>
        <w:t>日</w:t>
      </w:r>
      <w:r>
        <w:rPr>
          <w:rFonts w:hint="eastAsia" w:asciiTheme="minorEastAsia" w:hAnsiTheme="minorEastAsia" w:eastAsiaTheme="minorEastAsia" w:cstheme="minorEastAsia"/>
          <w:b/>
          <w:bCs/>
          <w:color w:val="000000"/>
          <w:sz w:val="24"/>
          <w:szCs w:val="24"/>
          <w:highlight w:val="none"/>
          <w:u w:val="single"/>
          <w:lang w:val="en-US" w:eastAsia="zh-CN"/>
        </w:rPr>
        <w:t>9</w:t>
      </w:r>
      <w:r>
        <w:rPr>
          <w:rFonts w:hint="eastAsia" w:asciiTheme="minorEastAsia" w:hAnsiTheme="minorEastAsia" w:eastAsiaTheme="minorEastAsia" w:cstheme="minorEastAsia"/>
          <w:b/>
          <w:bCs/>
          <w:color w:val="000000"/>
          <w:sz w:val="24"/>
          <w:szCs w:val="24"/>
          <w:highlight w:val="none"/>
          <w:u w:val="single"/>
        </w:rPr>
        <w:t xml:space="preserve">:00 </w:t>
      </w:r>
      <w:r>
        <w:rPr>
          <w:rFonts w:hint="eastAsia" w:asciiTheme="minorEastAsia" w:hAnsiTheme="minorEastAsia" w:eastAsiaTheme="minorEastAsia" w:cstheme="minorEastAsia"/>
          <w:b/>
          <w:color w:val="000000"/>
          <w:sz w:val="24"/>
          <w:szCs w:val="24"/>
          <w:highlight w:val="none"/>
          <w:u w:val="single"/>
        </w:rPr>
        <w:t>。</w:t>
      </w:r>
      <w:r>
        <w:rPr>
          <w:rFonts w:hint="eastAsia" w:asciiTheme="minorEastAsia" w:hAnsiTheme="minorEastAsia" w:eastAsiaTheme="minorEastAsia" w:cstheme="minorEastAsia"/>
          <w:b/>
          <w:color w:val="000000"/>
          <w:sz w:val="24"/>
          <w:szCs w:val="24"/>
          <w:highlight w:val="none"/>
          <w:u w:val="single"/>
          <w:lang w:eastAsia="zh-CN"/>
        </w:rPr>
        <w:t>（</w:t>
      </w:r>
      <w:r>
        <w:rPr>
          <w:rFonts w:hint="eastAsia" w:asciiTheme="minorEastAsia" w:hAnsiTheme="minorEastAsia" w:eastAsiaTheme="minorEastAsia" w:cstheme="minorEastAsia"/>
          <w:b/>
          <w:color w:val="000000"/>
          <w:sz w:val="24"/>
          <w:szCs w:val="24"/>
          <w:highlight w:val="none"/>
          <w:u w:val="single"/>
          <w:lang w:val="en-US" w:eastAsia="zh-CN"/>
        </w:rPr>
        <w:t>投标保证金缴纳凭证需随资质投标文件一起上传）</w:t>
      </w:r>
      <w:r>
        <w:rPr>
          <w:rFonts w:hint="eastAsia" w:asciiTheme="minorEastAsia" w:hAnsiTheme="minorEastAsia" w:eastAsiaTheme="minorEastAsia" w:cstheme="minorEastAsia"/>
          <w:b w:val="0"/>
          <w:bCs/>
          <w:color w:val="000000"/>
          <w:sz w:val="24"/>
          <w:szCs w:val="24"/>
          <w:highlight w:val="none"/>
          <w:u w:val="single"/>
          <w:lang w:val="en-US" w:eastAsia="zh-CN"/>
        </w:rPr>
        <w:t>投标方</w:t>
      </w:r>
      <w:r>
        <w:rPr>
          <w:rFonts w:hint="eastAsia" w:ascii="宋体" w:hAnsi="宋体" w:cs="宋体"/>
          <w:sz w:val="24"/>
          <w:szCs w:val="24"/>
          <w:highlight w:val="none"/>
        </w:rPr>
        <w:t>应充分考虑银行信息交换时间，由此带来的保证金不能按时到帐的责任由</w:t>
      </w:r>
      <w:r>
        <w:rPr>
          <w:rFonts w:hint="eastAsia" w:ascii="宋体" w:hAnsi="宋体" w:cs="宋体"/>
          <w:sz w:val="24"/>
          <w:szCs w:val="24"/>
          <w:highlight w:val="none"/>
          <w:lang w:val="en-US" w:eastAsia="zh-CN"/>
        </w:rPr>
        <w:t>投标方</w:t>
      </w:r>
      <w:r>
        <w:rPr>
          <w:rFonts w:hint="eastAsia" w:ascii="宋体" w:hAnsi="宋体" w:cs="宋体"/>
          <w:sz w:val="24"/>
          <w:szCs w:val="24"/>
          <w:highlight w:val="none"/>
        </w:rPr>
        <w:t>自行承担。</w:t>
      </w:r>
    </w:p>
    <w:p w14:paraId="6886A7F9">
      <w:pPr>
        <w:keepNext w:val="0"/>
        <w:keepLines w:val="0"/>
        <w:pageBreakBefore w:val="0"/>
        <w:widowControl w:val="0"/>
        <w:tabs>
          <w:tab w:val="left" w:pos="932"/>
        </w:tabs>
        <w:kinsoku/>
        <w:wordWrap/>
        <w:overflowPunct/>
        <w:topLinePunct w:val="0"/>
        <w:autoSpaceDE/>
        <w:autoSpaceDN/>
        <w:bidi w:val="0"/>
        <w:adjustRightInd/>
        <w:spacing w:line="360" w:lineRule="auto"/>
        <w:ind w:firstLine="482" w:firstLineChars="200"/>
        <w:textAlignment w:val="auto"/>
        <w:rPr>
          <w:rFonts w:ascii="宋体" w:hAnsi="宋体" w:eastAsia="宋体" w:cs="宋体"/>
          <w:b/>
          <w:bCs/>
          <w:sz w:val="24"/>
          <w:szCs w:val="24"/>
          <w:highlight w:val="yellow"/>
        </w:rPr>
      </w:pPr>
      <w:r>
        <w:rPr>
          <w:rFonts w:hint="eastAsia" w:ascii="宋体" w:hAnsi="宋体" w:eastAsia="宋体" w:cs="宋体"/>
          <w:b/>
          <w:bCs/>
          <w:sz w:val="24"/>
          <w:szCs w:val="24"/>
          <w:highlight w:val="yellow"/>
        </w:rPr>
        <w:t>投标保证金的金额：人民币</w:t>
      </w:r>
      <w:r>
        <w:rPr>
          <w:rFonts w:hint="eastAsia" w:ascii="宋体" w:hAnsi="宋体" w:cs="宋体"/>
          <w:b/>
          <w:bCs/>
          <w:sz w:val="24"/>
          <w:szCs w:val="24"/>
          <w:highlight w:val="yellow"/>
          <w:lang w:val="en-US" w:eastAsia="zh-CN"/>
        </w:rPr>
        <w:t>5</w:t>
      </w:r>
      <w:r>
        <w:rPr>
          <w:rFonts w:hint="eastAsia" w:ascii="宋体" w:hAnsi="宋体" w:eastAsia="宋体" w:cs="宋体"/>
          <w:b/>
          <w:bCs/>
          <w:sz w:val="24"/>
          <w:szCs w:val="24"/>
          <w:highlight w:val="yellow"/>
        </w:rPr>
        <w:t>000元</w:t>
      </w:r>
    </w:p>
    <w:p w14:paraId="44CAA762">
      <w:pPr>
        <w:keepNext w:val="0"/>
        <w:keepLines w:val="0"/>
        <w:pageBreakBefore w:val="0"/>
        <w:widowControl w:val="0"/>
        <w:kinsoku/>
        <w:wordWrap/>
        <w:overflowPunct/>
        <w:topLinePunct w:val="0"/>
        <w:autoSpaceDE/>
        <w:autoSpaceDN/>
        <w:bidi w:val="0"/>
        <w:adjustRightInd/>
        <w:spacing w:line="360" w:lineRule="auto"/>
        <w:ind w:firstLine="482" w:firstLineChars="200"/>
        <w:textAlignment w:val="auto"/>
        <w:rPr>
          <w:rFonts w:ascii="宋体" w:hAnsi="宋体" w:eastAsia="宋体" w:cs="宋体"/>
          <w:b/>
          <w:bCs/>
          <w:sz w:val="24"/>
          <w:szCs w:val="24"/>
          <w:highlight w:val="yellow"/>
        </w:rPr>
      </w:pPr>
      <w:r>
        <w:rPr>
          <w:rFonts w:ascii="宋体" w:hAnsi="宋体" w:eastAsia="宋体" w:cs="宋体"/>
          <w:b/>
          <w:bCs/>
          <w:sz w:val="24"/>
          <w:szCs w:val="24"/>
          <w:highlight w:val="yellow"/>
        </w:rPr>
        <w:t>单位名称：中国重汽集团济南动力有限公司</w:t>
      </w:r>
    </w:p>
    <w:p w14:paraId="6E55E309">
      <w:pPr>
        <w:keepNext w:val="0"/>
        <w:keepLines w:val="0"/>
        <w:pageBreakBefore w:val="0"/>
        <w:widowControl w:val="0"/>
        <w:kinsoku/>
        <w:wordWrap/>
        <w:overflowPunct/>
        <w:topLinePunct w:val="0"/>
        <w:autoSpaceDE/>
        <w:autoSpaceDN/>
        <w:bidi w:val="0"/>
        <w:adjustRightInd/>
        <w:spacing w:line="360" w:lineRule="auto"/>
        <w:ind w:firstLine="482" w:firstLineChars="200"/>
        <w:textAlignment w:val="auto"/>
        <w:rPr>
          <w:rFonts w:ascii="宋体" w:hAnsi="宋体" w:eastAsia="宋体" w:cs="宋体"/>
          <w:b/>
          <w:bCs/>
          <w:sz w:val="24"/>
          <w:szCs w:val="24"/>
          <w:highlight w:val="yellow"/>
        </w:rPr>
      </w:pPr>
      <w:r>
        <w:rPr>
          <w:rFonts w:ascii="宋体" w:hAnsi="宋体" w:eastAsia="宋体" w:cs="宋体"/>
          <w:b/>
          <w:bCs/>
          <w:sz w:val="24"/>
          <w:szCs w:val="24"/>
          <w:highlight w:val="yellow"/>
        </w:rPr>
        <w:t>收款账号：37001616508050150300</w:t>
      </w:r>
    </w:p>
    <w:p w14:paraId="6893D160">
      <w:pPr>
        <w:keepNext w:val="0"/>
        <w:keepLines w:val="0"/>
        <w:pageBreakBefore w:val="0"/>
        <w:widowControl w:val="0"/>
        <w:kinsoku/>
        <w:wordWrap/>
        <w:overflowPunct/>
        <w:topLinePunct w:val="0"/>
        <w:autoSpaceDE/>
        <w:autoSpaceDN/>
        <w:bidi w:val="0"/>
        <w:adjustRightInd/>
        <w:spacing w:line="360" w:lineRule="auto"/>
        <w:ind w:firstLine="482" w:firstLineChars="200"/>
        <w:textAlignment w:val="auto"/>
        <w:rPr>
          <w:rFonts w:ascii="宋体" w:hAnsi="宋体" w:eastAsia="宋体" w:cs="宋体"/>
          <w:b/>
          <w:bCs/>
          <w:sz w:val="24"/>
          <w:szCs w:val="24"/>
          <w:highlight w:val="yellow"/>
        </w:rPr>
      </w:pPr>
      <w:r>
        <w:rPr>
          <w:rFonts w:ascii="宋体" w:hAnsi="宋体" w:eastAsia="宋体" w:cs="宋体"/>
          <w:b/>
          <w:bCs/>
          <w:sz w:val="24"/>
          <w:szCs w:val="24"/>
          <w:highlight w:val="yellow"/>
        </w:rPr>
        <w:t>开户行名称：中国建设银行股份有限公司济南天桥支行</w:t>
      </w:r>
    </w:p>
    <w:p w14:paraId="309E7F87">
      <w:pPr>
        <w:keepNext w:val="0"/>
        <w:keepLines w:val="0"/>
        <w:pageBreakBefore w:val="0"/>
        <w:widowControl w:val="0"/>
        <w:kinsoku/>
        <w:wordWrap/>
        <w:overflowPunct/>
        <w:topLinePunct w:val="0"/>
        <w:autoSpaceDE/>
        <w:autoSpaceDN/>
        <w:bidi w:val="0"/>
        <w:adjustRightInd/>
        <w:spacing w:line="360" w:lineRule="auto"/>
        <w:ind w:firstLine="482" w:firstLineChars="200"/>
        <w:textAlignment w:val="auto"/>
        <w:rPr>
          <w:rFonts w:ascii="宋体" w:hAnsi="宋体" w:eastAsia="宋体" w:cs="宋体"/>
          <w:b/>
          <w:bCs/>
          <w:sz w:val="24"/>
          <w:szCs w:val="24"/>
          <w:highlight w:val="yellow"/>
        </w:rPr>
      </w:pPr>
      <w:r>
        <w:rPr>
          <w:rFonts w:ascii="宋体" w:hAnsi="宋体" w:eastAsia="宋体" w:cs="宋体"/>
          <w:b/>
          <w:bCs/>
          <w:sz w:val="24"/>
          <w:szCs w:val="24"/>
          <w:highlight w:val="yellow"/>
        </w:rPr>
        <w:t>开户行行号：105451000362</w:t>
      </w:r>
    </w:p>
    <w:p w14:paraId="1E137B95">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ascii="宋体" w:hAnsi="宋体" w:eastAsia="宋体" w:cs="宋体"/>
          <w:sz w:val="24"/>
          <w:szCs w:val="24"/>
          <w:highlight w:val="none"/>
        </w:rPr>
      </w:pPr>
      <w:r>
        <w:rPr>
          <w:rFonts w:hint="eastAsia" w:ascii="宋体" w:hAnsi="宋体" w:eastAsia="宋体" w:cs="宋体"/>
          <w:sz w:val="24"/>
          <w:szCs w:val="24"/>
          <w:highlight w:val="none"/>
        </w:rPr>
        <w:t>投标保证金应从投标人的基本账户转出至上述账户并到账，否则视为无效投标。</w:t>
      </w:r>
    </w:p>
    <w:p w14:paraId="5C4359FB">
      <w:pPr>
        <w:pStyle w:val="151"/>
        <w:keepNext w:val="0"/>
        <w:keepLines w:val="0"/>
        <w:pageBreakBefore w:val="0"/>
        <w:widowControl w:val="0"/>
        <w:tabs>
          <w:tab w:val="left" w:pos="454"/>
          <w:tab w:val="left" w:pos="2433"/>
        </w:tabs>
        <w:kinsoku/>
        <w:wordWrap/>
        <w:overflowPunct/>
        <w:topLinePunct w:val="0"/>
        <w:autoSpaceDE/>
        <w:autoSpaceDN/>
        <w:bidi w:val="0"/>
        <w:adjustRightInd/>
        <w:snapToGrid w:val="0"/>
        <w:spacing w:line="360" w:lineRule="auto"/>
        <w:textAlignment w:val="auto"/>
        <w:rPr>
          <w:rFonts w:hint="eastAsia" w:asciiTheme="minorEastAsia" w:hAnsiTheme="minorEastAsia" w:eastAsiaTheme="minorEastAsia" w:cstheme="minorEastAsia"/>
          <w:color w:val="000000"/>
          <w:sz w:val="24"/>
          <w:szCs w:val="24"/>
        </w:rPr>
      </w:pPr>
      <w:r>
        <w:rPr>
          <w:rFonts w:hint="eastAsia" w:eastAsia="宋体" w:cs="Times New Roman"/>
          <w:sz w:val="24"/>
          <w:szCs w:val="28"/>
          <w:highlight w:val="none"/>
        </w:rPr>
        <w:t>转账附言：</w:t>
      </w:r>
      <w:r>
        <w:rPr>
          <w:rFonts w:hint="eastAsia" w:eastAsia="宋体" w:cs="Times New Roman"/>
          <w:b/>
          <w:bCs/>
          <w:sz w:val="24"/>
          <w:szCs w:val="28"/>
          <w:highlight w:val="none"/>
        </w:rPr>
        <w:t>公司名称+</w:t>
      </w:r>
      <w:r>
        <w:rPr>
          <w:rFonts w:hint="eastAsia" w:eastAsia="宋体" w:cs="Times New Roman"/>
          <w:b/>
          <w:bCs/>
          <w:sz w:val="24"/>
          <w:szCs w:val="28"/>
          <w:highlight w:val="none"/>
          <w:lang w:val="en-US" w:eastAsia="zh-CN"/>
        </w:rPr>
        <w:t>项目</w:t>
      </w:r>
      <w:r>
        <w:rPr>
          <w:rFonts w:hint="eastAsia" w:cs="Times New Roman"/>
          <w:b/>
          <w:bCs/>
          <w:sz w:val="24"/>
          <w:szCs w:val="28"/>
          <w:highlight w:val="none"/>
          <w:lang w:val="en-US" w:eastAsia="zh-CN"/>
        </w:rPr>
        <w:t>名称+</w:t>
      </w:r>
      <w:r>
        <w:rPr>
          <w:rFonts w:hint="eastAsia" w:eastAsia="宋体" w:cs="Times New Roman"/>
          <w:b/>
          <w:bCs/>
          <w:sz w:val="24"/>
          <w:szCs w:val="28"/>
          <w:highlight w:val="none"/>
        </w:rPr>
        <w:t>投标保证金</w:t>
      </w:r>
      <w:r>
        <w:rPr>
          <w:rFonts w:hint="eastAsia" w:eastAsia="宋体" w:cs="Times New Roman"/>
          <w:sz w:val="24"/>
          <w:szCs w:val="28"/>
          <w:highlight w:val="none"/>
        </w:rPr>
        <w:t>。</w:t>
      </w:r>
    </w:p>
    <w:p w14:paraId="0C755D3A">
      <w:pPr>
        <w:pStyle w:val="151"/>
        <w:numPr>
          <w:ilvl w:val="0"/>
          <w:numId w:val="5"/>
        </w:numPr>
        <w:tabs>
          <w:tab w:val="left" w:pos="454"/>
          <w:tab w:val="left" w:pos="2433"/>
        </w:tabs>
        <w:snapToGrid w:val="0"/>
        <w:spacing w:line="360" w:lineRule="auto"/>
        <w:ind w:firstLineChars="0"/>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投标保证金的退还</w:t>
      </w:r>
    </w:p>
    <w:p w14:paraId="05EAF43D">
      <w:pPr>
        <w:pStyle w:val="151"/>
        <w:numPr>
          <w:ilvl w:val="0"/>
          <w:numId w:val="6"/>
        </w:numPr>
        <w:tabs>
          <w:tab w:val="left" w:pos="454"/>
          <w:tab w:val="left" w:pos="2433"/>
        </w:tabs>
        <w:snapToGrid w:val="0"/>
        <w:spacing w:line="360" w:lineRule="auto"/>
        <w:ind w:firstLineChars="0"/>
        <w:rPr>
          <w:rFonts w:hint="eastAsia" w:asciiTheme="minorEastAsia" w:hAnsiTheme="minorEastAsia" w:eastAsiaTheme="minorEastAsia" w:cstheme="minorEastAsia"/>
          <w:color w:val="000000"/>
          <w:sz w:val="24"/>
          <w:szCs w:val="24"/>
        </w:rPr>
      </w:pPr>
      <w:r>
        <w:rPr>
          <w:rFonts w:hint="eastAsia" w:ascii="宋体" w:hAnsi="宋体" w:cs="宋体"/>
          <w:sz w:val="24"/>
          <w:szCs w:val="24"/>
          <w:highlight w:val="none"/>
        </w:rPr>
        <w:t>对于没有中标的投标人，投标保证金将于招标人内部完成中标人评审并确认最终中标人后在</w:t>
      </w:r>
      <w:r>
        <w:rPr>
          <w:rFonts w:hint="eastAsia" w:ascii="宋体" w:hAnsi="宋体" w:cs="宋体"/>
          <w:sz w:val="24"/>
          <w:szCs w:val="24"/>
          <w:highlight w:val="none"/>
          <w:lang w:val="en-US" w:eastAsia="zh-CN"/>
        </w:rPr>
        <w:t>一个付款周期</w:t>
      </w:r>
      <w:r>
        <w:rPr>
          <w:rFonts w:hint="eastAsia" w:ascii="宋体" w:hAnsi="宋体" w:cs="宋体"/>
          <w:sz w:val="24"/>
          <w:szCs w:val="24"/>
          <w:highlight w:val="none"/>
        </w:rPr>
        <w:t>内予以原路返还（无息）；对于中标方，投标保证金将在签订合同后</w:t>
      </w:r>
      <w:r>
        <w:rPr>
          <w:rFonts w:hint="eastAsia" w:ascii="宋体" w:hAnsi="宋体" w:cs="宋体"/>
          <w:sz w:val="24"/>
          <w:szCs w:val="24"/>
          <w:highlight w:val="none"/>
          <w:lang w:val="en-US" w:eastAsia="zh-CN"/>
        </w:rPr>
        <w:t>一个付款周期</w:t>
      </w:r>
      <w:r>
        <w:rPr>
          <w:rFonts w:hint="eastAsia" w:ascii="宋体" w:hAnsi="宋体" w:cs="宋体"/>
          <w:sz w:val="24"/>
          <w:szCs w:val="24"/>
          <w:highlight w:val="none"/>
        </w:rPr>
        <w:t>内原路返还（无息）。</w:t>
      </w:r>
    </w:p>
    <w:p w14:paraId="32B77242">
      <w:pPr>
        <w:pStyle w:val="229"/>
        <w:ind w:left="0" w:leftChars="0" w:firstLine="0" w:firstLineChars="0"/>
        <w:rPr>
          <w:rFonts w:eastAsia="宋体" w:cs="宋体"/>
          <w:highlight w:val="none"/>
        </w:rPr>
      </w:pPr>
      <w:r>
        <w:rPr>
          <w:rFonts w:hint="eastAsia" w:eastAsia="宋体" w:cs="宋体"/>
          <w:highlight w:val="none"/>
          <w:lang w:val="en-US" w:eastAsia="zh-CN"/>
        </w:rPr>
        <w:t>4.</w:t>
      </w:r>
      <w:r>
        <w:rPr>
          <w:rFonts w:hint="eastAsia" w:eastAsia="宋体" w:cs="宋体"/>
          <w:highlight w:val="none"/>
        </w:rPr>
        <w:t>发生以下情况时，招标人有权没收保证金：</w:t>
      </w:r>
    </w:p>
    <w:p w14:paraId="42A715FC">
      <w:pPr>
        <w:pStyle w:val="229"/>
        <w:ind w:firstLine="480"/>
        <w:rPr>
          <w:rFonts w:eastAsia="宋体" w:cs="宋体"/>
          <w:highlight w:val="none"/>
        </w:rPr>
      </w:pPr>
      <w:r>
        <w:rPr>
          <w:rFonts w:hint="eastAsia" w:eastAsia="宋体" w:cs="宋体"/>
          <w:highlight w:val="none"/>
          <w:lang w:eastAsia="zh-CN"/>
        </w:rPr>
        <w:t>（</w:t>
      </w:r>
      <w:r>
        <w:rPr>
          <w:rFonts w:hint="eastAsia" w:eastAsia="宋体" w:cs="宋体"/>
          <w:highlight w:val="none"/>
          <w:lang w:val="en-US" w:eastAsia="zh-CN"/>
        </w:rPr>
        <w:t>1</w:t>
      </w:r>
      <w:r>
        <w:rPr>
          <w:rFonts w:hint="eastAsia" w:eastAsia="宋体" w:cs="宋体"/>
          <w:highlight w:val="none"/>
          <w:lang w:eastAsia="zh-CN"/>
        </w:rPr>
        <w:t>）</w:t>
      </w:r>
      <w:r>
        <w:rPr>
          <w:rFonts w:hint="eastAsia" w:eastAsia="宋体" w:cs="宋体"/>
          <w:highlight w:val="none"/>
        </w:rPr>
        <w:t>截至开标前3天，投标人无正当理由且未以书面形式递交说明而在投标截止日不来投标的；</w:t>
      </w:r>
    </w:p>
    <w:p w14:paraId="1F032D61">
      <w:pPr>
        <w:pStyle w:val="229"/>
        <w:ind w:firstLine="480"/>
        <w:rPr>
          <w:rFonts w:eastAsia="宋体" w:cs="宋体"/>
          <w:highlight w:val="none"/>
        </w:rPr>
      </w:pPr>
      <w:r>
        <w:rPr>
          <w:rFonts w:hint="eastAsia" w:eastAsia="宋体" w:cs="宋体"/>
          <w:highlight w:val="none"/>
          <w:lang w:eastAsia="zh-CN"/>
        </w:rPr>
        <w:t>（</w:t>
      </w:r>
      <w:r>
        <w:rPr>
          <w:rFonts w:hint="eastAsia" w:eastAsia="宋体" w:cs="宋体"/>
          <w:highlight w:val="none"/>
          <w:lang w:val="en-US" w:eastAsia="zh-CN"/>
        </w:rPr>
        <w:t>2</w:t>
      </w:r>
      <w:r>
        <w:rPr>
          <w:rFonts w:hint="eastAsia" w:eastAsia="宋体" w:cs="宋体"/>
          <w:highlight w:val="none"/>
          <w:lang w:eastAsia="zh-CN"/>
        </w:rPr>
        <w:t>）</w:t>
      </w:r>
      <w:r>
        <w:rPr>
          <w:rFonts w:hint="eastAsia" w:eastAsia="宋体" w:cs="宋体"/>
          <w:highlight w:val="none"/>
        </w:rPr>
        <w:t>投标人递送投标文件后，无正当理由放弃投标的；</w:t>
      </w:r>
    </w:p>
    <w:p w14:paraId="57F0AAFE">
      <w:pPr>
        <w:pStyle w:val="229"/>
        <w:ind w:firstLine="480"/>
        <w:rPr>
          <w:rFonts w:eastAsia="宋体" w:cs="宋体"/>
          <w:highlight w:val="none"/>
        </w:rPr>
      </w:pPr>
      <w:r>
        <w:rPr>
          <w:rFonts w:hint="eastAsia" w:eastAsia="宋体" w:cs="宋体"/>
          <w:highlight w:val="none"/>
          <w:lang w:eastAsia="zh-CN"/>
        </w:rPr>
        <w:t>（</w:t>
      </w:r>
      <w:r>
        <w:rPr>
          <w:rFonts w:hint="eastAsia" w:eastAsia="宋体" w:cs="宋体"/>
          <w:highlight w:val="none"/>
          <w:lang w:val="en-US" w:eastAsia="zh-CN"/>
        </w:rPr>
        <w:t>3</w:t>
      </w:r>
      <w:r>
        <w:rPr>
          <w:rFonts w:hint="eastAsia" w:eastAsia="宋体" w:cs="宋体"/>
          <w:highlight w:val="none"/>
          <w:lang w:eastAsia="zh-CN"/>
        </w:rPr>
        <w:t>）</w:t>
      </w:r>
      <w:r>
        <w:rPr>
          <w:rFonts w:hint="eastAsia" w:eastAsia="宋体" w:cs="宋体"/>
          <w:highlight w:val="none"/>
        </w:rPr>
        <w:t>若为视频开标，招标过程中澄清函等资料原件未按要求提交的；</w:t>
      </w:r>
    </w:p>
    <w:p w14:paraId="46DCBA6C">
      <w:pPr>
        <w:pStyle w:val="229"/>
        <w:ind w:firstLine="480"/>
        <w:rPr>
          <w:rFonts w:eastAsia="宋体" w:cs="宋体"/>
          <w:highlight w:val="none"/>
        </w:rPr>
      </w:pPr>
      <w:r>
        <w:rPr>
          <w:rFonts w:hint="eastAsia" w:eastAsia="宋体" w:cs="宋体"/>
          <w:highlight w:val="none"/>
          <w:lang w:eastAsia="zh-CN"/>
        </w:rPr>
        <w:t>（</w:t>
      </w:r>
      <w:r>
        <w:rPr>
          <w:rFonts w:hint="eastAsia" w:eastAsia="宋体" w:cs="宋体"/>
          <w:highlight w:val="none"/>
          <w:lang w:val="en-US" w:eastAsia="zh-CN"/>
        </w:rPr>
        <w:t>4</w:t>
      </w:r>
      <w:r>
        <w:rPr>
          <w:rFonts w:hint="eastAsia" w:eastAsia="宋体" w:cs="宋体"/>
          <w:highlight w:val="none"/>
          <w:lang w:eastAsia="zh-CN"/>
        </w:rPr>
        <w:t>）</w:t>
      </w:r>
      <w:r>
        <w:rPr>
          <w:rFonts w:hint="eastAsia" w:eastAsia="宋体" w:cs="宋体"/>
          <w:highlight w:val="none"/>
        </w:rPr>
        <w:t>自中标通知书发出之日起30日内，中标人无正当理由不签订合同的；</w:t>
      </w:r>
    </w:p>
    <w:p w14:paraId="1CE8AD82">
      <w:pPr>
        <w:pStyle w:val="229"/>
        <w:ind w:firstLine="480"/>
        <w:rPr>
          <w:rFonts w:eastAsia="宋体" w:cs="宋体"/>
          <w:highlight w:val="none"/>
        </w:rPr>
      </w:pPr>
      <w:r>
        <w:rPr>
          <w:rFonts w:hint="eastAsia" w:eastAsia="宋体" w:cs="宋体"/>
          <w:highlight w:val="none"/>
          <w:lang w:eastAsia="zh-CN"/>
        </w:rPr>
        <w:t>（</w:t>
      </w:r>
      <w:r>
        <w:rPr>
          <w:rFonts w:hint="eastAsia" w:eastAsia="宋体" w:cs="宋体"/>
          <w:highlight w:val="none"/>
          <w:lang w:val="en-US" w:eastAsia="zh-CN"/>
        </w:rPr>
        <w:t>5</w:t>
      </w:r>
      <w:r>
        <w:rPr>
          <w:rFonts w:hint="eastAsia" w:eastAsia="宋体" w:cs="宋体"/>
          <w:highlight w:val="none"/>
          <w:lang w:eastAsia="zh-CN"/>
        </w:rPr>
        <w:t>）</w:t>
      </w:r>
      <w:r>
        <w:rPr>
          <w:rFonts w:hint="eastAsia" w:eastAsia="宋体" w:cs="宋体"/>
          <w:highlight w:val="none"/>
        </w:rPr>
        <w:t>投标人在投标过程中被查实有串标、围标、陪标等违规违纪行为的；</w:t>
      </w:r>
    </w:p>
    <w:p w14:paraId="46D6A965">
      <w:pPr>
        <w:pStyle w:val="229"/>
        <w:spacing w:line="360" w:lineRule="auto"/>
        <w:ind w:firstLine="480"/>
        <w:rPr>
          <w:rFonts w:hint="eastAsia" w:ascii="宋体" w:hAnsi="宋体" w:eastAsia="宋体" w:cs="宋体"/>
          <w:color w:val="000000"/>
          <w:sz w:val="24"/>
          <w:szCs w:val="24"/>
          <w:highlight w:val="none"/>
        </w:rPr>
      </w:pPr>
      <w:r>
        <w:rPr>
          <w:rFonts w:hint="eastAsia" w:eastAsia="宋体" w:cs="宋体"/>
          <w:color w:val="000000"/>
          <w:sz w:val="24"/>
          <w:szCs w:val="24"/>
          <w:highlight w:val="none"/>
          <w:lang w:eastAsia="zh-CN"/>
        </w:rPr>
        <w:t>（</w:t>
      </w:r>
      <w:r>
        <w:rPr>
          <w:rFonts w:hint="eastAsia" w:eastAsia="宋体" w:cs="宋体"/>
          <w:color w:val="000000"/>
          <w:sz w:val="24"/>
          <w:szCs w:val="24"/>
          <w:highlight w:val="none"/>
          <w:lang w:val="en-US" w:eastAsia="zh-CN"/>
        </w:rPr>
        <w:t>6</w:t>
      </w:r>
      <w:r>
        <w:rPr>
          <w:rFonts w:hint="eastAsia" w:eastAsia="宋体" w:cs="宋体"/>
          <w:color w:val="000000"/>
          <w:sz w:val="24"/>
          <w:szCs w:val="24"/>
          <w:highlight w:val="none"/>
          <w:lang w:eastAsia="zh-CN"/>
        </w:rPr>
        <w:t>）</w:t>
      </w:r>
      <w:r>
        <w:rPr>
          <w:rFonts w:hint="eastAsia" w:ascii="宋体" w:hAnsi="宋体" w:eastAsia="宋体" w:cs="宋体"/>
          <w:color w:val="000000"/>
          <w:sz w:val="24"/>
          <w:szCs w:val="24"/>
          <w:highlight w:val="none"/>
        </w:rPr>
        <w:t>投标人有违约违规行为或被投诉、举报的，在调查处理期间，保证金暂不退还，待调查处理结束后按有关规定处理。</w:t>
      </w:r>
    </w:p>
    <w:p w14:paraId="3C1C317D">
      <w:pPr>
        <w:pStyle w:val="229"/>
        <w:spacing w:line="360" w:lineRule="auto"/>
        <w:ind w:firstLine="480"/>
        <w:rPr>
          <w:rFonts w:hint="eastAsia" w:ascii="宋体" w:hAnsi="宋体" w:eastAsia="宋体" w:cs="宋体"/>
          <w:sz w:val="24"/>
          <w:szCs w:val="24"/>
          <w:highlight w:val="none"/>
        </w:rPr>
      </w:pPr>
      <w:r>
        <w:rPr>
          <w:rFonts w:hint="eastAsia" w:eastAsia="宋体" w:cs="宋体"/>
          <w:sz w:val="24"/>
          <w:szCs w:val="24"/>
          <w:highlight w:val="none"/>
          <w:lang w:val="en-US" w:eastAsia="zh-CN"/>
        </w:rPr>
        <w:t>（7）</w:t>
      </w:r>
      <w:r>
        <w:rPr>
          <w:rFonts w:hint="eastAsia" w:ascii="宋体" w:hAnsi="宋体" w:eastAsia="宋体" w:cs="宋体"/>
          <w:color w:val="000000"/>
          <w:sz w:val="24"/>
          <w:szCs w:val="24"/>
          <w:highlight w:val="none"/>
        </w:rPr>
        <w:t>供应商与采购人、其他供应商或者采购代理机构恶意串通、围标、陪标的</w:t>
      </w:r>
      <w:r>
        <w:rPr>
          <w:rFonts w:hint="eastAsia" w:ascii="宋体" w:hAnsi="宋体" w:eastAsia="宋体" w:cs="宋体"/>
          <w:sz w:val="24"/>
          <w:szCs w:val="24"/>
          <w:highlight w:val="none"/>
        </w:rPr>
        <w:t>；</w:t>
      </w:r>
    </w:p>
    <w:p w14:paraId="5A2EA0D9">
      <w:pPr>
        <w:spacing w:line="360" w:lineRule="auto"/>
        <w:ind w:right="2" w:firstLine="480" w:firstLineChars="200"/>
        <w:rPr>
          <w:rFonts w:hint="eastAsia" w:ascii="宋体" w:hAnsi="宋体" w:eastAsia="宋体" w:cs="宋体"/>
          <w:color w:val="000000"/>
          <w:sz w:val="24"/>
          <w:szCs w:val="24"/>
          <w:highlight w:val="none"/>
          <w:lang w:eastAsia="zh-CN"/>
        </w:rPr>
      </w:pPr>
      <w:r>
        <w:rPr>
          <w:rFonts w:hint="eastAsia" w:ascii="宋体" w:hAnsi="宋体" w:cs="宋体"/>
          <w:color w:val="000000"/>
          <w:sz w:val="24"/>
          <w:szCs w:val="24"/>
          <w:highlight w:val="none"/>
          <w:lang w:val="en-US" w:eastAsia="zh-CN"/>
        </w:rPr>
        <w:t>（8）</w:t>
      </w:r>
      <w:r>
        <w:rPr>
          <w:rFonts w:hint="eastAsia" w:ascii="宋体" w:hAnsi="宋体" w:eastAsia="宋体" w:cs="宋体"/>
          <w:color w:val="000000"/>
          <w:sz w:val="24"/>
          <w:szCs w:val="24"/>
          <w:highlight w:val="none"/>
        </w:rPr>
        <w:t>供应商有违约违规行为或被投诉、举报的，在调查处理期间，保证金暂不退还，待调查处理结束后按有关规定处理</w:t>
      </w:r>
      <w:r>
        <w:rPr>
          <w:rFonts w:hint="eastAsia" w:ascii="宋体" w:hAnsi="宋体" w:eastAsia="宋体" w:cs="宋体"/>
          <w:color w:val="000000"/>
          <w:sz w:val="24"/>
          <w:szCs w:val="24"/>
          <w:highlight w:val="none"/>
          <w:lang w:eastAsia="zh-CN"/>
        </w:rPr>
        <w:t>；</w:t>
      </w:r>
    </w:p>
    <w:p w14:paraId="65A1E946">
      <w:pPr>
        <w:spacing w:line="360" w:lineRule="auto"/>
        <w:ind w:right="2" w:firstLine="480" w:firstLineChars="200"/>
        <w:rPr>
          <w:rFonts w:hint="eastAsia" w:ascii="宋体" w:hAnsi="宋体" w:cs="宋体"/>
          <w:sz w:val="24"/>
          <w:szCs w:val="24"/>
          <w:highlight w:val="none"/>
        </w:rPr>
      </w:pPr>
      <w:r>
        <w:rPr>
          <w:rFonts w:hint="eastAsia" w:ascii="宋体" w:hAnsi="宋体" w:cs="宋体"/>
          <w:color w:val="000000"/>
          <w:sz w:val="24"/>
          <w:szCs w:val="24"/>
          <w:highlight w:val="none"/>
          <w:lang w:val="en-US" w:eastAsia="zh-CN"/>
        </w:rPr>
        <w:t>（9）</w:t>
      </w:r>
      <w:r>
        <w:rPr>
          <w:rFonts w:hint="eastAsia" w:ascii="宋体" w:hAnsi="宋体" w:eastAsia="宋体" w:cs="宋体"/>
          <w:color w:val="000000"/>
          <w:sz w:val="24"/>
          <w:szCs w:val="24"/>
          <w:highlight w:val="none"/>
        </w:rPr>
        <w:t>采购文件规定的其他情形。</w:t>
      </w:r>
    </w:p>
    <w:p w14:paraId="20D7D000">
      <w:pPr>
        <w:snapToGrid w:val="0"/>
        <w:spacing w:line="360" w:lineRule="auto"/>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十</w:t>
      </w:r>
      <w:r>
        <w:rPr>
          <w:rFonts w:hint="eastAsia" w:asciiTheme="minorEastAsia" w:hAnsiTheme="minorEastAsia" w:eastAsiaTheme="minorEastAsia" w:cstheme="minorEastAsia"/>
          <w:b/>
          <w:sz w:val="24"/>
          <w:szCs w:val="24"/>
          <w:lang w:val="en-US" w:eastAsia="zh-CN"/>
        </w:rPr>
        <w:t>一</w:t>
      </w:r>
      <w:r>
        <w:rPr>
          <w:rFonts w:hint="eastAsia" w:asciiTheme="minorEastAsia" w:hAnsiTheme="minorEastAsia" w:eastAsiaTheme="minorEastAsia" w:cstheme="minorEastAsia"/>
          <w:b/>
          <w:sz w:val="24"/>
          <w:szCs w:val="24"/>
        </w:rPr>
        <w:t>、中标</w:t>
      </w:r>
    </w:p>
    <w:p w14:paraId="3E8C097B">
      <w:pPr>
        <w:pStyle w:val="151"/>
        <w:numPr>
          <w:ilvl w:val="0"/>
          <w:numId w:val="7"/>
        </w:numPr>
        <w:adjustRightInd w:val="0"/>
        <w:snapToGrid w:val="0"/>
        <w:spacing w:line="360" w:lineRule="auto"/>
        <w:ind w:left="420" w:firstLineChars="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评标定标后，招标人将以</w:t>
      </w:r>
      <w:r>
        <w:rPr>
          <w:rFonts w:hint="eastAsia" w:asciiTheme="minorEastAsia" w:hAnsiTheme="minorEastAsia" w:eastAsiaTheme="minorEastAsia" w:cstheme="minorEastAsia"/>
          <w:sz w:val="24"/>
          <w:szCs w:val="24"/>
          <w:lang w:val="en-US" w:eastAsia="zh-CN"/>
        </w:rPr>
        <w:t>书面</w:t>
      </w:r>
      <w:r>
        <w:rPr>
          <w:rFonts w:hint="eastAsia" w:asciiTheme="minorEastAsia" w:hAnsiTheme="minorEastAsia" w:eastAsiaTheme="minorEastAsia" w:cstheme="minorEastAsia"/>
          <w:sz w:val="24"/>
          <w:szCs w:val="24"/>
        </w:rPr>
        <w:t>通知的形式通知中标单位。</w:t>
      </w:r>
    </w:p>
    <w:p w14:paraId="605836FD">
      <w:pPr>
        <w:pStyle w:val="151"/>
        <w:numPr>
          <w:ilvl w:val="0"/>
          <w:numId w:val="7"/>
        </w:numPr>
        <w:adjustRightInd w:val="0"/>
        <w:snapToGrid w:val="0"/>
        <w:spacing w:line="360" w:lineRule="auto"/>
        <w:ind w:left="420" w:firstLineChars="0"/>
        <w:jc w:val="left"/>
        <w:rPr>
          <w:rFonts w:hint="eastAsia"/>
        </w:rPr>
      </w:pPr>
      <w:r>
        <w:rPr>
          <w:rFonts w:hint="eastAsia" w:asciiTheme="minorEastAsia" w:hAnsiTheme="minorEastAsia" w:eastAsiaTheme="minorEastAsia" w:cstheme="minorEastAsia"/>
          <w:sz w:val="24"/>
          <w:szCs w:val="24"/>
        </w:rPr>
        <w:t>中标人收到中标通知后，应在30个工作日内与招标人签订合同，中标人无正当理由不与招标人订立合同，或在签订合同时向招标人提出附加条件，取消其中标资格。</w:t>
      </w:r>
    </w:p>
    <w:p w14:paraId="67556CA5">
      <w:pPr>
        <w:pStyle w:val="151"/>
        <w:numPr>
          <w:ilvl w:val="0"/>
          <w:numId w:val="7"/>
        </w:numPr>
        <w:adjustRightInd w:val="0"/>
        <w:snapToGrid w:val="0"/>
        <w:spacing w:line="360" w:lineRule="auto"/>
        <w:ind w:left="420" w:firstLineChars="0"/>
        <w:jc w:val="left"/>
        <w:rPr>
          <w:rFonts w:hint="eastAsia" w:asciiTheme="minorEastAsia" w:hAnsiTheme="minorEastAsia" w:eastAsiaTheme="minorEastAsia" w:cstheme="minorEastAsia"/>
          <w:b/>
          <w:sz w:val="24"/>
          <w:szCs w:val="24"/>
        </w:rPr>
      </w:pPr>
      <w:r>
        <w:rPr>
          <w:rFonts w:hint="eastAsia" w:ascii="Times New Roman" w:hAnsi="Times New Roman"/>
          <w:b/>
          <w:color w:val="FF0000"/>
        </w:rPr>
        <w:t>若投标人已成为意向中标人，投标人必须无条件配合招标人完成核价流程的工作。</w:t>
      </w:r>
    </w:p>
    <w:p w14:paraId="669188AB">
      <w:pPr>
        <w:snapToGrid w:val="0"/>
        <w:spacing w:line="360" w:lineRule="auto"/>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十</w:t>
      </w:r>
      <w:r>
        <w:rPr>
          <w:rFonts w:hint="eastAsia" w:asciiTheme="minorEastAsia" w:hAnsiTheme="minorEastAsia" w:eastAsiaTheme="minorEastAsia" w:cstheme="minorEastAsia"/>
          <w:b/>
          <w:sz w:val="24"/>
          <w:szCs w:val="24"/>
          <w:lang w:val="en-US" w:eastAsia="zh-CN"/>
        </w:rPr>
        <w:t>二</w:t>
      </w:r>
      <w:r>
        <w:rPr>
          <w:rFonts w:hint="eastAsia" w:asciiTheme="minorEastAsia" w:hAnsiTheme="minorEastAsia" w:eastAsiaTheme="minorEastAsia" w:cstheme="minorEastAsia"/>
          <w:b/>
          <w:sz w:val="24"/>
          <w:szCs w:val="24"/>
        </w:rPr>
        <w:t>、中标人瑕疵滞后发现的处理原则</w:t>
      </w:r>
    </w:p>
    <w:p w14:paraId="0047BD74">
      <w:pPr>
        <w:snapToGrid w:val="0"/>
        <w:spacing w:line="360" w:lineRule="auto"/>
        <w:ind w:firstLine="482" w:firstLineChars="200"/>
        <w:jc w:val="left"/>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无论基于何种原因，各项本应作为拒绝处理的情形，即便未被及时发现而使该中标人通过了资格审核、初评、现场复审、终评或其他所有相关程序，包括已签订合同，招标人有权取消其中标资格，一旦中标人被拒绝或该中标人此前的评议结果被取消，因招标产生的相关的费用以及一切损失均由中标人承担。已签订合同的，招标人有权单方解除合同，瑕疵中标人不得以此为由向招标人主张任何权利和请求。</w:t>
      </w:r>
    </w:p>
    <w:p w14:paraId="01E903F2">
      <w:pPr>
        <w:keepNext/>
        <w:keepLines/>
        <w:spacing w:line="360" w:lineRule="auto"/>
        <w:outlineLvl w:val="1"/>
        <w:rPr>
          <w:rFonts w:ascii="宋体" w:hAnsi="宋体" w:eastAsia="宋体" w:cs="宋体"/>
          <w:b/>
          <w:bCs/>
          <w:sz w:val="24"/>
          <w:szCs w:val="24"/>
          <w:highlight w:val="none"/>
        </w:rPr>
      </w:pPr>
      <w:r>
        <w:rPr>
          <w:rFonts w:hint="eastAsia" w:asciiTheme="minorEastAsia" w:hAnsiTheme="minorEastAsia" w:eastAsiaTheme="minorEastAsia" w:cstheme="minorEastAsia"/>
          <w:b/>
          <w:sz w:val="24"/>
          <w:szCs w:val="24"/>
          <w:u w:val="single"/>
        </w:rPr>
        <w:t>十</w:t>
      </w:r>
      <w:r>
        <w:rPr>
          <w:rFonts w:hint="eastAsia" w:asciiTheme="minorEastAsia" w:hAnsiTheme="minorEastAsia" w:eastAsiaTheme="minorEastAsia" w:cstheme="minorEastAsia"/>
          <w:b/>
          <w:sz w:val="24"/>
          <w:szCs w:val="24"/>
          <w:u w:val="single"/>
          <w:lang w:val="en-US" w:eastAsia="zh-CN"/>
        </w:rPr>
        <w:t>三</w:t>
      </w:r>
      <w:r>
        <w:rPr>
          <w:rFonts w:hint="eastAsia" w:asciiTheme="minorEastAsia" w:hAnsiTheme="minorEastAsia" w:eastAsiaTheme="minorEastAsia" w:cstheme="minorEastAsia"/>
          <w:b/>
          <w:sz w:val="24"/>
          <w:szCs w:val="24"/>
          <w:u w:val="single"/>
        </w:rPr>
        <w:t>、</w:t>
      </w:r>
      <w:r>
        <w:rPr>
          <w:rFonts w:hint="eastAsia" w:ascii="宋体" w:hAnsi="宋体" w:eastAsia="宋体" w:cs="宋体"/>
          <w:b/>
          <w:bCs/>
          <w:sz w:val="24"/>
          <w:szCs w:val="24"/>
          <w:highlight w:val="none"/>
        </w:rPr>
        <w:t>废标及终止招标</w:t>
      </w:r>
    </w:p>
    <w:p w14:paraId="44A30440">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651766ED">
      <w:pPr>
        <w:spacing w:line="360" w:lineRule="auto"/>
        <w:ind w:right="2"/>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 xml:space="preserve">    （1）投标人提供的有关资格、资质证明文件不合格、不真实或提供虚假投标材料；</w:t>
      </w:r>
    </w:p>
    <w:p w14:paraId="418FEDA6">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（2）投标人在报价有效期内撤回投标；</w:t>
      </w:r>
    </w:p>
    <w:p w14:paraId="722D8073">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（3）在整个评标过程中，投标人有企图影响评标结果公正性的任何活动；</w:t>
      </w:r>
    </w:p>
    <w:p w14:paraId="43312A9F">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（4）投标人以任何方式诋毁其他投标人；</w:t>
      </w:r>
    </w:p>
    <w:p w14:paraId="200465AC">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（5）投标人串通投标；</w:t>
      </w:r>
    </w:p>
    <w:p w14:paraId="60961DD1">
      <w:pPr>
        <w:pStyle w:val="26"/>
        <w:spacing w:line="360" w:lineRule="auto"/>
        <w:rPr>
          <w:rFonts w:hAnsi="宋体" w:eastAsia="宋体" w:cs="宋体"/>
          <w:sz w:val="24"/>
          <w:szCs w:val="24"/>
          <w:highlight w:val="none"/>
        </w:rPr>
      </w:pPr>
      <w:r>
        <w:rPr>
          <w:rFonts w:hint="eastAsia" w:hAnsi="宋体" w:eastAsia="宋体" w:cs="宋体"/>
          <w:color w:val="000000"/>
          <w:sz w:val="24"/>
          <w:szCs w:val="24"/>
          <w:highlight w:val="none"/>
        </w:rPr>
        <w:t xml:space="preserve">    （6）投标人被举报、检举，并经招标人查实无误的；</w:t>
      </w:r>
    </w:p>
    <w:p w14:paraId="5CFB61DC">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（7）以他人名义投标或者以其他方式弄虚作假，骗取中标的；</w:t>
      </w:r>
    </w:p>
    <w:p w14:paraId="6C60DD75">
      <w:pPr>
        <w:spacing w:line="360" w:lineRule="auto"/>
        <w:ind w:right="2"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（8）投标人负责人为同一人或者存在控股、管理关系的不同单位；</w:t>
      </w:r>
    </w:p>
    <w:p w14:paraId="04118637">
      <w:pPr>
        <w:spacing w:line="360" w:lineRule="auto"/>
        <w:ind w:right="2"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（9）有效投标不足三家；</w:t>
      </w:r>
    </w:p>
    <w:p w14:paraId="7E5ED1D6">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（10）未按要求填报商务报价资料，对招标开展造成较大影响；</w:t>
      </w:r>
    </w:p>
    <w:p w14:paraId="45E6A3BC">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w:t>
      </w:r>
      <w:r>
        <w:rPr>
          <w:rFonts w:hint="eastAsia" w:ascii="宋体" w:hAnsi="宋体" w:eastAsia="宋体" w:cs="宋体"/>
          <w:sz w:val="24"/>
          <w:szCs w:val="24"/>
          <w:highlight w:val="none"/>
        </w:rPr>
        <w:t>1）未按照招标人规定的时间内在中国重汽e采通完成投标的；</w:t>
      </w:r>
    </w:p>
    <w:p w14:paraId="57E79D8A">
      <w:pPr>
        <w:pStyle w:val="26"/>
        <w:spacing w:line="360" w:lineRule="auto"/>
        <w:ind w:firstLine="480" w:firstLineChars="200"/>
        <w:rPr>
          <w:rFonts w:hAnsi="宋体" w:eastAsia="宋体" w:cs="宋体"/>
          <w:color w:val="000000"/>
          <w:sz w:val="24"/>
          <w:szCs w:val="24"/>
          <w:highlight w:val="none"/>
        </w:rPr>
      </w:pPr>
      <w:r>
        <w:rPr>
          <w:rFonts w:hint="eastAsia" w:hAnsi="宋体" w:eastAsia="宋体" w:cs="宋体"/>
          <w:color w:val="000000"/>
          <w:sz w:val="24"/>
          <w:szCs w:val="24"/>
          <w:highlight w:val="none"/>
        </w:rPr>
        <w:t>（12）不同投标人的投标文件异常一致；</w:t>
      </w:r>
    </w:p>
    <w:p w14:paraId="3FA4CD7E">
      <w:pPr>
        <w:pStyle w:val="26"/>
        <w:spacing w:line="360" w:lineRule="auto"/>
        <w:ind w:firstLine="480" w:firstLineChars="200"/>
        <w:rPr>
          <w:rFonts w:hAnsi="宋体" w:eastAsia="宋体" w:cs="宋体"/>
          <w:color w:val="000000"/>
          <w:sz w:val="24"/>
          <w:szCs w:val="24"/>
          <w:highlight w:val="none"/>
        </w:rPr>
      </w:pPr>
      <w:r>
        <w:rPr>
          <w:rFonts w:hint="eastAsia" w:hAnsi="宋体" w:eastAsia="宋体" w:cs="宋体"/>
          <w:color w:val="000000"/>
          <w:sz w:val="24"/>
          <w:szCs w:val="24"/>
          <w:highlight w:val="none"/>
        </w:rPr>
        <w:t>（13）投标报价呈规律性差异的；</w:t>
      </w:r>
    </w:p>
    <w:p w14:paraId="7430E910">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w:t>
      </w:r>
      <w:r>
        <w:rPr>
          <w:rFonts w:hint="eastAsia" w:hAnsi="宋体" w:eastAsia="宋体" w:cs="宋体"/>
          <w:color w:val="000000"/>
          <w:sz w:val="24"/>
          <w:szCs w:val="24"/>
          <w:highlight w:val="none"/>
        </w:rPr>
        <w:t>4</w:t>
      </w:r>
      <w:r>
        <w:rPr>
          <w:rFonts w:hint="eastAsia" w:ascii="宋体" w:hAnsi="宋体" w:eastAsia="宋体" w:cs="宋体"/>
          <w:color w:val="000000"/>
          <w:sz w:val="24"/>
          <w:szCs w:val="24"/>
          <w:highlight w:val="none"/>
        </w:rPr>
        <w:t>）法律、法规规定的其他情况。</w:t>
      </w:r>
    </w:p>
    <w:p w14:paraId="60183050">
      <w:pPr>
        <w:spacing w:line="360" w:lineRule="auto"/>
        <w:ind w:right="2"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2.出现下列情形之一，招标人有权否决所有投标人的投标，并终止招标。</w:t>
      </w:r>
    </w:p>
    <w:p w14:paraId="1B025717">
      <w:pPr>
        <w:spacing w:line="360" w:lineRule="auto"/>
        <w:ind w:right="2" w:firstLine="480" w:firstLineChars="200"/>
        <w:rPr>
          <w:rFonts w:ascii="宋体" w:hAnsi="宋体" w:eastAsia="宋体" w:cs="宋体"/>
          <w:b/>
          <w:sz w:val="24"/>
          <w:szCs w:val="24"/>
          <w:highlight w:val="none"/>
        </w:rPr>
      </w:pPr>
      <w:r>
        <w:rPr>
          <w:rFonts w:hint="eastAsia" w:ascii="宋体" w:hAnsi="宋体" w:eastAsia="宋体" w:cs="宋体"/>
          <w:sz w:val="24"/>
          <w:szCs w:val="24"/>
          <w:highlight w:val="none"/>
        </w:rPr>
        <w:t>（1）符合条件的投标人或者对招标文件做实质响应的投标人不足三家的；</w:t>
      </w:r>
    </w:p>
    <w:p w14:paraId="43D3C1A8">
      <w:pPr>
        <w:spacing w:line="360" w:lineRule="auto"/>
        <w:ind w:right="2"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（2）出现影响采购公正的违法、违规行为的；</w:t>
      </w:r>
    </w:p>
    <w:p w14:paraId="2DB91BA1">
      <w:pPr>
        <w:spacing w:line="360" w:lineRule="auto"/>
        <w:ind w:right="2" w:firstLine="480" w:firstLineChars="200"/>
        <w:rPr>
          <w:rFonts w:ascii="宋体" w:hAnsi="宋体" w:eastAsia="宋体" w:cs="宋体"/>
          <w:bCs/>
          <w:sz w:val="24"/>
          <w:szCs w:val="24"/>
          <w:highlight w:val="none"/>
        </w:rPr>
      </w:pPr>
      <w:r>
        <w:rPr>
          <w:rFonts w:hint="eastAsia" w:ascii="宋体" w:hAnsi="宋体" w:eastAsia="宋体" w:cs="宋体"/>
          <w:bCs/>
          <w:sz w:val="24"/>
          <w:szCs w:val="24"/>
          <w:highlight w:val="none"/>
        </w:rPr>
        <w:t>（3）评标委员会经评审，认为所有投标都不符合招标文件要求的；</w:t>
      </w:r>
    </w:p>
    <w:p w14:paraId="3165C1E9">
      <w:pPr>
        <w:spacing w:line="360" w:lineRule="auto"/>
        <w:ind w:right="2" w:firstLine="480" w:firstLineChars="200"/>
        <w:rPr>
          <w:rFonts w:ascii="宋体" w:hAnsi="宋体" w:eastAsia="宋体" w:cs="宋体"/>
          <w:bCs/>
          <w:sz w:val="24"/>
          <w:szCs w:val="24"/>
          <w:highlight w:val="none"/>
        </w:rPr>
      </w:pPr>
      <w:r>
        <w:rPr>
          <w:rFonts w:hint="eastAsia" w:ascii="宋体" w:hAnsi="宋体" w:eastAsia="宋体" w:cs="宋体"/>
          <w:bCs/>
          <w:sz w:val="24"/>
          <w:szCs w:val="24"/>
          <w:highlight w:val="none"/>
        </w:rPr>
        <w:t>（4）因重大变故，采购任务取消的</w:t>
      </w:r>
      <w:bookmarkStart w:id="10" w:name="OLE_LINK26"/>
      <w:bookmarkStart w:id="11" w:name="OLE_LINK29"/>
      <w:bookmarkStart w:id="12" w:name="OLE_LINK27"/>
      <w:bookmarkStart w:id="13" w:name="OLE_LINK28"/>
      <w:bookmarkStart w:id="14" w:name="OLE_LINK25"/>
      <w:r>
        <w:rPr>
          <w:rFonts w:hint="eastAsia" w:ascii="宋体" w:hAnsi="宋体" w:eastAsia="宋体" w:cs="宋体"/>
          <w:bCs/>
          <w:sz w:val="24"/>
          <w:szCs w:val="24"/>
          <w:highlight w:val="none"/>
        </w:rPr>
        <w:t>；</w:t>
      </w:r>
      <w:bookmarkEnd w:id="10"/>
      <w:bookmarkEnd w:id="11"/>
      <w:bookmarkEnd w:id="12"/>
      <w:bookmarkEnd w:id="13"/>
      <w:bookmarkEnd w:id="14"/>
    </w:p>
    <w:p w14:paraId="27CCD9FE">
      <w:pPr>
        <w:spacing w:line="360" w:lineRule="auto"/>
        <w:ind w:right="2" w:firstLine="480" w:firstLineChars="200"/>
        <w:rPr>
          <w:rFonts w:ascii="宋体" w:hAnsi="宋体" w:eastAsia="宋体" w:cs="宋体"/>
          <w:bCs/>
          <w:sz w:val="24"/>
          <w:szCs w:val="24"/>
          <w:highlight w:val="none"/>
        </w:rPr>
      </w:pPr>
      <w:r>
        <w:rPr>
          <w:rFonts w:hint="eastAsia" w:ascii="宋体" w:hAnsi="宋体" w:eastAsia="宋体" w:cs="宋体"/>
          <w:bCs/>
          <w:sz w:val="24"/>
          <w:szCs w:val="24"/>
          <w:highlight w:val="none"/>
        </w:rPr>
        <w:t>（5）投标人承诺同意由于招标人公司政策变化引起的随时终止项目的要求并承担由此带来的一切损失；</w:t>
      </w:r>
    </w:p>
    <w:p w14:paraId="78D3B0A6">
      <w:pPr>
        <w:pStyle w:val="26"/>
        <w:spacing w:line="360" w:lineRule="auto"/>
        <w:ind w:firstLine="480" w:firstLineChars="200"/>
        <w:rPr>
          <w:rFonts w:hAnsi="宋体" w:eastAsia="宋体" w:cs="宋体"/>
          <w:bCs/>
          <w:sz w:val="24"/>
          <w:szCs w:val="24"/>
          <w:highlight w:val="none"/>
        </w:rPr>
      </w:pPr>
      <w:r>
        <w:rPr>
          <w:rFonts w:hint="eastAsia" w:hAnsi="宋体" w:eastAsia="宋体" w:cs="宋体"/>
          <w:bCs/>
          <w:sz w:val="24"/>
          <w:szCs w:val="24"/>
          <w:highlight w:val="none"/>
        </w:rPr>
        <w:t>（6）招标人认为其他应终止招标的情形。</w:t>
      </w:r>
    </w:p>
    <w:p w14:paraId="27BD2702">
      <w:pPr>
        <w:snapToGrid w:val="0"/>
        <w:spacing w:line="360" w:lineRule="auto"/>
        <w:jc w:val="left"/>
        <w:rPr>
          <w:rFonts w:hint="eastAsia" w:asciiTheme="minorEastAsia" w:hAnsiTheme="minorEastAsia" w:eastAsiaTheme="minorEastAsia" w:cstheme="minorEastAsia"/>
          <w:b/>
          <w:sz w:val="24"/>
          <w:szCs w:val="24"/>
          <w:lang w:val="en-US" w:eastAsia="zh-CN"/>
        </w:rPr>
      </w:pPr>
      <w:r>
        <w:rPr>
          <w:rFonts w:hint="eastAsia" w:asciiTheme="minorEastAsia" w:hAnsiTheme="minorEastAsia" w:eastAsiaTheme="minorEastAsia" w:cstheme="minorEastAsia"/>
          <w:b/>
          <w:sz w:val="24"/>
          <w:szCs w:val="24"/>
        </w:rPr>
        <w:t>十</w:t>
      </w:r>
      <w:r>
        <w:rPr>
          <w:rFonts w:hint="eastAsia" w:asciiTheme="minorEastAsia" w:hAnsiTheme="minorEastAsia" w:eastAsiaTheme="minorEastAsia" w:cstheme="minorEastAsia"/>
          <w:b/>
          <w:sz w:val="24"/>
          <w:szCs w:val="24"/>
          <w:lang w:val="en-US" w:eastAsia="zh-CN"/>
        </w:rPr>
        <w:t>四</w:t>
      </w:r>
      <w:r>
        <w:rPr>
          <w:rFonts w:hint="eastAsia" w:asciiTheme="minorEastAsia" w:hAnsiTheme="minorEastAsia" w:eastAsiaTheme="minorEastAsia" w:cstheme="minorEastAsia"/>
          <w:b/>
          <w:sz w:val="24"/>
          <w:szCs w:val="24"/>
        </w:rPr>
        <w:t>、</w:t>
      </w:r>
      <w:r>
        <w:rPr>
          <w:rFonts w:hint="eastAsia" w:asciiTheme="minorEastAsia" w:hAnsiTheme="minorEastAsia" w:eastAsiaTheme="minorEastAsia" w:cstheme="minorEastAsia"/>
          <w:b/>
          <w:sz w:val="24"/>
          <w:szCs w:val="24"/>
          <w:lang w:val="en-US" w:eastAsia="zh-CN"/>
        </w:rPr>
        <w:t>本次招标最终解释权归中国重型汽车集团有限公司。</w:t>
      </w:r>
    </w:p>
    <w:p w14:paraId="78CE263F">
      <w:pPr>
        <w:pStyle w:val="234"/>
        <w:keepNext w:val="0"/>
        <w:keepLines w:val="0"/>
        <w:pageBreakBefore w:val="0"/>
        <w:widowControl w:val="0"/>
        <w:numPr>
          <w:ilvl w:val="0"/>
          <w:numId w:val="0"/>
        </w:numPr>
        <w:kinsoku/>
        <w:wordWrap/>
        <w:overflowPunct/>
        <w:topLinePunct w:val="0"/>
        <w:autoSpaceDE/>
        <w:autoSpaceDN/>
        <w:bidi w:val="0"/>
        <w:adjustRightInd/>
        <w:snapToGrid/>
        <w:ind w:leftChars="0" w:firstLine="422" w:firstLineChars="200"/>
        <w:textAlignment w:val="auto"/>
        <w:rPr>
          <w:rFonts w:hint="eastAsia" w:ascii="宋体" w:hAnsi="宋体" w:eastAsia="宋体" w:cs="宋体"/>
          <w:sz w:val="21"/>
          <w:szCs w:val="21"/>
          <w:lang w:val="en-US" w:eastAsia="zh-CN"/>
        </w:rPr>
      </w:pPr>
      <w:r>
        <w:rPr>
          <w:rFonts w:ascii="宋体" w:hAnsi="宋体" w:eastAsia="宋体" w:cs="宋体"/>
          <w:sz w:val="21"/>
          <w:szCs w:val="21"/>
        </w:rPr>
        <w:t>招标人有权指定招标人的关联单位作为合同签订人，与中标人签署相关合同，且具体权利义务以中标人与招标人的关联公司最终签署的合同为准</w:t>
      </w:r>
      <w:r>
        <w:rPr>
          <w:rFonts w:hint="eastAsia" w:ascii="宋体" w:hAnsi="宋体" w:eastAsia="宋体" w:cs="宋体"/>
          <w:sz w:val="21"/>
          <w:szCs w:val="21"/>
          <w:lang w:eastAsia="zh-CN"/>
        </w:rPr>
        <w:t>。</w:t>
      </w:r>
    </w:p>
    <w:p w14:paraId="1950701A">
      <w:pPr>
        <w:rPr>
          <w:rFonts w:hint="eastAsia" w:ascii="宋体" w:hAnsi="宋体" w:eastAsia="宋体" w:cs="宋体"/>
          <w:b/>
          <w:color w:val="auto"/>
          <w:sz w:val="44"/>
          <w:szCs w:val="36"/>
          <w:highlight w:val="none"/>
          <w:lang w:val="en-US" w:eastAsia="zh-CN"/>
        </w:rPr>
      </w:pPr>
      <w:r>
        <w:rPr>
          <w:rFonts w:hint="eastAsia" w:ascii="宋体" w:hAnsi="宋体" w:eastAsia="宋体" w:cs="宋体"/>
          <w:b/>
          <w:color w:val="auto"/>
          <w:sz w:val="44"/>
          <w:szCs w:val="36"/>
          <w:highlight w:val="none"/>
          <w:lang w:val="en-US" w:eastAsia="zh-CN"/>
        </w:rPr>
        <w:br w:type="page"/>
      </w:r>
    </w:p>
    <w:p w14:paraId="1DAE0226">
      <w:pPr>
        <w:autoSpaceDE w:val="0"/>
        <w:autoSpaceDN w:val="0"/>
        <w:adjustRightInd w:val="0"/>
        <w:snapToGrid w:val="0"/>
        <w:spacing w:line="360" w:lineRule="auto"/>
        <w:jc w:val="center"/>
        <w:rPr>
          <w:rFonts w:hint="default" w:ascii="宋体" w:hAnsi="宋体" w:eastAsia="宋体" w:cs="宋体"/>
          <w:b/>
          <w:bCs/>
          <w:color w:val="000000"/>
          <w:sz w:val="44"/>
          <w:szCs w:val="44"/>
          <w:highlight w:val="none"/>
          <w:u w:val="none"/>
          <w:lang w:val="en-US" w:eastAsia="zh-CN" w:bidi="zh-CN"/>
        </w:rPr>
      </w:pPr>
      <w:r>
        <w:rPr>
          <w:rFonts w:hint="eastAsia" w:ascii="宋体" w:hAnsi="宋体" w:eastAsia="宋体" w:cs="宋体"/>
          <w:b/>
          <w:color w:val="auto"/>
          <w:sz w:val="44"/>
          <w:szCs w:val="36"/>
          <w:highlight w:val="none"/>
          <w:lang w:val="en-US" w:eastAsia="zh-CN"/>
        </w:rPr>
        <w:t>第二部分</w:t>
      </w:r>
      <w:r>
        <w:rPr>
          <w:rFonts w:hint="eastAsia" w:ascii="宋体" w:hAnsi="宋体" w:cs="宋体"/>
          <w:b/>
          <w:color w:val="auto"/>
          <w:sz w:val="44"/>
          <w:szCs w:val="36"/>
          <w:highlight w:val="none"/>
          <w:lang w:val="en-US" w:eastAsia="zh-CN"/>
        </w:rPr>
        <w:t xml:space="preserve"> </w:t>
      </w:r>
      <w:r>
        <w:rPr>
          <w:rFonts w:hint="eastAsia" w:ascii="宋体" w:hAnsi="宋体" w:eastAsia="宋体" w:cs="宋体"/>
          <w:b/>
          <w:bCs/>
          <w:color w:val="000000"/>
          <w:sz w:val="44"/>
          <w:szCs w:val="44"/>
          <w:highlight w:val="none"/>
          <w:u w:val="none"/>
          <w:lang w:val="en-US" w:eastAsia="zh-CN" w:bidi="zh-CN"/>
        </w:rPr>
        <w:t>技术要求</w:t>
      </w:r>
    </w:p>
    <w:p w14:paraId="13BE54AB">
      <w:pPr>
        <w:pStyle w:val="4"/>
        <w:numPr>
          <w:ilvl w:val="0"/>
          <w:numId w:val="0"/>
        </w:numPr>
        <w:adjustRightInd w:val="0"/>
        <w:snapToGrid w:val="0"/>
        <w:spacing w:before="0" w:after="0" w:line="540" w:lineRule="exact"/>
        <w:jc w:val="center"/>
        <w:rPr>
          <w:rFonts w:hint="eastAsia" w:ascii="仿宋" w:hAnsi="仿宋" w:eastAsia="仿宋"/>
          <w:sz w:val="40"/>
        </w:rPr>
      </w:pPr>
      <w:r>
        <w:rPr>
          <w:rFonts w:hint="eastAsia" w:ascii="黑体" w:eastAsia="黑体"/>
          <w:b/>
          <w:bCs/>
          <w:sz w:val="36"/>
          <w:szCs w:val="36"/>
        </w:rPr>
        <w:t xml:space="preserve"> </w:t>
      </w:r>
      <w:r>
        <w:rPr>
          <w:rFonts w:hint="eastAsia" w:ascii="仿宋" w:hAnsi="仿宋" w:eastAsia="仿宋"/>
          <w:sz w:val="40"/>
        </w:rPr>
        <w:t>招标文件技术要求</w:t>
      </w:r>
    </w:p>
    <w:p w14:paraId="204B2979"/>
    <w:p w14:paraId="12D0BB12">
      <w:pPr>
        <w:pStyle w:val="60"/>
        <w:spacing w:line="360" w:lineRule="auto"/>
        <w:ind w:firstLine="560"/>
        <w:rPr>
          <w:rFonts w:hint="eastAsia" w:ascii="仿宋_GB2312" w:hAnsi="仿宋_GB2312" w:eastAsia="仿宋_GB2312" w:cs="仿宋_GB2312"/>
          <w:b w:val="0"/>
          <w:bCs w:val="0"/>
          <w:sz w:val="28"/>
        </w:rPr>
      </w:pPr>
      <w:r>
        <w:rPr>
          <w:rFonts w:hint="eastAsia" w:ascii="仿宋_GB2312" w:hAnsi="仿宋_GB2312" w:eastAsia="仿宋_GB2312" w:cs="仿宋_GB2312"/>
          <w:b w:val="0"/>
          <w:bCs w:val="0"/>
          <w:sz w:val="28"/>
        </w:rPr>
        <w:t>一、技术要求</w:t>
      </w:r>
    </w:p>
    <w:p w14:paraId="632527DA">
      <w:pPr>
        <w:pStyle w:val="60"/>
        <w:spacing w:line="360" w:lineRule="auto"/>
        <w:ind w:firstLine="560"/>
        <w:rPr>
          <w:rFonts w:hint="eastAsia" w:ascii="仿宋_GB2312" w:hAnsi="仿宋_GB2312" w:eastAsia="仿宋_GB2312" w:cs="仿宋_GB2312"/>
          <w:b w:val="0"/>
          <w:bCs w:val="0"/>
          <w:sz w:val="28"/>
        </w:rPr>
      </w:pPr>
      <w:r>
        <w:rPr>
          <w:rFonts w:hint="eastAsia" w:ascii="仿宋_GB2312" w:hAnsi="仿宋_GB2312" w:eastAsia="仿宋_GB2312" w:cs="仿宋_GB2312"/>
          <w:b w:val="0"/>
          <w:bCs w:val="0"/>
          <w:sz w:val="28"/>
        </w:rPr>
        <w:t>（一）基本要求</w:t>
      </w:r>
    </w:p>
    <w:p w14:paraId="51FF6CA1">
      <w:pPr>
        <w:pStyle w:val="60"/>
        <w:spacing w:line="360" w:lineRule="auto"/>
        <w:ind w:firstLine="560"/>
        <w:rPr>
          <w:rFonts w:hint="eastAsia" w:ascii="仿宋_GB2312" w:hAnsi="仿宋_GB2312" w:eastAsia="仿宋_GB2312" w:cs="仿宋_GB2312"/>
          <w:b w:val="0"/>
          <w:bCs w:val="0"/>
          <w:sz w:val="28"/>
        </w:rPr>
      </w:pPr>
      <w:r>
        <w:rPr>
          <w:rFonts w:hint="eastAsia" w:ascii="仿宋_GB2312" w:hAnsi="仿宋_GB2312" w:eastAsia="仿宋_GB2312" w:cs="仿宋_GB2312"/>
          <w:b w:val="0"/>
          <w:bCs w:val="0"/>
          <w:sz w:val="28"/>
        </w:rPr>
        <w:t>1.投标人须具有履行合同所必需的设备、财务、技术、服务等方面的资质和能力。</w:t>
      </w:r>
    </w:p>
    <w:p w14:paraId="7A4254EF">
      <w:pPr>
        <w:pStyle w:val="60"/>
        <w:spacing w:line="360" w:lineRule="auto"/>
        <w:ind w:firstLine="560"/>
        <w:rPr>
          <w:rFonts w:hint="eastAsia" w:ascii="仿宋_GB2312" w:hAnsi="仿宋_GB2312" w:eastAsia="仿宋_GB2312" w:cs="仿宋_GB2312"/>
          <w:b w:val="0"/>
          <w:bCs w:val="0"/>
          <w:sz w:val="28"/>
        </w:rPr>
      </w:pPr>
      <w:r>
        <w:rPr>
          <w:rFonts w:hint="eastAsia" w:ascii="仿宋_GB2312" w:hAnsi="仿宋_GB2312" w:eastAsia="仿宋_GB2312" w:cs="仿宋_GB2312"/>
          <w:b w:val="0"/>
          <w:bCs w:val="0"/>
          <w:sz w:val="28"/>
        </w:rPr>
        <w:t>2.公司注册资本不少于</w:t>
      </w:r>
      <w:r>
        <w:rPr>
          <w:rFonts w:hint="eastAsia" w:ascii="仿宋_GB2312" w:hAnsi="仿宋_GB2312" w:eastAsia="仿宋_GB2312" w:cs="仿宋_GB2312"/>
          <w:b w:val="0"/>
          <w:bCs w:val="0"/>
          <w:sz w:val="28"/>
          <w:lang w:val="en-US" w:eastAsia="zh-CN"/>
        </w:rPr>
        <w:t>500</w:t>
      </w:r>
      <w:r>
        <w:rPr>
          <w:rFonts w:hint="eastAsia" w:ascii="仿宋_GB2312" w:hAnsi="仿宋_GB2312" w:eastAsia="仿宋_GB2312" w:cs="仿宋_GB2312"/>
          <w:b w:val="0"/>
          <w:bCs w:val="0"/>
          <w:sz w:val="28"/>
        </w:rPr>
        <w:t>万（含）。</w:t>
      </w:r>
    </w:p>
    <w:p w14:paraId="4394DEE0">
      <w:pPr>
        <w:pStyle w:val="60"/>
        <w:spacing w:line="360" w:lineRule="auto"/>
        <w:ind w:firstLine="560"/>
        <w:rPr>
          <w:rFonts w:hint="eastAsia" w:ascii="仿宋_GB2312" w:hAnsi="仿宋_GB2312" w:eastAsia="仿宋_GB2312" w:cs="仿宋_GB2312"/>
          <w:b w:val="0"/>
          <w:bCs w:val="0"/>
          <w:sz w:val="28"/>
        </w:rPr>
      </w:pPr>
      <w:r>
        <w:rPr>
          <w:rFonts w:hint="eastAsia" w:ascii="仿宋_GB2312" w:hAnsi="仿宋_GB2312" w:eastAsia="仿宋_GB2312" w:cs="仿宋_GB2312"/>
          <w:b w:val="0"/>
          <w:bCs w:val="0"/>
          <w:sz w:val="28"/>
        </w:rPr>
        <w:t>3.要求项目经理常驻现场，负责日常工作安排及安全管理；项目安全员常驻现场，配合项目经理现场安全巡视，保证施工安全、工期和质量要求。</w:t>
      </w:r>
    </w:p>
    <w:p w14:paraId="24B6B51B">
      <w:pPr>
        <w:pStyle w:val="60"/>
        <w:spacing w:line="360" w:lineRule="auto"/>
        <w:ind w:firstLine="560"/>
        <w:rPr>
          <w:rFonts w:hint="eastAsia" w:ascii="仿宋_GB2312" w:hAnsi="仿宋_GB2312" w:eastAsia="仿宋_GB2312" w:cs="仿宋_GB2312"/>
          <w:b w:val="0"/>
          <w:bCs w:val="0"/>
          <w:sz w:val="28"/>
        </w:rPr>
      </w:pPr>
      <w:r>
        <w:rPr>
          <w:rFonts w:hint="eastAsia" w:ascii="仿宋_GB2312" w:hAnsi="仿宋_GB2312" w:eastAsia="仿宋_GB2312" w:cs="仿宋_GB2312"/>
          <w:b w:val="0"/>
          <w:bCs w:val="0"/>
          <w:sz w:val="28"/>
        </w:rPr>
        <w:t>4.施工人员要求持证上岗，根据工种要求，必须配备焊工证，电工证，高空作业证</w:t>
      </w:r>
      <w:r>
        <w:rPr>
          <w:rFonts w:hint="eastAsia" w:ascii="仿宋_GB2312" w:hAnsi="仿宋_GB2312" w:eastAsia="仿宋_GB2312" w:cs="仿宋_GB2312"/>
          <w:b w:val="0"/>
          <w:bCs w:val="0"/>
          <w:sz w:val="28"/>
          <w:lang w:val="en-US" w:eastAsia="zh-CN"/>
        </w:rPr>
        <w:t>等</w:t>
      </w:r>
      <w:r>
        <w:rPr>
          <w:rFonts w:hint="eastAsia" w:ascii="仿宋_GB2312" w:hAnsi="仿宋_GB2312" w:eastAsia="仿宋_GB2312" w:cs="仿宋_GB2312"/>
          <w:b w:val="0"/>
          <w:bCs w:val="0"/>
          <w:sz w:val="28"/>
        </w:rPr>
        <w:t>。</w:t>
      </w:r>
    </w:p>
    <w:p w14:paraId="713D35C8">
      <w:pPr>
        <w:pStyle w:val="60"/>
        <w:spacing w:line="360" w:lineRule="auto"/>
        <w:ind w:firstLine="560"/>
        <w:rPr>
          <w:rFonts w:hint="eastAsia" w:ascii="仿宋_GB2312" w:hAnsi="仿宋_GB2312" w:eastAsia="仿宋_GB2312" w:cs="仿宋_GB2312"/>
          <w:b w:val="0"/>
          <w:bCs w:val="0"/>
          <w:sz w:val="28"/>
        </w:rPr>
      </w:pPr>
      <w:r>
        <w:rPr>
          <w:rFonts w:hint="eastAsia" w:ascii="仿宋_GB2312" w:hAnsi="仿宋_GB2312" w:eastAsia="仿宋_GB2312" w:cs="仿宋_GB2312"/>
          <w:b w:val="0"/>
          <w:bCs w:val="0"/>
          <w:sz w:val="28"/>
        </w:rPr>
        <w:t>5.在社会上和重汽集团的其他招标过程中没有不良行为记录。</w:t>
      </w:r>
    </w:p>
    <w:p w14:paraId="54B936AE">
      <w:pPr>
        <w:pStyle w:val="60"/>
        <w:spacing w:line="360" w:lineRule="auto"/>
        <w:ind w:firstLine="560"/>
        <w:rPr>
          <w:rFonts w:hint="eastAsia" w:ascii="仿宋_GB2312" w:hAnsi="仿宋_GB2312" w:eastAsia="仿宋_GB2312" w:cs="仿宋_GB2312"/>
          <w:b w:val="0"/>
          <w:bCs w:val="0"/>
          <w:sz w:val="28"/>
        </w:rPr>
      </w:pPr>
      <w:r>
        <w:rPr>
          <w:rFonts w:hint="eastAsia" w:ascii="仿宋_GB2312" w:hAnsi="仿宋_GB2312" w:eastAsia="仿宋_GB2312" w:cs="仿宋_GB2312"/>
          <w:b w:val="0"/>
          <w:bCs w:val="0"/>
          <w:sz w:val="28"/>
        </w:rPr>
        <w:t>6.投标单位应具备并提供近三年消防类项目施工业绩不少于</w:t>
      </w:r>
      <w:r>
        <w:rPr>
          <w:rFonts w:hint="eastAsia" w:ascii="仿宋_GB2312" w:hAnsi="仿宋_GB2312" w:eastAsia="仿宋_GB2312" w:cs="仿宋_GB2312"/>
          <w:b w:val="0"/>
          <w:bCs w:val="0"/>
          <w:sz w:val="28"/>
          <w:lang w:val="en-US" w:eastAsia="zh-CN"/>
        </w:rPr>
        <w:t>3</w:t>
      </w:r>
      <w:r>
        <w:rPr>
          <w:rFonts w:hint="eastAsia" w:ascii="仿宋_GB2312" w:hAnsi="仿宋_GB2312" w:eastAsia="仿宋_GB2312" w:cs="仿宋_GB2312"/>
          <w:b w:val="0"/>
          <w:bCs w:val="0"/>
          <w:sz w:val="28"/>
        </w:rPr>
        <w:t>份。</w:t>
      </w:r>
    </w:p>
    <w:p w14:paraId="4B244711">
      <w:pPr>
        <w:pStyle w:val="60"/>
        <w:spacing w:line="360" w:lineRule="auto"/>
        <w:ind w:firstLine="560"/>
        <w:rPr>
          <w:rFonts w:hint="eastAsia" w:ascii="仿宋_GB2312" w:hAnsi="仿宋_GB2312" w:eastAsia="仿宋_GB2312" w:cs="仿宋_GB2312"/>
          <w:b w:val="0"/>
          <w:bCs w:val="0"/>
          <w:sz w:val="28"/>
        </w:rPr>
      </w:pPr>
      <w:r>
        <w:rPr>
          <w:rFonts w:hint="eastAsia" w:ascii="仿宋_GB2312" w:hAnsi="仿宋_GB2312" w:eastAsia="仿宋_GB2312" w:cs="仿宋_GB2312"/>
          <w:b w:val="0"/>
          <w:bCs w:val="0"/>
          <w:sz w:val="28"/>
        </w:rPr>
        <w:t>（二）投标单位要求</w:t>
      </w:r>
    </w:p>
    <w:p w14:paraId="2E63B101">
      <w:pPr>
        <w:pStyle w:val="60"/>
        <w:spacing w:line="360" w:lineRule="auto"/>
        <w:ind w:firstLine="560"/>
        <w:rPr>
          <w:rFonts w:hint="eastAsia" w:ascii="仿宋_GB2312" w:hAnsi="仿宋_GB2312" w:eastAsia="仿宋_GB2312" w:cs="仿宋_GB2312"/>
          <w:b w:val="0"/>
          <w:bCs w:val="0"/>
          <w:sz w:val="28"/>
        </w:rPr>
      </w:pPr>
      <w:r>
        <w:rPr>
          <w:rFonts w:hint="eastAsia" w:ascii="仿宋_GB2312" w:hAnsi="仿宋_GB2312" w:eastAsia="仿宋_GB2312" w:cs="仿宋_GB2312"/>
          <w:b w:val="0"/>
          <w:bCs w:val="0"/>
          <w:sz w:val="28"/>
        </w:rPr>
        <w:t>1、投标单位必须独立参加投标，不得以任何形式授权他人或组织联合体形式参加投标。投标单位中标后，不得以任何形式进行转包和分包。</w:t>
      </w:r>
    </w:p>
    <w:p w14:paraId="3826A69F">
      <w:pPr>
        <w:pStyle w:val="60"/>
        <w:spacing w:line="360" w:lineRule="auto"/>
        <w:ind w:firstLine="560"/>
        <w:rPr>
          <w:rFonts w:hint="eastAsia" w:ascii="仿宋_GB2312" w:hAnsi="仿宋_GB2312" w:eastAsia="仿宋_GB2312" w:cs="仿宋_GB2312"/>
          <w:b w:val="0"/>
          <w:bCs w:val="0"/>
          <w:sz w:val="28"/>
        </w:rPr>
      </w:pPr>
      <w:r>
        <w:rPr>
          <w:rFonts w:hint="eastAsia" w:ascii="仿宋_GB2312" w:hAnsi="仿宋_GB2312" w:eastAsia="仿宋_GB2312" w:cs="仿宋_GB2312"/>
          <w:b w:val="0"/>
          <w:bCs w:val="0"/>
          <w:sz w:val="28"/>
        </w:rPr>
        <w:t>2、投标单位需根据此项目系统工作量及专业性，出具科学性、合理性、详细的维修改造方案。</w:t>
      </w:r>
    </w:p>
    <w:p w14:paraId="4EBB483A">
      <w:pPr>
        <w:pStyle w:val="60"/>
        <w:spacing w:line="360" w:lineRule="auto"/>
        <w:ind w:firstLine="560"/>
        <w:rPr>
          <w:rFonts w:hint="eastAsia" w:ascii="仿宋_GB2312" w:hAnsi="仿宋_GB2312" w:eastAsia="仿宋_GB2312" w:cs="仿宋_GB2312"/>
          <w:b w:val="0"/>
          <w:bCs w:val="0"/>
          <w:sz w:val="28"/>
        </w:rPr>
      </w:pPr>
      <w:r>
        <w:rPr>
          <w:rFonts w:hint="eastAsia" w:ascii="仿宋_GB2312" w:hAnsi="仿宋_GB2312" w:eastAsia="仿宋_GB2312" w:cs="仿宋_GB2312"/>
          <w:b w:val="0"/>
          <w:bCs w:val="0"/>
          <w:sz w:val="28"/>
        </w:rPr>
        <w:t>3、投标单位需依据报价单专业岗位划分类型为此项目安排专业团队，并在投标文件中列明各专业岗位人员配置数量及人员素质、工作经验等要求。</w:t>
      </w:r>
    </w:p>
    <w:p w14:paraId="2E576D0D">
      <w:pPr>
        <w:pStyle w:val="60"/>
        <w:spacing w:line="360" w:lineRule="auto"/>
        <w:ind w:firstLine="560"/>
        <w:rPr>
          <w:rFonts w:hint="eastAsia" w:ascii="仿宋_GB2312" w:hAnsi="仿宋_GB2312" w:eastAsia="仿宋_GB2312" w:cs="仿宋_GB2312"/>
          <w:b w:val="0"/>
          <w:bCs w:val="0"/>
          <w:sz w:val="28"/>
        </w:rPr>
      </w:pPr>
      <w:r>
        <w:rPr>
          <w:rFonts w:hint="eastAsia" w:ascii="仿宋_GB2312" w:hAnsi="仿宋_GB2312" w:eastAsia="仿宋_GB2312" w:cs="仿宋_GB2312"/>
          <w:b w:val="0"/>
          <w:bCs w:val="0"/>
          <w:sz w:val="28"/>
        </w:rPr>
        <w:t>4、投标单位需依据项目背景及内容，详细阐述对该项目的施工内容及范围包括工期、施工进度说明等。</w:t>
      </w:r>
    </w:p>
    <w:p w14:paraId="74164D22">
      <w:pPr>
        <w:pStyle w:val="60"/>
        <w:spacing w:line="360" w:lineRule="auto"/>
        <w:ind w:firstLine="560"/>
        <w:rPr>
          <w:rFonts w:hint="eastAsia" w:ascii="仿宋_GB2312" w:hAnsi="仿宋_GB2312" w:eastAsia="仿宋_GB2312" w:cs="仿宋_GB2312"/>
          <w:b w:val="0"/>
          <w:bCs w:val="0"/>
          <w:sz w:val="28"/>
        </w:rPr>
      </w:pPr>
      <w:r>
        <w:rPr>
          <w:rFonts w:hint="eastAsia" w:ascii="仿宋_GB2312" w:hAnsi="仿宋_GB2312" w:eastAsia="仿宋_GB2312" w:cs="仿宋_GB2312"/>
          <w:b w:val="0"/>
          <w:bCs w:val="0"/>
          <w:sz w:val="28"/>
        </w:rPr>
        <w:t>5、投标单位所供项目标的，必须符合中国最新版的法律、法规和相关标准、规范的要求，符合项目所在地政府有关特殊要求；</w:t>
      </w:r>
    </w:p>
    <w:p w14:paraId="4D828F14">
      <w:pPr>
        <w:pStyle w:val="60"/>
        <w:spacing w:line="360" w:lineRule="auto"/>
        <w:ind w:firstLine="560"/>
        <w:rPr>
          <w:rFonts w:hint="eastAsia" w:ascii="仿宋_GB2312" w:hAnsi="仿宋_GB2312" w:eastAsia="仿宋_GB2312" w:cs="仿宋_GB2312"/>
          <w:b w:val="0"/>
          <w:bCs w:val="0"/>
          <w:sz w:val="28"/>
        </w:rPr>
      </w:pPr>
      <w:r>
        <w:rPr>
          <w:rFonts w:hint="eastAsia" w:ascii="仿宋_GB2312" w:hAnsi="仿宋_GB2312" w:eastAsia="仿宋_GB2312" w:cs="仿宋_GB2312"/>
          <w:b w:val="0"/>
          <w:bCs w:val="0"/>
          <w:sz w:val="28"/>
        </w:rPr>
        <w:t>6、投标单位应对委托方提出的各项技术要求同意进行技术（担保）承诺，并保证委托方不因此受到任何侵权指控和实际损失；</w:t>
      </w:r>
    </w:p>
    <w:p w14:paraId="499D7D27">
      <w:pPr>
        <w:pStyle w:val="60"/>
        <w:spacing w:line="360" w:lineRule="auto"/>
        <w:ind w:firstLine="560"/>
        <w:rPr>
          <w:rFonts w:hint="eastAsia" w:ascii="仿宋_GB2312" w:hAnsi="仿宋_GB2312" w:eastAsia="仿宋_GB2312" w:cs="仿宋_GB2312"/>
          <w:b w:val="0"/>
          <w:bCs w:val="0"/>
          <w:sz w:val="28"/>
        </w:rPr>
      </w:pPr>
      <w:r>
        <w:rPr>
          <w:rFonts w:hint="eastAsia" w:ascii="仿宋_GB2312" w:hAnsi="仿宋_GB2312" w:eastAsia="仿宋_GB2312" w:cs="仿宋_GB2312"/>
          <w:b w:val="0"/>
          <w:bCs w:val="0"/>
          <w:sz w:val="28"/>
        </w:rPr>
        <w:t>7、投标单位应保证所供服务或技术的先进性、可靠性、经济性和实用性；</w:t>
      </w:r>
    </w:p>
    <w:p w14:paraId="51F22401">
      <w:pPr>
        <w:pStyle w:val="60"/>
        <w:spacing w:line="360" w:lineRule="auto"/>
        <w:ind w:firstLine="560"/>
        <w:rPr>
          <w:rFonts w:hint="eastAsia" w:ascii="仿宋_GB2312" w:hAnsi="仿宋_GB2312" w:eastAsia="仿宋_GB2312" w:cs="仿宋_GB2312"/>
          <w:b w:val="0"/>
          <w:bCs w:val="0"/>
          <w:sz w:val="28"/>
        </w:rPr>
      </w:pPr>
      <w:r>
        <w:rPr>
          <w:rFonts w:hint="eastAsia" w:ascii="仿宋_GB2312" w:hAnsi="仿宋_GB2312" w:eastAsia="仿宋_GB2312" w:cs="仿宋_GB2312"/>
          <w:b w:val="0"/>
          <w:bCs w:val="0"/>
          <w:sz w:val="28"/>
        </w:rPr>
        <w:t>8、招标方提供的数据为仅供参考，实际数据请投标方实地查勘</w:t>
      </w:r>
      <w:r>
        <w:rPr>
          <w:rFonts w:hint="eastAsia" w:ascii="仿宋_GB2312" w:hAnsi="仿宋_GB2312" w:eastAsia="仿宋_GB2312" w:cs="仿宋_GB2312"/>
          <w:b w:val="0"/>
          <w:bCs w:val="0"/>
          <w:sz w:val="28"/>
          <w:lang w:eastAsia="zh-CN"/>
        </w:rPr>
        <w:t>，</w:t>
      </w:r>
      <w:r>
        <w:rPr>
          <w:rFonts w:hint="eastAsia" w:ascii="仿宋_GB2312" w:hAnsi="仿宋_GB2312" w:eastAsia="仿宋_GB2312" w:cs="仿宋_GB2312"/>
          <w:b w:val="0"/>
          <w:bCs w:val="0"/>
          <w:sz w:val="28"/>
          <w:lang w:val="en-US" w:eastAsia="zh-CN"/>
        </w:rPr>
        <w:t>未进行实地勘察的视为不符合技术要求，不得进入商务标</w:t>
      </w:r>
      <w:r>
        <w:rPr>
          <w:rFonts w:hint="eastAsia" w:ascii="仿宋_GB2312" w:hAnsi="仿宋_GB2312" w:eastAsia="仿宋_GB2312" w:cs="仿宋_GB2312"/>
          <w:b w:val="0"/>
          <w:bCs w:val="0"/>
          <w:sz w:val="28"/>
        </w:rPr>
        <w:t>；</w:t>
      </w:r>
    </w:p>
    <w:p w14:paraId="2A1305AA">
      <w:pPr>
        <w:pStyle w:val="60"/>
        <w:spacing w:line="360" w:lineRule="auto"/>
        <w:ind w:firstLine="560"/>
        <w:rPr>
          <w:rFonts w:hint="eastAsia" w:ascii="仿宋_GB2312" w:hAnsi="仿宋_GB2312" w:eastAsia="仿宋_GB2312" w:cs="仿宋_GB2312"/>
          <w:b w:val="0"/>
          <w:bCs w:val="0"/>
          <w:sz w:val="28"/>
        </w:rPr>
      </w:pPr>
      <w:r>
        <w:rPr>
          <w:rFonts w:hint="eastAsia" w:ascii="仿宋_GB2312" w:hAnsi="仿宋_GB2312" w:eastAsia="仿宋_GB2312" w:cs="仿宋_GB2312"/>
          <w:b w:val="0"/>
          <w:bCs w:val="0"/>
          <w:sz w:val="28"/>
        </w:rPr>
        <w:t>9、本招标书所使用的标准如遇与施工方所执行的标准发生矛盾时，应按较高标准执行。</w:t>
      </w:r>
    </w:p>
    <w:p w14:paraId="0A68985A">
      <w:pPr>
        <w:pStyle w:val="60"/>
        <w:spacing w:line="360" w:lineRule="auto"/>
        <w:ind w:firstLine="560"/>
        <w:rPr>
          <w:rFonts w:hint="default" w:ascii="仿宋_GB2312" w:hAnsi="仿宋_GB2312" w:eastAsia="仿宋_GB2312" w:cs="仿宋_GB2312"/>
          <w:b w:val="0"/>
          <w:bCs w:val="0"/>
          <w:sz w:val="28"/>
          <w:lang w:val="en-US" w:eastAsia="zh-CN"/>
        </w:rPr>
      </w:pPr>
      <w:r>
        <w:rPr>
          <w:rFonts w:hint="eastAsia" w:ascii="仿宋_GB2312" w:hAnsi="仿宋_GB2312" w:eastAsia="仿宋_GB2312" w:cs="仿宋_GB2312"/>
          <w:b w:val="0"/>
          <w:bCs w:val="0"/>
          <w:sz w:val="28"/>
          <w:lang w:val="en-US" w:eastAsia="zh-CN"/>
        </w:rPr>
        <w:t>10、获得所供逃生缓降器品牌厂家的授权。</w:t>
      </w:r>
    </w:p>
    <w:p w14:paraId="0E5281AE">
      <w:pPr>
        <w:pStyle w:val="60"/>
        <w:spacing w:line="360" w:lineRule="auto"/>
        <w:ind w:firstLine="560"/>
        <w:rPr>
          <w:rFonts w:hint="eastAsia" w:ascii="仿宋_GB2312" w:hAnsi="仿宋_GB2312" w:eastAsia="仿宋_GB2312" w:cs="仿宋_GB2312"/>
          <w:b w:val="0"/>
          <w:bCs w:val="0"/>
          <w:sz w:val="28"/>
        </w:rPr>
      </w:pPr>
      <w:r>
        <w:rPr>
          <w:rFonts w:hint="eastAsia" w:ascii="仿宋_GB2312" w:hAnsi="仿宋_GB2312" w:eastAsia="仿宋_GB2312" w:cs="仿宋_GB2312"/>
          <w:b w:val="0"/>
          <w:bCs w:val="0"/>
          <w:sz w:val="28"/>
        </w:rPr>
        <w:t>（二）执行标准：</w:t>
      </w:r>
    </w:p>
    <w:p w14:paraId="154F8141">
      <w:pPr>
        <w:pStyle w:val="60"/>
        <w:spacing w:line="360" w:lineRule="auto"/>
        <w:ind w:firstLine="560"/>
        <w:rPr>
          <w:rFonts w:hint="eastAsia" w:ascii="仿宋_GB2312" w:hAnsi="仿宋_GB2312" w:eastAsia="仿宋_GB2312" w:cs="仿宋_GB2312"/>
          <w:b w:val="0"/>
          <w:bCs w:val="0"/>
          <w:sz w:val="28"/>
        </w:rPr>
      </w:pPr>
      <w:r>
        <w:rPr>
          <w:rFonts w:hint="eastAsia" w:ascii="仿宋_GB2312" w:hAnsi="仿宋_GB2312" w:eastAsia="仿宋_GB2312" w:cs="仿宋_GB2312"/>
          <w:b w:val="0"/>
          <w:bCs w:val="0"/>
          <w:sz w:val="28"/>
        </w:rPr>
        <w:t>1、GB 38230-2025《坠落防护缓降装置》</w:t>
      </w:r>
    </w:p>
    <w:p w14:paraId="33749391">
      <w:pPr>
        <w:pStyle w:val="60"/>
        <w:spacing w:line="360" w:lineRule="auto"/>
        <w:ind w:firstLine="560"/>
        <w:rPr>
          <w:rFonts w:hint="eastAsia" w:ascii="仿宋_GB2312" w:hAnsi="仿宋_GB2312" w:eastAsia="仿宋_GB2312" w:cs="仿宋_GB2312"/>
          <w:b w:val="0"/>
          <w:bCs w:val="0"/>
          <w:sz w:val="28"/>
          <w:lang w:val="en-US" w:eastAsia="zh-CN"/>
        </w:rPr>
      </w:pPr>
      <w:r>
        <w:rPr>
          <w:rFonts w:hint="eastAsia" w:ascii="仿宋_GB2312" w:hAnsi="仿宋_GB2312" w:eastAsia="仿宋_GB2312" w:cs="仿宋_GB2312"/>
          <w:b w:val="0"/>
          <w:bCs w:val="0"/>
          <w:sz w:val="28"/>
          <w:lang w:val="en-US" w:eastAsia="zh-CN"/>
        </w:rPr>
        <w:t>2、《高层民用建筑消防安全管理规定》(应急管理部令第五号)</w:t>
      </w:r>
    </w:p>
    <w:p w14:paraId="54F8CE56">
      <w:pPr>
        <w:pStyle w:val="60"/>
        <w:spacing w:line="360" w:lineRule="auto"/>
        <w:ind w:firstLine="560"/>
        <w:rPr>
          <w:rFonts w:hint="eastAsia" w:ascii="仿宋_GB2312" w:hAnsi="仿宋_GB2312" w:eastAsia="仿宋_GB2312" w:cs="仿宋_GB2312"/>
          <w:b w:val="0"/>
          <w:bCs w:val="0"/>
          <w:sz w:val="28"/>
        </w:rPr>
      </w:pPr>
      <w:r>
        <w:rPr>
          <w:rFonts w:hint="eastAsia" w:ascii="仿宋_GB2312" w:hAnsi="仿宋_GB2312" w:eastAsia="仿宋_GB2312" w:cs="仿宋_GB2312"/>
          <w:b w:val="0"/>
          <w:bCs w:val="0"/>
          <w:sz w:val="28"/>
        </w:rPr>
        <w:t>（</w:t>
      </w:r>
      <w:r>
        <w:rPr>
          <w:rFonts w:hint="eastAsia" w:ascii="仿宋_GB2312" w:hAnsi="仿宋_GB2312" w:eastAsia="仿宋_GB2312" w:cs="仿宋_GB2312"/>
          <w:b w:val="0"/>
          <w:bCs w:val="0"/>
          <w:sz w:val="28"/>
          <w:lang w:val="en-US" w:eastAsia="zh-CN"/>
        </w:rPr>
        <w:t>三</w:t>
      </w:r>
      <w:r>
        <w:rPr>
          <w:rFonts w:hint="eastAsia" w:ascii="仿宋_GB2312" w:hAnsi="仿宋_GB2312" w:eastAsia="仿宋_GB2312" w:cs="仿宋_GB2312"/>
          <w:b w:val="0"/>
          <w:bCs w:val="0"/>
          <w:sz w:val="28"/>
        </w:rPr>
        <w:t xml:space="preserve">）具体要求： </w:t>
      </w:r>
    </w:p>
    <w:p w14:paraId="7F585328">
      <w:pPr>
        <w:pStyle w:val="60"/>
        <w:spacing w:line="360" w:lineRule="auto"/>
        <w:ind w:firstLine="560"/>
        <w:rPr>
          <w:rFonts w:hint="eastAsia" w:ascii="仿宋_GB2312" w:hAnsi="仿宋_GB2312" w:eastAsia="仿宋_GB2312" w:cs="仿宋_GB2312"/>
          <w:b w:val="0"/>
          <w:bCs w:val="0"/>
          <w:sz w:val="28"/>
          <w:lang w:eastAsia="zh-CN"/>
        </w:rPr>
      </w:pPr>
      <w:r>
        <w:rPr>
          <w:rFonts w:hint="eastAsia" w:ascii="仿宋_GB2312" w:hAnsi="仿宋_GB2312" w:eastAsia="仿宋_GB2312" w:cs="仿宋_GB2312"/>
          <w:b w:val="0"/>
          <w:bCs w:val="0"/>
          <w:sz w:val="28"/>
        </w:rPr>
        <w:t>为保证各投标方、施工方明确我方招标及施工要求，现将有关事项告知如下</w:t>
      </w:r>
      <w:r>
        <w:rPr>
          <w:rFonts w:hint="eastAsia" w:ascii="仿宋_GB2312" w:hAnsi="仿宋_GB2312" w:eastAsia="仿宋_GB2312" w:cs="仿宋_GB2312"/>
          <w:b w:val="0"/>
          <w:bCs w:val="0"/>
          <w:sz w:val="28"/>
          <w:lang w:eastAsia="zh-CN"/>
        </w:rPr>
        <w:t>：</w:t>
      </w:r>
    </w:p>
    <w:p w14:paraId="4398D77F">
      <w:pPr>
        <w:pStyle w:val="60"/>
        <w:spacing w:line="360" w:lineRule="auto"/>
        <w:ind w:firstLine="560"/>
        <w:rPr>
          <w:rFonts w:hint="eastAsia" w:ascii="仿宋_GB2312" w:hAnsi="仿宋_GB2312" w:eastAsia="仿宋_GB2312" w:cs="仿宋_GB2312"/>
          <w:b w:val="0"/>
          <w:bCs w:val="0"/>
          <w:sz w:val="28"/>
        </w:rPr>
      </w:pPr>
      <w:r>
        <w:rPr>
          <w:rFonts w:hint="eastAsia" w:ascii="仿宋_GB2312" w:hAnsi="仿宋_GB2312" w:eastAsia="仿宋_GB2312" w:cs="仿宋_GB2312"/>
          <w:b w:val="0"/>
          <w:bCs w:val="0"/>
          <w:sz w:val="28"/>
        </w:rPr>
        <w:t>1、材料进场前必须提供材料样品，封样，且需与标书一致，无特殊原因不得变更标书主材品牌、规格、型号等，如需变更，需双方协商一致，并签订现场主材变更单。</w:t>
      </w:r>
    </w:p>
    <w:p w14:paraId="28173711">
      <w:pPr>
        <w:pStyle w:val="60"/>
        <w:spacing w:line="360" w:lineRule="auto"/>
        <w:ind w:firstLine="560"/>
        <w:rPr>
          <w:rFonts w:hint="eastAsia" w:ascii="仿宋_GB2312" w:hAnsi="仿宋_GB2312" w:eastAsia="仿宋_GB2312" w:cs="仿宋_GB2312"/>
          <w:b w:val="0"/>
          <w:bCs w:val="0"/>
          <w:sz w:val="28"/>
        </w:rPr>
      </w:pPr>
      <w:r>
        <w:rPr>
          <w:rFonts w:hint="eastAsia" w:ascii="仿宋_GB2312" w:hAnsi="仿宋_GB2312" w:eastAsia="仿宋_GB2312" w:cs="仿宋_GB2312"/>
          <w:b w:val="0"/>
          <w:bCs w:val="0"/>
          <w:sz w:val="28"/>
        </w:rPr>
        <w:t>2、涉及隐蔽验收的项目，必须签署隐蔽验收表，合格后方可进行下一道工序，否则造成的返工、窝工，由施工方承担责任。</w:t>
      </w:r>
    </w:p>
    <w:p w14:paraId="6CFB2F76">
      <w:pPr>
        <w:pStyle w:val="60"/>
        <w:spacing w:line="360" w:lineRule="auto"/>
        <w:ind w:firstLine="560"/>
        <w:rPr>
          <w:rFonts w:hint="eastAsia" w:ascii="仿宋_GB2312" w:hAnsi="仿宋_GB2312" w:eastAsia="仿宋_GB2312" w:cs="仿宋_GB2312"/>
          <w:b w:val="0"/>
          <w:bCs w:val="0"/>
          <w:sz w:val="28"/>
        </w:rPr>
      </w:pPr>
      <w:r>
        <w:rPr>
          <w:rFonts w:hint="eastAsia" w:ascii="仿宋_GB2312" w:hAnsi="仿宋_GB2312" w:eastAsia="仿宋_GB2312" w:cs="仿宋_GB2312"/>
          <w:b w:val="0"/>
          <w:bCs w:val="0"/>
          <w:sz w:val="28"/>
        </w:rPr>
        <w:t>3、参与招标人员、施工人员应对公司招标所供给的相关信息和技术资料履行保密义务。</w:t>
      </w:r>
    </w:p>
    <w:p w14:paraId="216542D5">
      <w:pPr>
        <w:pStyle w:val="60"/>
        <w:spacing w:line="360" w:lineRule="auto"/>
        <w:ind w:firstLine="560"/>
        <w:rPr>
          <w:rFonts w:hint="default" w:ascii="仿宋_GB2312" w:hAnsi="仿宋_GB2312" w:eastAsia="仿宋_GB2312" w:cs="仿宋_GB2312"/>
          <w:b w:val="0"/>
          <w:bCs w:val="0"/>
          <w:sz w:val="28"/>
          <w:lang w:val="en-US" w:eastAsia="zh-CN"/>
        </w:rPr>
      </w:pPr>
      <w:r>
        <w:rPr>
          <w:rFonts w:hint="eastAsia" w:ascii="仿宋_GB2312" w:hAnsi="仿宋_GB2312" w:eastAsia="仿宋_GB2312" w:cs="仿宋_GB2312"/>
          <w:b w:val="0"/>
          <w:bCs w:val="0"/>
          <w:sz w:val="28"/>
        </w:rPr>
        <w:t>4、</w:t>
      </w:r>
      <w:r>
        <w:rPr>
          <w:rFonts w:hint="eastAsia" w:ascii="仿宋_GB2312" w:hAnsi="仿宋_GB2312" w:eastAsia="仿宋_GB2312" w:cs="仿宋_GB2312"/>
          <w:b w:val="0"/>
          <w:bCs w:val="0"/>
          <w:sz w:val="28"/>
          <w:lang w:val="en-US" w:eastAsia="zh-CN"/>
        </w:rPr>
        <w:t>投标单位应在技术标书中根据实体勘察情况编制详细、符合实际的施工方案，应图文结合，有具体的尺寸、施工方式等。</w:t>
      </w:r>
      <w:r>
        <w:rPr>
          <w:rFonts w:hint="eastAsia" w:ascii="仿宋_GB2312" w:hAnsi="仿宋_GB2312" w:eastAsia="仿宋_GB2312" w:cs="仿宋_GB2312"/>
          <w:b w:val="0"/>
          <w:bCs w:val="0"/>
          <w:sz w:val="28"/>
        </w:rPr>
        <w:t>按照施工方案、图纸施工，如与现场出现冲突时，需与建设方提前沟通，同意后并签订现场变更签证单，方可改动施工。</w:t>
      </w:r>
      <w:r>
        <w:rPr>
          <w:rFonts w:hint="eastAsia" w:ascii="仿宋_GB2312" w:hAnsi="仿宋_GB2312" w:eastAsia="仿宋_GB2312" w:cs="仿宋_GB2312"/>
          <w:b w:val="0"/>
          <w:bCs w:val="0"/>
          <w:sz w:val="28"/>
          <w:lang w:val="en-US" w:eastAsia="zh-CN"/>
        </w:rPr>
        <w:t>不得照抄技术标要求，如发现与技术标要求相似或未按照实际制定详细施工方案的，经专家组评定后，不得进入商务标。</w:t>
      </w:r>
    </w:p>
    <w:p w14:paraId="5E92D6BF">
      <w:pPr>
        <w:pStyle w:val="60"/>
        <w:spacing w:line="360" w:lineRule="auto"/>
        <w:ind w:firstLine="560"/>
        <w:rPr>
          <w:rFonts w:hint="eastAsia" w:ascii="仿宋_GB2312" w:hAnsi="仿宋_GB2312" w:eastAsia="仿宋_GB2312" w:cs="仿宋_GB2312"/>
          <w:b w:val="0"/>
          <w:bCs w:val="0"/>
          <w:sz w:val="28"/>
        </w:rPr>
      </w:pPr>
      <w:r>
        <w:rPr>
          <w:rFonts w:hint="eastAsia" w:ascii="仿宋_GB2312" w:hAnsi="仿宋_GB2312" w:eastAsia="仿宋_GB2312" w:cs="仿宋_GB2312"/>
          <w:b w:val="0"/>
          <w:bCs w:val="0"/>
          <w:sz w:val="28"/>
        </w:rPr>
        <w:t>5、因考虑到厂房在生产过程中施工要进行危险作业，项目组成员必须配备安全员一名，负责施工现场安全的巡查，进行驻场服务。必须保障项目安全有序地进行施工，如公司发现未按照此项约定进行工作，公司有权终止合同，施工方投资的费用公司不予支付，施工时涉及危险作业必须办理审批，人员持证上岗，遵守公司危险作业流程。</w:t>
      </w:r>
    </w:p>
    <w:p w14:paraId="62688E67">
      <w:pPr>
        <w:pStyle w:val="60"/>
        <w:spacing w:line="360" w:lineRule="auto"/>
        <w:ind w:firstLine="560"/>
        <w:rPr>
          <w:rFonts w:hint="eastAsia" w:ascii="仿宋_GB2312" w:hAnsi="仿宋_GB2312" w:eastAsia="仿宋_GB2312" w:cs="仿宋_GB2312"/>
          <w:b w:val="0"/>
          <w:bCs w:val="0"/>
          <w:sz w:val="28"/>
        </w:rPr>
      </w:pPr>
      <w:r>
        <w:rPr>
          <w:rFonts w:hint="eastAsia" w:ascii="仿宋_GB2312" w:hAnsi="仿宋_GB2312" w:eastAsia="仿宋_GB2312" w:cs="仿宋_GB2312"/>
          <w:b w:val="0"/>
          <w:bCs w:val="0"/>
          <w:sz w:val="28"/>
        </w:rPr>
        <w:t>6、设计方案变更、施工工艺变更、施工项目变更等变更事项，需与公司沟通同意并签订现场变更单后，方可施工，未经允许而做变更施工，不予认可。</w:t>
      </w:r>
    </w:p>
    <w:p w14:paraId="6BA9EE2B">
      <w:pPr>
        <w:pStyle w:val="60"/>
        <w:spacing w:line="360" w:lineRule="auto"/>
        <w:ind w:firstLine="560"/>
        <w:rPr>
          <w:rFonts w:hint="eastAsia" w:ascii="仿宋_GB2312" w:hAnsi="仿宋_GB2312" w:eastAsia="仿宋_GB2312" w:cs="仿宋_GB2312"/>
          <w:b w:val="0"/>
          <w:bCs w:val="0"/>
          <w:sz w:val="28"/>
        </w:rPr>
      </w:pPr>
      <w:r>
        <w:rPr>
          <w:rFonts w:hint="eastAsia" w:ascii="仿宋_GB2312" w:hAnsi="仿宋_GB2312" w:eastAsia="仿宋_GB2312" w:cs="仿宋_GB2312"/>
          <w:b w:val="0"/>
          <w:bCs w:val="0"/>
          <w:sz w:val="28"/>
        </w:rPr>
        <w:t>7、施工单位须在全部验收完成后7个自然日内提交所有设备的流向表、检验报告、合格证等；</w:t>
      </w:r>
    </w:p>
    <w:p w14:paraId="3682F2E7">
      <w:pPr>
        <w:pStyle w:val="60"/>
        <w:spacing w:line="360" w:lineRule="auto"/>
        <w:ind w:firstLine="560"/>
        <w:rPr>
          <w:rFonts w:hint="eastAsia" w:ascii="仿宋_GB2312" w:hAnsi="仿宋_GB2312" w:eastAsia="仿宋_GB2312" w:cs="仿宋_GB2312"/>
          <w:b w:val="0"/>
          <w:bCs w:val="0"/>
          <w:sz w:val="28"/>
        </w:rPr>
      </w:pPr>
      <w:r>
        <w:rPr>
          <w:rFonts w:hint="eastAsia" w:ascii="仿宋_GB2312" w:hAnsi="仿宋_GB2312" w:eastAsia="仿宋_GB2312" w:cs="仿宋_GB2312"/>
          <w:b w:val="0"/>
          <w:bCs w:val="0"/>
          <w:sz w:val="28"/>
        </w:rPr>
        <w:t>8、竣工验收须提交验收要求的所有资料。</w:t>
      </w:r>
    </w:p>
    <w:p w14:paraId="26FD392C">
      <w:pPr>
        <w:pStyle w:val="60"/>
        <w:spacing w:line="360" w:lineRule="auto"/>
        <w:ind w:firstLine="560"/>
        <w:rPr>
          <w:rFonts w:hint="eastAsia" w:ascii="仿宋_GB2312" w:hAnsi="仿宋_GB2312" w:eastAsia="仿宋_GB2312" w:cs="仿宋_GB2312"/>
          <w:b w:val="0"/>
          <w:bCs w:val="0"/>
          <w:sz w:val="28"/>
        </w:rPr>
      </w:pPr>
      <w:r>
        <w:rPr>
          <w:rFonts w:hint="eastAsia" w:ascii="仿宋_GB2312" w:hAnsi="仿宋_GB2312" w:eastAsia="仿宋_GB2312" w:cs="仿宋_GB2312"/>
          <w:b w:val="0"/>
          <w:bCs w:val="0"/>
          <w:sz w:val="28"/>
        </w:rPr>
        <w:t>9、项目完工，竣工资料齐备，自检合格后，方可申请建设方验收，并提供消防竣工图纸。</w:t>
      </w:r>
    </w:p>
    <w:p w14:paraId="48FF3588">
      <w:pPr>
        <w:pStyle w:val="60"/>
        <w:spacing w:line="360" w:lineRule="auto"/>
        <w:ind w:firstLine="560"/>
        <w:rPr>
          <w:rFonts w:hint="eastAsia" w:ascii="仿宋_GB2312" w:hAnsi="仿宋_GB2312" w:eastAsia="仿宋_GB2312" w:cs="仿宋_GB2312"/>
          <w:b w:val="0"/>
          <w:bCs w:val="0"/>
          <w:sz w:val="28"/>
        </w:rPr>
      </w:pPr>
      <w:r>
        <w:rPr>
          <w:rFonts w:hint="eastAsia" w:ascii="仿宋_GB2312" w:hAnsi="仿宋_GB2312" w:eastAsia="仿宋_GB2312" w:cs="仿宋_GB2312"/>
          <w:b w:val="0"/>
          <w:bCs w:val="0"/>
          <w:sz w:val="28"/>
        </w:rPr>
        <w:t>10、本项目要求施工人员不少于</w:t>
      </w:r>
      <w:r>
        <w:rPr>
          <w:rFonts w:hint="eastAsia" w:ascii="仿宋_GB2312" w:hAnsi="仿宋_GB2312" w:eastAsia="仿宋_GB2312" w:cs="仿宋_GB2312"/>
          <w:b w:val="0"/>
          <w:bCs w:val="0"/>
          <w:sz w:val="28"/>
          <w:lang w:val="en-US" w:eastAsia="zh-CN"/>
        </w:rPr>
        <w:t>2</w:t>
      </w:r>
      <w:r>
        <w:rPr>
          <w:rFonts w:hint="eastAsia" w:ascii="仿宋_GB2312" w:hAnsi="仿宋_GB2312" w:eastAsia="仿宋_GB2312" w:cs="仿宋_GB2312"/>
          <w:b w:val="0"/>
          <w:bCs w:val="0"/>
          <w:sz w:val="28"/>
        </w:rPr>
        <w:t>人，遵循公司各项规章制度，配备一名项目经理及安全员。</w:t>
      </w:r>
    </w:p>
    <w:p w14:paraId="037C78E4">
      <w:pPr>
        <w:pStyle w:val="60"/>
        <w:spacing w:line="360" w:lineRule="auto"/>
        <w:ind w:firstLine="560"/>
        <w:rPr>
          <w:rFonts w:hint="eastAsia" w:ascii="仿宋_GB2312" w:hAnsi="仿宋_GB2312" w:eastAsia="仿宋_GB2312" w:cs="仿宋_GB2312"/>
          <w:b w:val="0"/>
          <w:bCs w:val="0"/>
          <w:sz w:val="28"/>
        </w:rPr>
      </w:pPr>
      <w:r>
        <w:rPr>
          <w:rFonts w:hint="eastAsia" w:ascii="仿宋_GB2312" w:hAnsi="仿宋_GB2312" w:eastAsia="仿宋_GB2312" w:cs="仿宋_GB2312"/>
          <w:b w:val="0"/>
          <w:bCs w:val="0"/>
          <w:sz w:val="28"/>
        </w:rPr>
        <w:t>11、项目完工后遇紧急情况时，乙方应在规定的应急响应时间内到达现场处理故障，超时未到的，乙方应承担损失责任及费用，并视情节轻重对乙方处以</w:t>
      </w:r>
      <w:r>
        <w:rPr>
          <w:rFonts w:hint="eastAsia" w:ascii="仿宋_GB2312" w:hAnsi="仿宋_GB2312" w:eastAsia="仿宋_GB2312" w:cs="仿宋_GB2312"/>
          <w:b w:val="0"/>
          <w:bCs w:val="0"/>
          <w:sz w:val="28"/>
          <w:lang w:val="en-US" w:eastAsia="zh-CN"/>
        </w:rPr>
        <w:t>考核</w:t>
      </w:r>
      <w:r>
        <w:rPr>
          <w:rFonts w:hint="eastAsia" w:ascii="仿宋_GB2312" w:hAnsi="仿宋_GB2312" w:eastAsia="仿宋_GB2312" w:cs="仿宋_GB2312"/>
          <w:b w:val="0"/>
          <w:bCs w:val="0"/>
          <w:sz w:val="28"/>
        </w:rPr>
        <w:t>，从质保金扣除。</w:t>
      </w:r>
    </w:p>
    <w:p w14:paraId="2E80C7D6">
      <w:pPr>
        <w:pStyle w:val="60"/>
        <w:spacing w:line="360" w:lineRule="auto"/>
        <w:ind w:firstLine="560"/>
        <w:rPr>
          <w:rFonts w:hint="eastAsia" w:ascii="仿宋_GB2312" w:hAnsi="仿宋_GB2312" w:eastAsia="仿宋_GB2312" w:cs="仿宋_GB2312"/>
          <w:b w:val="0"/>
          <w:bCs w:val="0"/>
          <w:sz w:val="28"/>
          <w:highlight w:val="none"/>
        </w:rPr>
      </w:pPr>
      <w:r>
        <w:rPr>
          <w:rFonts w:hint="eastAsia" w:ascii="仿宋_GB2312" w:hAnsi="仿宋_GB2312" w:eastAsia="仿宋_GB2312" w:cs="仿宋_GB2312"/>
          <w:b w:val="0"/>
          <w:bCs w:val="0"/>
          <w:sz w:val="28"/>
          <w:highlight w:val="none"/>
        </w:rPr>
        <w:t>12、需更换消防配件时，乙方应及时通知甲方购买配件，因乙方未及时维修、更换配件所造成损失的，乙方应承担损失责任及费用，并视情节轻重对乙方</w:t>
      </w:r>
      <w:r>
        <w:rPr>
          <w:rFonts w:hint="eastAsia" w:ascii="仿宋_GB2312" w:hAnsi="仿宋_GB2312" w:eastAsia="仿宋_GB2312" w:cs="仿宋_GB2312"/>
          <w:b w:val="0"/>
          <w:bCs w:val="0"/>
          <w:sz w:val="28"/>
          <w:highlight w:val="none"/>
          <w:lang w:val="en-US" w:eastAsia="zh-CN"/>
        </w:rPr>
        <w:t>进行考核</w:t>
      </w:r>
      <w:r>
        <w:rPr>
          <w:rFonts w:hint="eastAsia" w:ascii="仿宋_GB2312" w:hAnsi="仿宋_GB2312" w:eastAsia="仿宋_GB2312" w:cs="仿宋_GB2312"/>
          <w:b w:val="0"/>
          <w:bCs w:val="0"/>
          <w:sz w:val="28"/>
          <w:highlight w:val="none"/>
        </w:rPr>
        <w:t>，从质保金扣除。</w:t>
      </w:r>
    </w:p>
    <w:p w14:paraId="0507CD0B">
      <w:pPr>
        <w:pStyle w:val="60"/>
        <w:spacing w:line="360" w:lineRule="auto"/>
        <w:ind w:firstLine="560"/>
        <w:rPr>
          <w:rFonts w:hint="eastAsia" w:ascii="仿宋_GB2312" w:hAnsi="仿宋_GB2312" w:eastAsia="仿宋_GB2312" w:cs="仿宋_GB2312"/>
          <w:b w:val="0"/>
          <w:bCs w:val="0"/>
          <w:sz w:val="28"/>
        </w:rPr>
      </w:pPr>
      <w:r>
        <w:rPr>
          <w:rFonts w:hint="eastAsia" w:ascii="仿宋_GB2312" w:hAnsi="仿宋_GB2312" w:eastAsia="仿宋_GB2312" w:cs="仿宋_GB2312"/>
          <w:b w:val="0"/>
          <w:bCs w:val="0"/>
          <w:sz w:val="28"/>
        </w:rPr>
        <w:t>（五）其他要求：</w:t>
      </w:r>
    </w:p>
    <w:p w14:paraId="47CA3F2F">
      <w:pPr>
        <w:pStyle w:val="60"/>
        <w:spacing w:line="360" w:lineRule="auto"/>
        <w:ind w:firstLine="560"/>
        <w:rPr>
          <w:rFonts w:hint="eastAsia" w:ascii="仿宋_GB2312" w:hAnsi="仿宋_GB2312" w:eastAsia="仿宋_GB2312" w:cs="仿宋_GB2312"/>
          <w:b w:val="0"/>
          <w:bCs w:val="0"/>
          <w:sz w:val="28"/>
        </w:rPr>
      </w:pPr>
      <w:r>
        <w:rPr>
          <w:rFonts w:hint="eastAsia" w:ascii="仿宋_GB2312" w:hAnsi="仿宋_GB2312" w:eastAsia="仿宋_GB2312" w:cs="仿宋_GB2312"/>
          <w:b w:val="0"/>
          <w:bCs w:val="0"/>
          <w:sz w:val="28"/>
          <w:lang w:val="en-US" w:eastAsia="zh-CN"/>
        </w:rPr>
        <w:t>1、</w:t>
      </w:r>
      <w:r>
        <w:rPr>
          <w:rFonts w:hint="eastAsia" w:ascii="仿宋_GB2312" w:hAnsi="仿宋_GB2312" w:eastAsia="仿宋_GB2312" w:cs="仿宋_GB2312"/>
          <w:b w:val="0"/>
          <w:bCs w:val="0"/>
          <w:sz w:val="28"/>
        </w:rPr>
        <w:t>厂区内严禁吸烟。未按照要求发现一次扣罚1000元。</w:t>
      </w:r>
    </w:p>
    <w:p w14:paraId="5CDF2107">
      <w:pPr>
        <w:pStyle w:val="60"/>
        <w:spacing w:line="360" w:lineRule="auto"/>
        <w:ind w:firstLine="560"/>
        <w:rPr>
          <w:rFonts w:hint="eastAsia" w:ascii="仿宋_GB2312" w:hAnsi="仿宋_GB2312" w:eastAsia="仿宋_GB2312" w:cs="仿宋_GB2312"/>
          <w:b w:val="0"/>
          <w:bCs w:val="0"/>
          <w:sz w:val="28"/>
        </w:rPr>
      </w:pPr>
      <w:r>
        <w:rPr>
          <w:rFonts w:hint="eastAsia" w:ascii="仿宋_GB2312" w:hAnsi="仿宋_GB2312" w:eastAsia="仿宋_GB2312" w:cs="仿宋_GB2312"/>
          <w:b w:val="0"/>
          <w:bCs w:val="0"/>
          <w:sz w:val="28"/>
          <w:lang w:val="en-US" w:eastAsia="zh-CN"/>
        </w:rPr>
        <w:t>2、</w:t>
      </w:r>
      <w:r>
        <w:rPr>
          <w:rFonts w:hint="eastAsia" w:ascii="仿宋_GB2312" w:hAnsi="仿宋_GB2312" w:eastAsia="仿宋_GB2312" w:cs="仿宋_GB2312"/>
          <w:b w:val="0"/>
          <w:bCs w:val="0"/>
          <w:sz w:val="28"/>
        </w:rPr>
        <w:t>驻场维保人员必须经过安全培训，三级教育考试合格，安全培训应针对现场实际特点，进行风险点分析，讲解防范措施，考试合格后方可办理入厂通行证。</w:t>
      </w:r>
    </w:p>
    <w:p w14:paraId="399DC6A9">
      <w:pPr>
        <w:pStyle w:val="60"/>
        <w:spacing w:line="360" w:lineRule="auto"/>
        <w:ind w:firstLine="560"/>
        <w:rPr>
          <w:rFonts w:hint="eastAsia" w:ascii="仿宋_GB2312" w:hAnsi="仿宋_GB2312" w:eastAsia="仿宋_GB2312" w:cs="仿宋_GB2312"/>
          <w:b w:val="0"/>
          <w:bCs w:val="0"/>
          <w:sz w:val="28"/>
        </w:rPr>
      </w:pPr>
      <w:r>
        <w:rPr>
          <w:rFonts w:hint="eastAsia" w:ascii="仿宋_GB2312" w:hAnsi="仿宋_GB2312" w:eastAsia="仿宋_GB2312" w:cs="仿宋_GB2312"/>
          <w:b w:val="0"/>
          <w:bCs w:val="0"/>
          <w:sz w:val="28"/>
          <w:lang w:val="en-US" w:eastAsia="zh-CN"/>
        </w:rPr>
        <w:t>3、</w:t>
      </w:r>
      <w:r>
        <w:rPr>
          <w:rFonts w:hint="eastAsia" w:ascii="仿宋_GB2312" w:hAnsi="仿宋_GB2312" w:eastAsia="仿宋_GB2312" w:cs="仿宋_GB2312"/>
          <w:b w:val="0"/>
          <w:bCs w:val="0"/>
          <w:sz w:val="28"/>
        </w:rPr>
        <w:t>乙方使用的工具：电动工器具、升降车、起重工器具等所用设备，且必须经相关部门检验合格并贴合格证后方可使用。</w:t>
      </w:r>
    </w:p>
    <w:p w14:paraId="36DCB2AB">
      <w:pPr>
        <w:pStyle w:val="60"/>
        <w:spacing w:line="360" w:lineRule="auto"/>
        <w:ind w:firstLine="560"/>
        <w:rPr>
          <w:rFonts w:hint="eastAsia" w:ascii="仿宋_GB2312" w:hAnsi="仿宋_GB2312" w:eastAsia="仿宋_GB2312" w:cs="仿宋_GB2312"/>
          <w:b w:val="0"/>
          <w:bCs w:val="0"/>
          <w:sz w:val="28"/>
        </w:rPr>
      </w:pPr>
      <w:r>
        <w:rPr>
          <w:rFonts w:hint="eastAsia" w:ascii="仿宋_GB2312" w:hAnsi="仿宋_GB2312" w:eastAsia="仿宋_GB2312" w:cs="仿宋_GB2312"/>
          <w:b w:val="0"/>
          <w:bCs w:val="0"/>
          <w:sz w:val="28"/>
          <w:lang w:val="en-US" w:eastAsia="zh-CN"/>
        </w:rPr>
        <w:t>4、</w:t>
      </w:r>
      <w:r>
        <w:rPr>
          <w:rFonts w:hint="eastAsia" w:ascii="仿宋_GB2312" w:hAnsi="仿宋_GB2312" w:eastAsia="仿宋_GB2312" w:cs="仿宋_GB2312"/>
          <w:b w:val="0"/>
          <w:bCs w:val="0"/>
          <w:sz w:val="28"/>
        </w:rPr>
        <w:t>乙方人员应遵守国家法律法规、甲方各项规章制度及合同约定内容，若违反上述内容及造成损失的，乙方应承担责任及损失所产生的相关费用，并视情节轻重</w:t>
      </w:r>
      <w:r>
        <w:rPr>
          <w:rFonts w:hint="eastAsia" w:ascii="仿宋_GB2312" w:hAnsi="仿宋_GB2312" w:eastAsia="仿宋_GB2312" w:cs="仿宋_GB2312"/>
          <w:b w:val="0"/>
          <w:bCs w:val="0"/>
          <w:sz w:val="28"/>
          <w:lang w:val="en-US" w:eastAsia="zh-CN"/>
        </w:rPr>
        <w:t>扣除相应货款</w:t>
      </w:r>
      <w:r>
        <w:rPr>
          <w:rFonts w:hint="eastAsia" w:ascii="仿宋_GB2312" w:hAnsi="仿宋_GB2312" w:eastAsia="仿宋_GB2312" w:cs="仿宋_GB2312"/>
          <w:b w:val="0"/>
          <w:bCs w:val="0"/>
          <w:sz w:val="28"/>
        </w:rPr>
        <w:t>。</w:t>
      </w:r>
    </w:p>
    <w:p w14:paraId="4D337429">
      <w:pPr>
        <w:pStyle w:val="60"/>
        <w:spacing w:line="360" w:lineRule="auto"/>
        <w:ind w:firstLine="560"/>
        <w:rPr>
          <w:rFonts w:hint="eastAsia" w:ascii="仿宋_GB2312" w:hAnsi="仿宋_GB2312" w:eastAsia="仿宋_GB2312" w:cs="仿宋_GB2312"/>
          <w:b w:val="0"/>
          <w:bCs w:val="0"/>
          <w:sz w:val="28"/>
        </w:rPr>
      </w:pPr>
      <w:r>
        <w:rPr>
          <w:rFonts w:hint="eastAsia" w:ascii="仿宋_GB2312" w:hAnsi="仿宋_GB2312" w:eastAsia="仿宋_GB2312" w:cs="仿宋_GB2312"/>
          <w:b w:val="0"/>
          <w:bCs w:val="0"/>
          <w:sz w:val="28"/>
          <w:lang w:val="en-US" w:eastAsia="zh-CN"/>
        </w:rPr>
        <w:t>5、</w:t>
      </w:r>
      <w:r>
        <w:rPr>
          <w:rFonts w:hint="eastAsia" w:ascii="仿宋_GB2312" w:hAnsi="仿宋_GB2312" w:eastAsia="仿宋_GB2312" w:cs="仿宋_GB2312"/>
          <w:b w:val="0"/>
          <w:bCs w:val="0"/>
          <w:sz w:val="28"/>
        </w:rPr>
        <w:t>本项目为</w:t>
      </w:r>
      <w:r>
        <w:rPr>
          <w:rFonts w:hint="eastAsia" w:ascii="仿宋_GB2312" w:hAnsi="仿宋_GB2312" w:eastAsia="仿宋_GB2312" w:cs="仿宋_GB2312"/>
          <w:b w:val="0"/>
          <w:bCs w:val="0"/>
          <w:sz w:val="28"/>
          <w:lang w:val="en-US" w:eastAsia="zh-CN"/>
        </w:rPr>
        <w:t>60</w:t>
      </w:r>
      <w:r>
        <w:rPr>
          <w:rFonts w:hint="eastAsia" w:ascii="仿宋_GB2312" w:hAnsi="仿宋_GB2312" w:eastAsia="仿宋_GB2312" w:cs="仿宋_GB2312"/>
          <w:b w:val="0"/>
          <w:bCs w:val="0"/>
          <w:sz w:val="28"/>
        </w:rPr>
        <w:t>天内施工完毕，每逾期1</w:t>
      </w:r>
      <w:r>
        <w:rPr>
          <w:rFonts w:hint="eastAsia" w:ascii="仿宋_GB2312" w:hAnsi="仿宋_GB2312" w:eastAsia="仿宋_GB2312" w:cs="仿宋_GB2312"/>
          <w:b w:val="0"/>
          <w:bCs w:val="0"/>
          <w:sz w:val="28"/>
          <w:lang w:val="en-US" w:eastAsia="zh-CN"/>
        </w:rPr>
        <w:t>周</w:t>
      </w:r>
      <w:r>
        <w:rPr>
          <w:rFonts w:hint="eastAsia" w:ascii="仿宋_GB2312" w:hAnsi="仿宋_GB2312" w:eastAsia="仿宋_GB2312" w:cs="仿宋_GB2312"/>
          <w:b w:val="0"/>
          <w:bCs w:val="0"/>
          <w:sz w:val="28"/>
        </w:rPr>
        <w:t>，处以项目费用5%的罚款。</w:t>
      </w:r>
    </w:p>
    <w:p w14:paraId="74BDD98D">
      <w:pPr>
        <w:pStyle w:val="60"/>
        <w:spacing w:line="360" w:lineRule="auto"/>
        <w:ind w:firstLine="560"/>
        <w:rPr>
          <w:rFonts w:hint="eastAsia" w:ascii="仿宋_GB2312" w:hAnsi="仿宋_GB2312" w:eastAsia="仿宋_GB2312" w:cs="仿宋_GB2312"/>
          <w:b w:val="0"/>
          <w:bCs w:val="0"/>
          <w:sz w:val="28"/>
        </w:rPr>
      </w:pPr>
      <w:r>
        <w:rPr>
          <w:rFonts w:hint="eastAsia" w:ascii="仿宋_GB2312" w:hAnsi="仿宋_GB2312" w:eastAsia="仿宋_GB2312" w:cs="仿宋_GB2312"/>
          <w:b w:val="0"/>
          <w:bCs w:val="0"/>
          <w:sz w:val="28"/>
          <w:lang w:val="en-US" w:eastAsia="zh-CN"/>
        </w:rPr>
        <w:t>6、</w:t>
      </w:r>
      <w:r>
        <w:rPr>
          <w:rFonts w:hint="eastAsia" w:ascii="仿宋_GB2312" w:hAnsi="仿宋_GB2312" w:eastAsia="仿宋_GB2312" w:cs="仿宋_GB2312"/>
          <w:b w:val="0"/>
          <w:bCs w:val="0"/>
          <w:sz w:val="28"/>
        </w:rPr>
        <w:t>满足消防法律法规要求，消除行政处罚风险。</w:t>
      </w:r>
    </w:p>
    <w:p w14:paraId="1EA89706">
      <w:pPr>
        <w:pStyle w:val="60"/>
        <w:spacing w:line="360" w:lineRule="auto"/>
        <w:ind w:firstLine="560"/>
        <w:rPr>
          <w:rFonts w:hint="eastAsia" w:ascii="仿宋_GB2312" w:hAnsi="仿宋_GB2312" w:eastAsia="仿宋_GB2312" w:cs="仿宋_GB2312"/>
          <w:b w:val="0"/>
          <w:bCs w:val="0"/>
          <w:sz w:val="28"/>
        </w:rPr>
      </w:pPr>
      <w:r>
        <w:rPr>
          <w:rFonts w:hint="eastAsia" w:ascii="仿宋_GB2312" w:hAnsi="仿宋_GB2312" w:eastAsia="仿宋_GB2312" w:cs="仿宋_GB2312"/>
          <w:b w:val="0"/>
          <w:bCs w:val="0"/>
          <w:sz w:val="28"/>
          <w:lang w:val="en-US" w:eastAsia="zh-CN"/>
        </w:rPr>
        <w:t>7、</w:t>
      </w:r>
      <w:r>
        <w:rPr>
          <w:rFonts w:hint="eastAsia" w:ascii="仿宋_GB2312" w:hAnsi="仿宋_GB2312" w:eastAsia="仿宋_GB2312" w:cs="仿宋_GB2312"/>
          <w:b w:val="0"/>
          <w:bCs w:val="0"/>
          <w:sz w:val="28"/>
        </w:rPr>
        <w:t>确保园区消防供水正常，紧急时刻为应急补救提供稳定有压水源。</w:t>
      </w:r>
    </w:p>
    <w:p w14:paraId="4610369D">
      <w:pPr>
        <w:pStyle w:val="60"/>
        <w:spacing w:line="360" w:lineRule="auto"/>
        <w:ind w:firstLine="560"/>
        <w:rPr>
          <w:rFonts w:hint="eastAsia" w:ascii="仿宋_GB2312" w:hAnsi="仿宋_GB2312" w:eastAsia="仿宋_GB2312" w:cs="仿宋_GB2312"/>
          <w:b w:val="0"/>
          <w:bCs w:val="0"/>
          <w:sz w:val="28"/>
        </w:rPr>
      </w:pPr>
      <w:r>
        <w:rPr>
          <w:rFonts w:hint="eastAsia" w:ascii="仿宋_GB2312" w:hAnsi="仿宋_GB2312" w:eastAsia="仿宋_GB2312" w:cs="仿宋_GB2312"/>
          <w:b w:val="0"/>
          <w:bCs w:val="0"/>
          <w:sz w:val="28"/>
          <w:lang w:val="en-US" w:eastAsia="zh-CN"/>
        </w:rPr>
        <w:t>8、</w:t>
      </w:r>
      <w:r>
        <w:rPr>
          <w:rFonts w:hint="eastAsia" w:ascii="仿宋_GB2312" w:hAnsi="仿宋_GB2312" w:eastAsia="仿宋_GB2312" w:cs="仿宋_GB2312"/>
          <w:b w:val="0"/>
          <w:bCs w:val="0"/>
          <w:sz w:val="28"/>
        </w:rPr>
        <w:t>满足质量检测中心消防验收条件。</w:t>
      </w:r>
    </w:p>
    <w:p w14:paraId="7C793C32">
      <w:pPr>
        <w:pStyle w:val="60"/>
        <w:spacing w:line="360" w:lineRule="auto"/>
        <w:ind w:firstLine="560"/>
        <w:rPr>
          <w:rFonts w:hint="eastAsia" w:ascii="仿宋_GB2312" w:hAnsi="仿宋_GB2312" w:eastAsia="仿宋_GB2312" w:cs="仿宋_GB2312"/>
          <w:b w:val="0"/>
          <w:bCs w:val="0"/>
          <w:sz w:val="28"/>
        </w:rPr>
      </w:pPr>
      <w:r>
        <w:rPr>
          <w:rFonts w:hint="eastAsia" w:ascii="仿宋_GB2312" w:hAnsi="仿宋_GB2312" w:eastAsia="仿宋_GB2312" w:cs="仿宋_GB2312"/>
          <w:b w:val="0"/>
          <w:bCs w:val="0"/>
          <w:sz w:val="28"/>
        </w:rPr>
        <w:t>二、施工范围及要求（说明提供详细技术要求）</w:t>
      </w:r>
    </w:p>
    <w:p w14:paraId="75B876B7">
      <w:pPr>
        <w:pStyle w:val="60"/>
        <w:spacing w:line="360" w:lineRule="auto"/>
        <w:ind w:firstLine="560"/>
        <w:rPr>
          <w:rFonts w:hint="default" w:ascii="仿宋_GB2312" w:hAnsi="仿宋_GB2312" w:eastAsia="仿宋_GB2312" w:cs="仿宋_GB2312"/>
          <w:b w:val="0"/>
          <w:bCs w:val="0"/>
          <w:sz w:val="28"/>
          <w:lang w:val="en-US" w:eastAsia="zh-CN"/>
        </w:rPr>
      </w:pPr>
      <w:r>
        <w:rPr>
          <w:rFonts w:hint="eastAsia" w:ascii="仿宋_GB2312" w:hAnsi="仿宋_GB2312" w:eastAsia="仿宋_GB2312" w:cs="仿宋_GB2312"/>
          <w:b w:val="0"/>
          <w:bCs w:val="0"/>
          <w:sz w:val="28"/>
        </w:rPr>
        <w:t>（一）施工地点：</w:t>
      </w:r>
      <w:r>
        <w:rPr>
          <w:rFonts w:hint="eastAsia" w:ascii="仿宋_GB2312" w:hAnsi="仿宋_GB2312" w:eastAsia="仿宋_GB2312" w:cs="仿宋_GB2312"/>
          <w:b w:val="0"/>
          <w:bCs w:val="0"/>
          <w:sz w:val="28"/>
          <w:lang w:val="en-US" w:eastAsia="zh-CN"/>
        </w:rPr>
        <w:t>中国重汽科技园区</w:t>
      </w:r>
    </w:p>
    <w:p w14:paraId="1C75D7E8">
      <w:pPr>
        <w:pStyle w:val="60"/>
        <w:spacing w:line="360" w:lineRule="auto"/>
        <w:ind w:firstLine="560"/>
        <w:rPr>
          <w:rFonts w:hint="eastAsia" w:ascii="仿宋_GB2312" w:hAnsi="仿宋_GB2312" w:eastAsia="仿宋_GB2312" w:cs="仿宋_GB2312"/>
          <w:b w:val="0"/>
          <w:bCs w:val="0"/>
          <w:sz w:val="28"/>
        </w:rPr>
      </w:pPr>
      <w:r>
        <w:rPr>
          <w:rFonts w:hint="eastAsia" w:ascii="仿宋_GB2312" w:hAnsi="仿宋_GB2312" w:eastAsia="仿宋_GB2312" w:cs="仿宋_GB2312"/>
          <w:b w:val="0"/>
          <w:bCs w:val="0"/>
          <w:sz w:val="28"/>
        </w:rPr>
        <w:t>（二）施工时间：承揽方应自合同签订之日起，</w:t>
      </w:r>
      <w:r>
        <w:rPr>
          <w:rFonts w:hint="eastAsia" w:ascii="仿宋_GB2312" w:hAnsi="仿宋_GB2312" w:eastAsia="仿宋_GB2312" w:cs="仿宋_GB2312"/>
          <w:b w:val="0"/>
          <w:bCs w:val="0"/>
          <w:sz w:val="28"/>
          <w:lang w:val="en-US" w:eastAsia="zh-CN"/>
        </w:rPr>
        <w:t>60</w:t>
      </w:r>
      <w:r>
        <w:rPr>
          <w:rFonts w:hint="eastAsia" w:ascii="仿宋_GB2312" w:hAnsi="仿宋_GB2312" w:eastAsia="仿宋_GB2312" w:cs="仿宋_GB2312"/>
          <w:b w:val="0"/>
          <w:bCs w:val="0"/>
          <w:sz w:val="28"/>
        </w:rPr>
        <w:t>个日历日之内完成（或协助完成）终验收（投标文件“供货时间”中，应明确说明各阶段工作最终完成时间）。</w:t>
      </w:r>
    </w:p>
    <w:p w14:paraId="6A573900">
      <w:pPr>
        <w:pStyle w:val="60"/>
        <w:spacing w:line="360" w:lineRule="auto"/>
        <w:ind w:firstLine="560"/>
        <w:rPr>
          <w:rFonts w:hint="eastAsia" w:ascii="仿宋_GB2312" w:hAnsi="仿宋_GB2312" w:eastAsia="仿宋_GB2312" w:cs="仿宋_GB2312"/>
          <w:b w:val="0"/>
          <w:bCs w:val="0"/>
          <w:sz w:val="28"/>
        </w:rPr>
      </w:pPr>
      <w:r>
        <w:rPr>
          <w:rFonts w:hint="eastAsia" w:ascii="仿宋_GB2312" w:hAnsi="仿宋_GB2312" w:eastAsia="仿宋_GB2312" w:cs="仿宋_GB2312"/>
          <w:b w:val="0"/>
          <w:bCs w:val="0"/>
          <w:sz w:val="28"/>
        </w:rPr>
        <w:t>（三）质保期：承揽方所提供承揽服务/技术涉及的全部供货范围内的配件、材料、资料、技术等，除合同特别约定外，均自终验收签字生效之日起，不低于</w:t>
      </w:r>
      <w:r>
        <w:rPr>
          <w:rFonts w:hint="eastAsia" w:ascii="仿宋_GB2312" w:hAnsi="仿宋_GB2312" w:eastAsia="仿宋_GB2312" w:cs="仿宋_GB2312"/>
          <w:b w:val="0"/>
          <w:bCs w:val="0"/>
          <w:sz w:val="28"/>
          <w:highlight w:val="none"/>
          <w:lang w:val="en-US" w:eastAsia="zh-CN"/>
        </w:rPr>
        <w:t>12</w:t>
      </w:r>
      <w:r>
        <w:rPr>
          <w:rFonts w:hint="eastAsia" w:ascii="仿宋_GB2312" w:hAnsi="仿宋_GB2312" w:eastAsia="仿宋_GB2312" w:cs="仿宋_GB2312"/>
          <w:b w:val="0"/>
          <w:bCs w:val="0"/>
          <w:sz w:val="28"/>
          <w:highlight w:val="none"/>
        </w:rPr>
        <w:t>个月（</w:t>
      </w:r>
      <w:r>
        <w:rPr>
          <w:rFonts w:hint="eastAsia" w:ascii="仿宋_GB2312" w:hAnsi="仿宋_GB2312" w:eastAsia="仿宋_GB2312" w:cs="仿宋_GB2312"/>
          <w:b w:val="0"/>
          <w:bCs w:val="0"/>
          <w:sz w:val="28"/>
        </w:rPr>
        <w:t>如有更长时间质保期，可在投标文件中说明）。</w:t>
      </w:r>
    </w:p>
    <w:p w14:paraId="32E63EB6">
      <w:pPr>
        <w:pStyle w:val="60"/>
        <w:spacing w:line="360" w:lineRule="auto"/>
        <w:ind w:firstLine="560"/>
        <w:rPr>
          <w:rFonts w:hint="eastAsia" w:ascii="仿宋_GB2312" w:hAnsi="仿宋_GB2312" w:eastAsia="仿宋_GB2312" w:cs="仿宋_GB2312"/>
          <w:b w:val="0"/>
          <w:bCs w:val="0"/>
          <w:sz w:val="28"/>
        </w:rPr>
      </w:pPr>
      <w:r>
        <w:rPr>
          <w:rFonts w:hint="eastAsia" w:ascii="仿宋_GB2312" w:hAnsi="仿宋_GB2312" w:eastAsia="仿宋_GB2312" w:cs="仿宋_GB2312"/>
          <w:b w:val="0"/>
          <w:bCs w:val="0"/>
          <w:sz w:val="28"/>
        </w:rPr>
        <w:t>（四）技术资料范围</w:t>
      </w:r>
    </w:p>
    <w:p w14:paraId="08E37D29">
      <w:pPr>
        <w:pStyle w:val="60"/>
        <w:spacing w:line="360" w:lineRule="auto"/>
        <w:ind w:firstLine="560"/>
        <w:rPr>
          <w:rFonts w:hint="eastAsia" w:ascii="仿宋_GB2312" w:hAnsi="仿宋_GB2312" w:eastAsia="仿宋_GB2312" w:cs="仿宋_GB2312"/>
          <w:b w:val="0"/>
          <w:bCs w:val="0"/>
          <w:sz w:val="28"/>
        </w:rPr>
      </w:pPr>
      <w:r>
        <w:rPr>
          <w:rFonts w:hint="eastAsia" w:ascii="仿宋_GB2312" w:hAnsi="仿宋_GB2312" w:eastAsia="仿宋_GB2312" w:cs="仿宋_GB2312"/>
          <w:b w:val="0"/>
          <w:bCs w:val="0"/>
          <w:sz w:val="28"/>
        </w:rPr>
        <w:t>1、承揽方须负责在预验收前，提供功能描述文件、图纸。【针对非标产品】</w:t>
      </w:r>
    </w:p>
    <w:p w14:paraId="303CE788">
      <w:pPr>
        <w:pStyle w:val="60"/>
        <w:spacing w:line="360" w:lineRule="auto"/>
        <w:ind w:firstLine="560"/>
        <w:rPr>
          <w:rFonts w:hint="eastAsia" w:ascii="仿宋_GB2312" w:hAnsi="仿宋_GB2312" w:eastAsia="仿宋_GB2312" w:cs="仿宋_GB2312"/>
          <w:b w:val="0"/>
          <w:bCs w:val="0"/>
          <w:sz w:val="28"/>
        </w:rPr>
      </w:pPr>
      <w:r>
        <w:rPr>
          <w:rFonts w:hint="eastAsia" w:ascii="仿宋_GB2312" w:hAnsi="仿宋_GB2312" w:eastAsia="仿宋_GB2312" w:cs="仿宋_GB2312"/>
          <w:b w:val="0"/>
          <w:bCs w:val="0"/>
          <w:sz w:val="28"/>
        </w:rPr>
        <w:t>2、承揽方须负责在终验收后、终验收后的第一笔货款支付日之前，提供包括操作维护手册，保养维修手册、操作和安全事项的使用说明书。【针对非标产品】</w:t>
      </w:r>
    </w:p>
    <w:p w14:paraId="42BFA594">
      <w:pPr>
        <w:pStyle w:val="60"/>
        <w:spacing w:line="360" w:lineRule="auto"/>
        <w:ind w:firstLine="560"/>
        <w:rPr>
          <w:rFonts w:hint="eastAsia" w:ascii="仿宋_GB2312" w:hAnsi="仿宋_GB2312" w:eastAsia="仿宋_GB2312" w:cs="仿宋_GB2312"/>
          <w:b w:val="0"/>
          <w:bCs w:val="0"/>
          <w:sz w:val="28"/>
        </w:rPr>
      </w:pPr>
      <w:r>
        <w:rPr>
          <w:rFonts w:hint="eastAsia" w:ascii="仿宋_GB2312" w:hAnsi="仿宋_GB2312" w:eastAsia="仿宋_GB2312" w:cs="仿宋_GB2312"/>
          <w:b w:val="0"/>
          <w:bCs w:val="0"/>
          <w:sz w:val="28"/>
        </w:rPr>
        <w:t>3、承揽方须负责在终验收后、终验收后的第一笔货款支付日之前，提供包括设计总图、安装基础图、维修图等有关的资料；【针对非标产品】</w:t>
      </w:r>
    </w:p>
    <w:p w14:paraId="76556EC8">
      <w:pPr>
        <w:pStyle w:val="60"/>
        <w:spacing w:line="360" w:lineRule="auto"/>
        <w:ind w:firstLine="560"/>
        <w:rPr>
          <w:rFonts w:hint="eastAsia" w:ascii="仿宋_GB2312" w:hAnsi="仿宋_GB2312" w:eastAsia="仿宋_GB2312" w:cs="仿宋_GB2312"/>
          <w:b w:val="0"/>
          <w:bCs w:val="0"/>
          <w:sz w:val="28"/>
        </w:rPr>
      </w:pPr>
      <w:r>
        <w:rPr>
          <w:rFonts w:hint="eastAsia" w:ascii="仿宋_GB2312" w:hAnsi="仿宋_GB2312" w:eastAsia="仿宋_GB2312" w:cs="仿宋_GB2312"/>
          <w:b w:val="0"/>
          <w:bCs w:val="0"/>
          <w:sz w:val="28"/>
        </w:rPr>
        <w:t>4、本“技术资料范围”所列的技术资料、图等，承揽方应各提供2套，每份技术文件应装有目录清单；【针对非标产品】</w:t>
      </w:r>
    </w:p>
    <w:p w14:paraId="7715DCC8">
      <w:pPr>
        <w:pStyle w:val="60"/>
        <w:spacing w:line="360" w:lineRule="auto"/>
        <w:ind w:firstLine="560"/>
        <w:rPr>
          <w:rFonts w:hint="eastAsia" w:ascii="仿宋_GB2312" w:hAnsi="仿宋_GB2312" w:eastAsia="仿宋_GB2312" w:cs="仿宋_GB2312"/>
          <w:b w:val="0"/>
          <w:bCs w:val="0"/>
          <w:sz w:val="28"/>
          <w:highlight w:val="none"/>
        </w:rPr>
      </w:pPr>
      <w:r>
        <w:rPr>
          <w:rFonts w:hint="eastAsia" w:ascii="仿宋_GB2312" w:hAnsi="仿宋_GB2312" w:eastAsia="仿宋_GB2312" w:cs="仿宋_GB2312"/>
          <w:b w:val="0"/>
          <w:bCs w:val="0"/>
          <w:sz w:val="28"/>
          <w:highlight w:val="none"/>
        </w:rPr>
        <w:t>（五）系统工作要求</w:t>
      </w:r>
    </w:p>
    <w:p w14:paraId="65CFB4A1">
      <w:pPr>
        <w:pStyle w:val="60"/>
        <w:spacing w:line="360" w:lineRule="auto"/>
        <w:ind w:firstLine="560"/>
        <w:rPr>
          <w:rFonts w:hint="eastAsia" w:ascii="仿宋_GB2312" w:hAnsi="仿宋_GB2312" w:eastAsia="仿宋_GB2312" w:cs="仿宋_GB2312"/>
          <w:b w:val="0"/>
          <w:bCs w:val="0"/>
          <w:sz w:val="28"/>
          <w:lang w:val="en-US" w:eastAsia="zh-CN"/>
        </w:rPr>
      </w:pPr>
      <w:r>
        <w:rPr>
          <w:rFonts w:hint="eastAsia" w:ascii="仿宋_GB2312" w:hAnsi="仿宋_GB2312" w:eastAsia="仿宋_GB2312" w:cs="仿宋_GB2312"/>
          <w:b w:val="0"/>
          <w:bCs w:val="0"/>
          <w:sz w:val="28"/>
          <w:lang w:val="en-US" w:eastAsia="zh-CN"/>
        </w:rPr>
        <w:t>1.主材选型</w:t>
      </w:r>
    </w:p>
    <w:p w14:paraId="5668AC7D">
      <w:pPr>
        <w:pStyle w:val="60"/>
        <w:spacing w:line="360" w:lineRule="auto"/>
        <w:ind w:firstLine="560"/>
        <w:rPr>
          <w:rFonts w:hint="eastAsia" w:ascii="仿宋_GB2312" w:hAnsi="仿宋_GB2312" w:eastAsia="仿宋_GB2312" w:cs="仿宋_GB2312"/>
          <w:b w:val="0"/>
          <w:bCs w:val="0"/>
          <w:sz w:val="28"/>
          <w:lang w:val="en-US" w:eastAsia="zh-CN"/>
        </w:rPr>
      </w:pPr>
      <w:r>
        <w:rPr>
          <w:rFonts w:hint="eastAsia" w:ascii="仿宋_GB2312" w:hAnsi="仿宋_GB2312" w:eastAsia="仿宋_GB2312" w:cs="仿宋_GB2312"/>
          <w:b w:val="0"/>
          <w:bCs w:val="0"/>
          <w:sz w:val="28"/>
          <w:lang w:val="en-US" w:eastAsia="zh-CN"/>
        </w:rPr>
        <w:t>缓降器本体:选用通过国家消防装备质量监督检验中心检测的自冷却式产品，核心部件包含调速器(离心力摩擦阻尼系统)、安全带(双腋下固定式)、安全钩(承重&gt;15kN)及下降绳(航空级钢丝绳，直径&gt;8mm，内芯含钢丝+高强涤纶保护层，耐温&gt;200℃)。</w:t>
      </w:r>
    </w:p>
    <w:p w14:paraId="4D0F6E50">
      <w:pPr>
        <w:pStyle w:val="60"/>
        <w:spacing w:line="360" w:lineRule="auto"/>
        <w:ind w:firstLine="560"/>
        <w:rPr>
          <w:rFonts w:hint="eastAsia" w:ascii="仿宋_GB2312" w:hAnsi="仿宋_GB2312" w:eastAsia="仿宋_GB2312" w:cs="仿宋_GB2312"/>
          <w:b w:val="0"/>
          <w:bCs w:val="0"/>
          <w:sz w:val="28"/>
          <w:lang w:val="en-US" w:eastAsia="zh-CN"/>
        </w:rPr>
      </w:pPr>
      <w:r>
        <w:rPr>
          <w:rFonts w:hint="eastAsia" w:ascii="仿宋_GB2312" w:hAnsi="仿宋_GB2312" w:eastAsia="仿宋_GB2312" w:cs="仿宋_GB2312"/>
          <w:b w:val="0"/>
          <w:bCs w:val="0"/>
          <w:sz w:val="28"/>
          <w:lang w:val="en-US" w:eastAsia="zh-CN"/>
        </w:rPr>
        <w:t>2、结构承载力检测</w:t>
      </w:r>
    </w:p>
    <w:p w14:paraId="05F09BE4">
      <w:pPr>
        <w:pStyle w:val="60"/>
        <w:spacing w:line="360" w:lineRule="auto"/>
        <w:ind w:firstLine="560"/>
        <w:rPr>
          <w:rFonts w:hint="eastAsia" w:ascii="仿宋_GB2312" w:hAnsi="仿宋_GB2312" w:eastAsia="仿宋_GB2312" w:cs="仿宋_GB2312"/>
          <w:b w:val="0"/>
          <w:bCs w:val="0"/>
          <w:sz w:val="28"/>
          <w:lang w:val="en-US" w:eastAsia="zh-CN"/>
        </w:rPr>
      </w:pPr>
      <w:r>
        <w:rPr>
          <w:rFonts w:hint="eastAsia" w:ascii="仿宋_GB2312" w:hAnsi="仿宋_GB2312" w:eastAsia="仿宋_GB2312" w:cs="仿宋_GB2312"/>
          <w:b w:val="0"/>
          <w:bCs w:val="0"/>
          <w:sz w:val="28"/>
          <w:lang w:val="en-US" w:eastAsia="zh-CN"/>
        </w:rPr>
        <w:t>对安装点墙体或楼板进行结构验算，确保混凝土强度等级&gt;C30，锚点单点承重&gt;20kN。采用回弹仪检测实体强度，对轻质隔墙、空心砖等非承重结构，需增设钢结构转换梁或后置埋板。</w:t>
      </w:r>
    </w:p>
    <w:p w14:paraId="77558A84">
      <w:pPr>
        <w:pStyle w:val="60"/>
        <w:numPr>
          <w:ilvl w:val="0"/>
          <w:numId w:val="8"/>
        </w:numPr>
        <w:spacing w:line="360" w:lineRule="auto"/>
        <w:ind w:firstLine="560"/>
        <w:rPr>
          <w:rFonts w:hint="eastAsia" w:ascii="仿宋_GB2312" w:hAnsi="仿宋_GB2312" w:eastAsia="仿宋_GB2312" w:cs="仿宋_GB2312"/>
          <w:b w:val="0"/>
          <w:bCs w:val="0"/>
          <w:sz w:val="28"/>
          <w:lang w:val="en-US" w:eastAsia="zh-CN"/>
        </w:rPr>
      </w:pPr>
      <w:r>
        <w:rPr>
          <w:rFonts w:hint="eastAsia" w:ascii="仿宋_GB2312" w:hAnsi="仿宋_GB2312" w:eastAsia="仿宋_GB2312" w:cs="仿宋_GB2312"/>
          <w:b w:val="0"/>
          <w:bCs w:val="0"/>
          <w:sz w:val="28"/>
          <w:lang w:val="en-US" w:eastAsia="zh-CN"/>
        </w:rPr>
        <w:t>未来科技大厦5层-18层，每层在消防救援窗附近安装嵌入式隐藏柜体，内部用于放置逃生救援绳索、附件及安装的挂点。</w:t>
      </w:r>
    </w:p>
    <w:p w14:paraId="23F0EAB6">
      <w:pPr>
        <w:pStyle w:val="60"/>
        <w:numPr>
          <w:ilvl w:val="0"/>
          <w:numId w:val="8"/>
        </w:numPr>
        <w:spacing w:line="360" w:lineRule="auto"/>
        <w:ind w:firstLine="560"/>
        <w:rPr>
          <w:rFonts w:hint="default" w:ascii="仿宋_GB2312" w:hAnsi="仿宋_GB2312" w:eastAsia="仿宋_GB2312" w:cs="仿宋_GB2312"/>
          <w:b w:val="0"/>
          <w:bCs w:val="0"/>
          <w:sz w:val="28"/>
          <w:lang w:val="en-US" w:eastAsia="zh-CN"/>
        </w:rPr>
      </w:pPr>
      <w:r>
        <w:rPr>
          <w:rFonts w:hint="eastAsia" w:ascii="仿宋_GB2312" w:hAnsi="仿宋_GB2312" w:eastAsia="仿宋_GB2312" w:cs="仿宋_GB2312"/>
          <w:b w:val="0"/>
          <w:bCs w:val="0"/>
          <w:sz w:val="28"/>
          <w:lang w:val="en-US" w:eastAsia="zh-CN"/>
        </w:rPr>
        <w:t>科技大厦在12层、27层避难层，每层安装两个逃生救援箱，内部用于放置逃生救援绳索、附件及安装的挂点。</w:t>
      </w:r>
    </w:p>
    <w:p w14:paraId="0378D39B">
      <w:pPr>
        <w:pStyle w:val="60"/>
        <w:spacing w:line="360" w:lineRule="auto"/>
        <w:ind w:firstLine="560"/>
        <w:rPr>
          <w:rFonts w:hint="eastAsia" w:ascii="仿宋_GB2312" w:hAnsi="仿宋_GB2312" w:eastAsia="仿宋_GB2312" w:cs="仿宋_GB2312"/>
          <w:b w:val="0"/>
          <w:bCs w:val="0"/>
          <w:sz w:val="28"/>
        </w:rPr>
      </w:pPr>
      <w:r>
        <w:rPr>
          <w:rFonts w:hint="eastAsia" w:ascii="仿宋_GB2312" w:hAnsi="仿宋_GB2312" w:eastAsia="仿宋_GB2312" w:cs="仿宋_GB2312"/>
          <w:b w:val="0"/>
          <w:bCs w:val="0"/>
          <w:sz w:val="28"/>
        </w:rPr>
        <w:t xml:space="preserve"> 三、服务范围及要求</w:t>
      </w:r>
    </w:p>
    <w:p w14:paraId="316AA1FE">
      <w:pPr>
        <w:pStyle w:val="60"/>
        <w:spacing w:line="360" w:lineRule="auto"/>
        <w:ind w:firstLine="560"/>
        <w:rPr>
          <w:rFonts w:hint="eastAsia" w:ascii="仿宋_GB2312" w:hAnsi="仿宋_GB2312" w:eastAsia="仿宋_GB2312" w:cs="仿宋_GB2312"/>
          <w:b w:val="0"/>
          <w:bCs w:val="0"/>
          <w:sz w:val="28"/>
        </w:rPr>
      </w:pPr>
      <w:r>
        <w:rPr>
          <w:rFonts w:hint="eastAsia" w:ascii="仿宋_GB2312" w:hAnsi="仿宋_GB2312" w:eastAsia="仿宋_GB2312" w:cs="仿宋_GB2312"/>
          <w:b w:val="0"/>
          <w:bCs w:val="0"/>
          <w:sz w:val="28"/>
        </w:rPr>
        <w:t>（一）技术指导和培训服务</w:t>
      </w:r>
    </w:p>
    <w:p w14:paraId="1E52F539">
      <w:pPr>
        <w:pStyle w:val="60"/>
        <w:spacing w:line="360" w:lineRule="auto"/>
        <w:ind w:firstLine="560"/>
        <w:rPr>
          <w:rFonts w:hint="eastAsia" w:ascii="仿宋_GB2312" w:hAnsi="仿宋_GB2312" w:eastAsia="仿宋_GB2312" w:cs="仿宋_GB2312"/>
          <w:b w:val="0"/>
          <w:bCs w:val="0"/>
          <w:sz w:val="28"/>
        </w:rPr>
      </w:pPr>
      <w:r>
        <w:rPr>
          <w:rFonts w:hint="eastAsia" w:ascii="仿宋_GB2312" w:hAnsi="仿宋_GB2312" w:eastAsia="仿宋_GB2312" w:cs="仿宋_GB2312"/>
          <w:b w:val="0"/>
          <w:bCs w:val="0"/>
          <w:sz w:val="28"/>
        </w:rPr>
        <w:t>1、承揽方应按要求，免费积极协助和提供委托方和委托方所委托的工程设计单位有关人员所需要的和项目有关的工程设计资料、技术咨询等；【针对非标产品】</w:t>
      </w:r>
    </w:p>
    <w:p w14:paraId="49B4779C">
      <w:pPr>
        <w:pStyle w:val="60"/>
        <w:spacing w:line="360" w:lineRule="auto"/>
        <w:ind w:firstLine="560"/>
        <w:rPr>
          <w:rFonts w:hint="eastAsia" w:ascii="仿宋_GB2312" w:hAnsi="仿宋_GB2312" w:eastAsia="仿宋_GB2312" w:cs="仿宋_GB2312"/>
          <w:b w:val="0"/>
          <w:bCs w:val="0"/>
          <w:sz w:val="28"/>
        </w:rPr>
      </w:pPr>
      <w:r>
        <w:rPr>
          <w:rFonts w:hint="eastAsia" w:ascii="仿宋_GB2312" w:hAnsi="仿宋_GB2312" w:eastAsia="仿宋_GB2312" w:cs="仿宋_GB2312"/>
          <w:b w:val="0"/>
          <w:bCs w:val="0"/>
          <w:sz w:val="28"/>
        </w:rPr>
        <w:t>2、若承揽方提供技术质量等，与承揽方外购的技术质量等有较大或直接关联时，承揽方应能得到其外购设备（或材料）制造厂商（或供应商）的技术支持，并免费为委托方提供技术服务（包括设计文件的审查和审定）；【针对非标产品】</w:t>
      </w:r>
    </w:p>
    <w:p w14:paraId="009FBA6E">
      <w:pPr>
        <w:pStyle w:val="60"/>
        <w:spacing w:line="360" w:lineRule="auto"/>
        <w:ind w:firstLine="560"/>
        <w:rPr>
          <w:rFonts w:hint="eastAsia" w:ascii="仿宋_GB2312" w:hAnsi="仿宋_GB2312" w:eastAsia="仿宋_GB2312" w:cs="仿宋_GB2312"/>
          <w:b w:val="0"/>
          <w:bCs w:val="0"/>
          <w:sz w:val="28"/>
        </w:rPr>
      </w:pPr>
      <w:r>
        <w:rPr>
          <w:rFonts w:hint="eastAsia" w:ascii="仿宋_GB2312" w:hAnsi="仿宋_GB2312" w:eastAsia="仿宋_GB2312" w:cs="仿宋_GB2312"/>
          <w:b w:val="0"/>
          <w:bCs w:val="0"/>
          <w:sz w:val="28"/>
        </w:rPr>
        <w:t>3、承揽方负责制定对委托方人员在运行、维修和试验等方面的培训计划，并有专人负责实施培训计划，负责指导委托方受培训人员正确理解设计和制造意图，认识设备的特点和特性，掌握在运行、维修和使用管理中应遵守的规则等方面的综合知识。【针对非标产品】</w:t>
      </w:r>
    </w:p>
    <w:p w14:paraId="22494014">
      <w:pPr>
        <w:pStyle w:val="60"/>
        <w:spacing w:line="360" w:lineRule="auto"/>
        <w:ind w:firstLine="560"/>
        <w:rPr>
          <w:rFonts w:hint="eastAsia" w:ascii="仿宋_GB2312" w:hAnsi="仿宋_GB2312" w:eastAsia="仿宋_GB2312" w:cs="仿宋_GB2312"/>
          <w:b w:val="0"/>
          <w:bCs w:val="0"/>
          <w:sz w:val="28"/>
        </w:rPr>
      </w:pPr>
      <w:r>
        <w:rPr>
          <w:rFonts w:hint="eastAsia" w:ascii="仿宋_GB2312" w:hAnsi="仿宋_GB2312" w:eastAsia="仿宋_GB2312" w:cs="仿宋_GB2312"/>
          <w:b w:val="0"/>
          <w:bCs w:val="0"/>
          <w:sz w:val="28"/>
        </w:rPr>
        <w:t>（二）运输服务</w:t>
      </w:r>
    </w:p>
    <w:p w14:paraId="29D98719">
      <w:pPr>
        <w:pStyle w:val="60"/>
        <w:spacing w:line="360" w:lineRule="auto"/>
        <w:ind w:firstLine="560"/>
        <w:rPr>
          <w:rFonts w:hint="eastAsia" w:ascii="仿宋_GB2312" w:hAnsi="仿宋_GB2312" w:eastAsia="仿宋_GB2312" w:cs="仿宋_GB2312"/>
          <w:b w:val="0"/>
          <w:bCs w:val="0"/>
          <w:sz w:val="28"/>
        </w:rPr>
      </w:pPr>
      <w:r>
        <w:rPr>
          <w:rFonts w:hint="eastAsia" w:ascii="仿宋_GB2312" w:hAnsi="仿宋_GB2312" w:eastAsia="仿宋_GB2312" w:cs="仿宋_GB2312"/>
          <w:b w:val="0"/>
          <w:bCs w:val="0"/>
          <w:sz w:val="28"/>
        </w:rPr>
        <w:t>承揽方应负责将设备运到目的地，并必须做到标的物在任何运输过程中不受损坏和遗失；并按要求运至 招标方指定地点 。</w:t>
      </w:r>
    </w:p>
    <w:p w14:paraId="25879EEC">
      <w:pPr>
        <w:pStyle w:val="60"/>
        <w:spacing w:line="360" w:lineRule="auto"/>
        <w:ind w:firstLine="560"/>
        <w:rPr>
          <w:rFonts w:hint="eastAsia" w:ascii="仿宋_GB2312" w:hAnsi="仿宋_GB2312" w:eastAsia="仿宋_GB2312" w:cs="仿宋_GB2312"/>
          <w:b w:val="0"/>
          <w:bCs w:val="0"/>
          <w:sz w:val="28"/>
        </w:rPr>
      </w:pPr>
      <w:r>
        <w:rPr>
          <w:rFonts w:hint="eastAsia" w:ascii="仿宋_GB2312" w:hAnsi="仿宋_GB2312" w:eastAsia="仿宋_GB2312" w:cs="仿宋_GB2312"/>
          <w:b w:val="0"/>
          <w:bCs w:val="0"/>
          <w:sz w:val="28"/>
        </w:rPr>
        <w:t>（三）安装调试服务【针对非标产品】</w:t>
      </w:r>
    </w:p>
    <w:p w14:paraId="42A55CC9">
      <w:pPr>
        <w:pStyle w:val="60"/>
        <w:spacing w:line="360" w:lineRule="auto"/>
        <w:ind w:firstLine="560"/>
        <w:rPr>
          <w:rFonts w:hint="eastAsia" w:ascii="仿宋_GB2312" w:hAnsi="仿宋_GB2312" w:eastAsia="仿宋_GB2312" w:cs="仿宋_GB2312"/>
          <w:b w:val="0"/>
          <w:bCs w:val="0"/>
          <w:sz w:val="28"/>
        </w:rPr>
      </w:pPr>
      <w:r>
        <w:rPr>
          <w:rFonts w:hint="eastAsia" w:ascii="仿宋_GB2312" w:hAnsi="仿宋_GB2312" w:eastAsia="仿宋_GB2312" w:cs="仿宋_GB2312"/>
          <w:b w:val="0"/>
          <w:bCs w:val="0"/>
          <w:sz w:val="28"/>
        </w:rPr>
        <w:t>1、根据设备的要求，调试可分空载和负载两个阶段进行；委托方将予以积极配合，协助承揽方达到设备的各项技术要求和性能；</w:t>
      </w:r>
    </w:p>
    <w:p w14:paraId="3CA50EE2">
      <w:pPr>
        <w:pStyle w:val="60"/>
        <w:spacing w:line="360" w:lineRule="auto"/>
        <w:ind w:firstLine="560"/>
        <w:rPr>
          <w:rFonts w:hint="eastAsia" w:ascii="仿宋_GB2312" w:hAnsi="仿宋_GB2312" w:eastAsia="仿宋_GB2312" w:cs="仿宋_GB2312"/>
          <w:b w:val="0"/>
          <w:bCs w:val="0"/>
          <w:sz w:val="28"/>
        </w:rPr>
      </w:pPr>
      <w:r>
        <w:rPr>
          <w:rFonts w:hint="eastAsia" w:ascii="仿宋_GB2312" w:hAnsi="仿宋_GB2312" w:eastAsia="仿宋_GB2312" w:cs="仿宋_GB2312"/>
          <w:b w:val="0"/>
          <w:bCs w:val="0"/>
          <w:sz w:val="28"/>
        </w:rPr>
        <w:t>2、安装调试与验收期间，若承揽方提供设备的技术质量等，与承揽方外购的设备技术质量等有较大或直接关联时，承揽方应能得到其外购设备制造厂商（或供应商）的技术支持，并免费为委托方提供安装使用现场的指导与协调；</w:t>
      </w:r>
    </w:p>
    <w:p w14:paraId="1EAB844F">
      <w:pPr>
        <w:pStyle w:val="60"/>
        <w:spacing w:line="360" w:lineRule="auto"/>
        <w:ind w:firstLine="560"/>
        <w:rPr>
          <w:rFonts w:hint="eastAsia" w:ascii="仿宋_GB2312" w:hAnsi="仿宋_GB2312" w:eastAsia="仿宋_GB2312" w:cs="仿宋_GB2312"/>
          <w:b w:val="0"/>
          <w:bCs w:val="0"/>
          <w:sz w:val="28"/>
        </w:rPr>
      </w:pPr>
      <w:r>
        <w:rPr>
          <w:rFonts w:hint="eastAsia" w:ascii="仿宋_GB2312" w:hAnsi="仿宋_GB2312" w:eastAsia="仿宋_GB2312" w:cs="仿宋_GB2312"/>
          <w:b w:val="0"/>
          <w:bCs w:val="0"/>
          <w:sz w:val="28"/>
        </w:rPr>
        <w:t>3、承揽方免费负责设备的安装、调试，并接受用户的技术咨询，负责开车调试直到设备的终验收；</w:t>
      </w:r>
    </w:p>
    <w:p w14:paraId="5FB4C854">
      <w:pPr>
        <w:pStyle w:val="60"/>
        <w:spacing w:line="360" w:lineRule="auto"/>
        <w:ind w:firstLine="560"/>
        <w:rPr>
          <w:rFonts w:hint="eastAsia" w:ascii="仿宋_GB2312" w:hAnsi="仿宋_GB2312" w:eastAsia="仿宋_GB2312" w:cs="仿宋_GB2312"/>
          <w:b w:val="0"/>
          <w:bCs w:val="0"/>
          <w:sz w:val="28"/>
        </w:rPr>
      </w:pPr>
      <w:r>
        <w:rPr>
          <w:rFonts w:hint="eastAsia" w:ascii="仿宋_GB2312" w:hAnsi="仿宋_GB2312" w:eastAsia="仿宋_GB2312" w:cs="仿宋_GB2312"/>
          <w:b w:val="0"/>
          <w:bCs w:val="0"/>
          <w:sz w:val="28"/>
        </w:rPr>
        <w:t>4、承揽方是否提供有偿的还是免费的、指导安装调试还是负责安装调试，至少应在投标文件的服务章节中，予以明确说明。</w:t>
      </w:r>
    </w:p>
    <w:p w14:paraId="20F1A2A3">
      <w:pPr>
        <w:pStyle w:val="60"/>
        <w:spacing w:line="360" w:lineRule="auto"/>
        <w:ind w:firstLine="560"/>
        <w:rPr>
          <w:rFonts w:hint="eastAsia" w:ascii="仿宋_GB2312" w:hAnsi="仿宋_GB2312" w:eastAsia="仿宋_GB2312" w:cs="仿宋_GB2312"/>
          <w:b w:val="0"/>
          <w:bCs w:val="0"/>
          <w:sz w:val="28"/>
        </w:rPr>
      </w:pPr>
      <w:r>
        <w:rPr>
          <w:rFonts w:hint="eastAsia" w:ascii="仿宋_GB2312" w:hAnsi="仿宋_GB2312" w:eastAsia="仿宋_GB2312" w:cs="仿宋_GB2312"/>
          <w:b w:val="0"/>
          <w:bCs w:val="0"/>
          <w:sz w:val="28"/>
        </w:rPr>
        <w:t>（四）售后服务【特别是非标产品】</w:t>
      </w:r>
    </w:p>
    <w:p w14:paraId="49D46D2A">
      <w:pPr>
        <w:pStyle w:val="60"/>
        <w:spacing w:line="360" w:lineRule="auto"/>
        <w:ind w:firstLine="560"/>
        <w:rPr>
          <w:rFonts w:hint="eastAsia" w:ascii="仿宋_GB2312" w:hAnsi="仿宋_GB2312" w:eastAsia="仿宋_GB2312" w:cs="仿宋_GB2312"/>
          <w:b w:val="0"/>
          <w:bCs w:val="0"/>
          <w:sz w:val="28"/>
        </w:rPr>
      </w:pPr>
      <w:r>
        <w:rPr>
          <w:rFonts w:hint="eastAsia" w:ascii="仿宋_GB2312" w:hAnsi="仿宋_GB2312" w:eastAsia="仿宋_GB2312" w:cs="仿宋_GB2312"/>
          <w:b w:val="0"/>
          <w:bCs w:val="0"/>
          <w:sz w:val="28"/>
        </w:rPr>
        <w:t>1、在质保期之内，如发现承揽方所提供的设备（或材料）存在问题，需要承揽方配合解决时，承揽方须在接到通知后市内2</w:t>
      </w:r>
      <w:r>
        <w:rPr>
          <w:rFonts w:hint="eastAsia" w:ascii="仿宋_GB2312" w:hAnsi="仿宋_GB2312" w:eastAsia="仿宋_GB2312" w:cs="仿宋_GB2312"/>
          <w:b w:val="0"/>
          <w:bCs w:val="0"/>
          <w:sz w:val="28"/>
          <w:lang w:val="en-US" w:eastAsia="zh-CN"/>
        </w:rPr>
        <w:t>小时</w:t>
      </w:r>
      <w:r>
        <w:rPr>
          <w:rFonts w:hint="eastAsia" w:ascii="仿宋_GB2312" w:hAnsi="仿宋_GB2312" w:eastAsia="仿宋_GB2312" w:cs="仿宋_GB2312"/>
          <w:b w:val="0"/>
          <w:bCs w:val="0"/>
          <w:sz w:val="28"/>
        </w:rPr>
        <w:t>、省内8</w:t>
      </w:r>
      <w:r>
        <w:rPr>
          <w:rFonts w:hint="eastAsia" w:ascii="仿宋_GB2312" w:hAnsi="仿宋_GB2312" w:eastAsia="仿宋_GB2312" w:cs="仿宋_GB2312"/>
          <w:b w:val="0"/>
          <w:bCs w:val="0"/>
          <w:sz w:val="28"/>
          <w:lang w:val="en-US" w:eastAsia="zh-CN"/>
        </w:rPr>
        <w:t>小时</w:t>
      </w:r>
      <w:r>
        <w:rPr>
          <w:rFonts w:hint="eastAsia" w:ascii="仿宋_GB2312" w:hAnsi="仿宋_GB2312" w:eastAsia="仿宋_GB2312" w:cs="仿宋_GB2312"/>
          <w:b w:val="0"/>
          <w:bCs w:val="0"/>
          <w:sz w:val="28"/>
        </w:rPr>
        <w:t>、省外24小时内派有关人员到达现场，解决问题；</w:t>
      </w:r>
    </w:p>
    <w:p w14:paraId="30C995DC">
      <w:pPr>
        <w:pStyle w:val="60"/>
        <w:spacing w:line="360" w:lineRule="auto"/>
        <w:ind w:firstLine="560"/>
        <w:rPr>
          <w:rFonts w:hint="eastAsia" w:ascii="仿宋_GB2312" w:hAnsi="仿宋_GB2312" w:eastAsia="仿宋_GB2312" w:cs="仿宋_GB2312"/>
          <w:b w:val="0"/>
          <w:bCs w:val="0"/>
          <w:sz w:val="28"/>
        </w:rPr>
      </w:pPr>
      <w:r>
        <w:rPr>
          <w:rFonts w:hint="eastAsia" w:ascii="仿宋_GB2312" w:hAnsi="仿宋_GB2312" w:eastAsia="仿宋_GB2312" w:cs="仿宋_GB2312"/>
          <w:b w:val="0"/>
          <w:bCs w:val="0"/>
          <w:sz w:val="28"/>
        </w:rPr>
        <w:t>2、在质保期之后，如发现承揽方所提供的设备（或材料）存在问题，需要承揽方配合解决时，承揽方须在接到通知后市内2</w:t>
      </w:r>
      <w:r>
        <w:rPr>
          <w:rFonts w:hint="eastAsia" w:ascii="仿宋_GB2312" w:hAnsi="仿宋_GB2312" w:eastAsia="仿宋_GB2312" w:cs="仿宋_GB2312"/>
          <w:b w:val="0"/>
          <w:bCs w:val="0"/>
          <w:sz w:val="28"/>
          <w:lang w:val="en-US" w:eastAsia="zh-CN"/>
        </w:rPr>
        <w:t>小时</w:t>
      </w:r>
      <w:r>
        <w:rPr>
          <w:rFonts w:hint="eastAsia" w:ascii="仿宋_GB2312" w:hAnsi="仿宋_GB2312" w:eastAsia="仿宋_GB2312" w:cs="仿宋_GB2312"/>
          <w:b w:val="0"/>
          <w:bCs w:val="0"/>
          <w:sz w:val="28"/>
        </w:rPr>
        <w:t>、省内8</w:t>
      </w:r>
      <w:r>
        <w:rPr>
          <w:rFonts w:hint="eastAsia" w:ascii="仿宋_GB2312" w:hAnsi="仿宋_GB2312" w:eastAsia="仿宋_GB2312" w:cs="仿宋_GB2312"/>
          <w:b w:val="0"/>
          <w:bCs w:val="0"/>
          <w:sz w:val="28"/>
          <w:lang w:val="en-US" w:eastAsia="zh-CN"/>
        </w:rPr>
        <w:t>小时</w:t>
      </w:r>
      <w:r>
        <w:rPr>
          <w:rFonts w:hint="eastAsia" w:ascii="仿宋_GB2312" w:hAnsi="仿宋_GB2312" w:eastAsia="仿宋_GB2312" w:cs="仿宋_GB2312"/>
          <w:b w:val="0"/>
          <w:bCs w:val="0"/>
          <w:sz w:val="28"/>
        </w:rPr>
        <w:t>、省外24小时内派有关人员到达现场，协助委托方解决问题；</w:t>
      </w:r>
    </w:p>
    <w:p w14:paraId="1BCA3815">
      <w:pPr>
        <w:pStyle w:val="60"/>
        <w:spacing w:line="360" w:lineRule="auto"/>
        <w:ind w:firstLine="560"/>
        <w:rPr>
          <w:rFonts w:hint="eastAsia" w:ascii="仿宋_GB2312" w:hAnsi="仿宋_GB2312" w:eastAsia="仿宋_GB2312" w:cs="仿宋_GB2312"/>
          <w:b w:val="0"/>
          <w:bCs w:val="0"/>
          <w:sz w:val="28"/>
        </w:rPr>
      </w:pPr>
      <w:r>
        <w:rPr>
          <w:rFonts w:hint="eastAsia" w:ascii="仿宋_GB2312" w:hAnsi="仿宋_GB2312" w:eastAsia="仿宋_GB2312" w:cs="仿宋_GB2312"/>
          <w:b w:val="0"/>
          <w:bCs w:val="0"/>
          <w:sz w:val="28"/>
        </w:rPr>
        <w:t>3、所有的售后服务均由承揽方受理。如果发生问题并且收到报告，应当在2小时内予以答复；</w:t>
      </w:r>
    </w:p>
    <w:p w14:paraId="2EB5B422">
      <w:pPr>
        <w:pStyle w:val="60"/>
        <w:spacing w:line="360" w:lineRule="auto"/>
        <w:ind w:firstLine="560"/>
        <w:rPr>
          <w:rFonts w:hint="eastAsia" w:ascii="仿宋_GB2312" w:hAnsi="仿宋_GB2312" w:eastAsia="仿宋_GB2312" w:cs="仿宋_GB2312"/>
          <w:b w:val="0"/>
          <w:bCs w:val="0"/>
          <w:sz w:val="28"/>
        </w:rPr>
      </w:pPr>
      <w:r>
        <w:rPr>
          <w:rFonts w:hint="eastAsia" w:ascii="仿宋_GB2312" w:hAnsi="仿宋_GB2312" w:eastAsia="仿宋_GB2312" w:cs="仿宋_GB2312"/>
          <w:b w:val="0"/>
          <w:bCs w:val="0"/>
          <w:sz w:val="28"/>
        </w:rPr>
        <w:t>4、承揽方应为委托方提供最佳的服务。</w:t>
      </w:r>
    </w:p>
    <w:p w14:paraId="2DB2D3A8">
      <w:pPr>
        <w:pStyle w:val="60"/>
        <w:spacing w:line="360" w:lineRule="auto"/>
        <w:ind w:firstLine="560"/>
        <w:rPr>
          <w:rFonts w:hint="eastAsia" w:ascii="仿宋_GB2312" w:hAnsi="仿宋_GB2312" w:eastAsia="仿宋_GB2312" w:cs="仿宋_GB2312"/>
          <w:b w:val="0"/>
          <w:bCs w:val="0"/>
          <w:sz w:val="28"/>
        </w:rPr>
      </w:pPr>
      <w:r>
        <w:rPr>
          <w:rFonts w:hint="eastAsia" w:ascii="仿宋_GB2312" w:hAnsi="仿宋_GB2312" w:eastAsia="仿宋_GB2312" w:cs="仿宋_GB2312"/>
          <w:b w:val="0"/>
          <w:bCs w:val="0"/>
          <w:sz w:val="28"/>
        </w:rPr>
        <w:t>（五）其它服务</w:t>
      </w:r>
    </w:p>
    <w:p w14:paraId="1A75A513">
      <w:pPr>
        <w:pStyle w:val="60"/>
        <w:spacing w:line="360" w:lineRule="auto"/>
        <w:ind w:firstLine="560"/>
        <w:rPr>
          <w:rFonts w:hint="eastAsia" w:ascii="仿宋_GB2312" w:hAnsi="仿宋_GB2312" w:eastAsia="仿宋_GB2312" w:cs="仿宋_GB2312"/>
          <w:b w:val="0"/>
          <w:bCs w:val="0"/>
          <w:sz w:val="28"/>
        </w:rPr>
      </w:pPr>
      <w:r>
        <w:rPr>
          <w:rFonts w:hint="eastAsia" w:ascii="仿宋_GB2312" w:hAnsi="仿宋_GB2312" w:eastAsia="仿宋_GB2312" w:cs="仿宋_GB2312"/>
          <w:b w:val="0"/>
          <w:bCs w:val="0"/>
          <w:sz w:val="28"/>
        </w:rPr>
        <w:t>1、若承揽方所提供部分有需要进口的，承揽方一般应自行、自费办理；必要时，双方共同办理；</w:t>
      </w:r>
    </w:p>
    <w:p w14:paraId="65132B47">
      <w:pPr>
        <w:pStyle w:val="60"/>
        <w:spacing w:line="360" w:lineRule="auto"/>
        <w:ind w:firstLine="560"/>
        <w:rPr>
          <w:rFonts w:hint="eastAsia" w:ascii="仿宋_GB2312" w:hAnsi="仿宋_GB2312" w:eastAsia="仿宋_GB2312" w:cs="仿宋_GB2312"/>
          <w:b w:val="0"/>
          <w:bCs w:val="0"/>
          <w:sz w:val="28"/>
        </w:rPr>
      </w:pPr>
      <w:r>
        <w:rPr>
          <w:rFonts w:hint="eastAsia" w:ascii="仿宋_GB2312" w:hAnsi="仿宋_GB2312" w:eastAsia="仿宋_GB2312" w:cs="仿宋_GB2312"/>
          <w:b w:val="0"/>
          <w:bCs w:val="0"/>
          <w:sz w:val="28"/>
        </w:rPr>
        <w:t>2、除招标文件、投标文件、答疑文件、技术协议、合同等约定之外，承揽方应负责必要的或强制性的设备（或材料）的检验、试验、化验等直接费用；</w:t>
      </w:r>
    </w:p>
    <w:p w14:paraId="7BF4AFC1">
      <w:pPr>
        <w:pStyle w:val="60"/>
        <w:spacing w:line="360" w:lineRule="auto"/>
        <w:ind w:firstLine="560"/>
        <w:rPr>
          <w:rFonts w:hint="eastAsia" w:ascii="仿宋_GB2312" w:hAnsi="仿宋_GB2312" w:eastAsia="仿宋_GB2312" w:cs="仿宋_GB2312"/>
          <w:b w:val="0"/>
          <w:bCs w:val="0"/>
          <w:sz w:val="28"/>
        </w:rPr>
      </w:pPr>
      <w:r>
        <w:rPr>
          <w:rFonts w:hint="eastAsia" w:ascii="仿宋_GB2312" w:hAnsi="仿宋_GB2312" w:eastAsia="仿宋_GB2312" w:cs="仿宋_GB2312"/>
          <w:b w:val="0"/>
          <w:bCs w:val="0"/>
          <w:sz w:val="28"/>
        </w:rPr>
        <w:t>3、本章节条款所列“免费”，并非指定不可收费，而是指招标文件、投标文件、答疑文件、技术交流文件、技术协议书和合同等范围之外，承揽方不可另行收取的费用。</w:t>
      </w:r>
    </w:p>
    <w:p w14:paraId="466809E9">
      <w:pPr>
        <w:pStyle w:val="60"/>
        <w:spacing w:line="360" w:lineRule="auto"/>
        <w:ind w:firstLine="560"/>
        <w:rPr>
          <w:rFonts w:hint="eastAsia" w:ascii="仿宋_GB2312" w:hAnsi="仿宋_GB2312" w:eastAsia="仿宋_GB2312" w:cs="仿宋_GB2312"/>
          <w:b w:val="0"/>
          <w:bCs w:val="0"/>
          <w:sz w:val="28"/>
        </w:rPr>
      </w:pPr>
      <w:r>
        <w:rPr>
          <w:rFonts w:hint="eastAsia" w:ascii="仿宋_GB2312" w:hAnsi="仿宋_GB2312" w:eastAsia="仿宋_GB2312" w:cs="仿宋_GB2312"/>
          <w:b w:val="0"/>
          <w:bCs w:val="0"/>
          <w:sz w:val="28"/>
        </w:rPr>
        <w:t>四、预验收和终验收要求【特别是非标产品】</w:t>
      </w:r>
    </w:p>
    <w:p w14:paraId="0058F8D9">
      <w:pPr>
        <w:pStyle w:val="60"/>
        <w:spacing w:line="360" w:lineRule="auto"/>
        <w:ind w:firstLine="560"/>
        <w:rPr>
          <w:rFonts w:hint="eastAsia" w:ascii="仿宋_GB2312" w:hAnsi="仿宋_GB2312" w:eastAsia="仿宋_GB2312" w:cs="仿宋_GB2312"/>
          <w:b w:val="0"/>
          <w:bCs w:val="0"/>
          <w:sz w:val="28"/>
        </w:rPr>
      </w:pPr>
      <w:r>
        <w:rPr>
          <w:rFonts w:hint="eastAsia" w:ascii="仿宋_GB2312" w:hAnsi="仿宋_GB2312" w:eastAsia="仿宋_GB2312" w:cs="仿宋_GB2312"/>
          <w:b w:val="0"/>
          <w:bCs w:val="0"/>
          <w:sz w:val="28"/>
        </w:rPr>
        <w:t>按照参考招标文件、投标文件、答疑文件、技术交流文件等形成并达成一致的技术协议书和合同规定验收。</w:t>
      </w:r>
    </w:p>
    <w:p w14:paraId="2EA65CD1">
      <w:pPr>
        <w:pStyle w:val="60"/>
        <w:spacing w:line="360" w:lineRule="auto"/>
        <w:ind w:firstLine="560"/>
        <w:rPr>
          <w:rFonts w:hint="eastAsia" w:ascii="仿宋_GB2312" w:hAnsi="仿宋_GB2312" w:eastAsia="仿宋_GB2312" w:cs="仿宋_GB2312"/>
          <w:b w:val="0"/>
          <w:bCs w:val="0"/>
          <w:sz w:val="28"/>
        </w:rPr>
      </w:pPr>
      <w:r>
        <w:rPr>
          <w:rFonts w:hint="eastAsia" w:ascii="仿宋_GB2312" w:hAnsi="仿宋_GB2312" w:eastAsia="仿宋_GB2312" w:cs="仿宋_GB2312"/>
          <w:b w:val="0"/>
          <w:bCs w:val="0"/>
          <w:sz w:val="28"/>
        </w:rPr>
        <w:t>验收一般分为预验收和终验收两部分。预验收一般在承揽方进行，终验收在安装调试完成后的委托方现场进行。但是所有的项目，包括不能预验收的项目和预验收通过的项目都在终验收时重新检验，最终只以终验收为准。</w:t>
      </w:r>
    </w:p>
    <w:p w14:paraId="22233F4C">
      <w:pPr>
        <w:pStyle w:val="60"/>
        <w:spacing w:line="360" w:lineRule="auto"/>
        <w:ind w:firstLine="560"/>
        <w:rPr>
          <w:rFonts w:hint="eastAsia" w:ascii="仿宋_GB2312" w:hAnsi="仿宋_GB2312" w:eastAsia="仿宋_GB2312" w:cs="仿宋_GB2312"/>
          <w:b w:val="0"/>
          <w:bCs w:val="0"/>
          <w:sz w:val="28"/>
        </w:rPr>
      </w:pPr>
      <w:r>
        <w:rPr>
          <w:rFonts w:hint="eastAsia" w:ascii="仿宋_GB2312" w:hAnsi="仿宋_GB2312" w:eastAsia="仿宋_GB2312" w:cs="仿宋_GB2312"/>
          <w:b w:val="0"/>
          <w:bCs w:val="0"/>
          <w:sz w:val="28"/>
        </w:rPr>
        <w:t>1、终验收规程：</w:t>
      </w:r>
    </w:p>
    <w:p w14:paraId="38F217E5">
      <w:pPr>
        <w:pStyle w:val="60"/>
        <w:spacing w:line="360" w:lineRule="auto"/>
        <w:ind w:firstLine="560"/>
        <w:rPr>
          <w:rFonts w:hint="eastAsia" w:ascii="仿宋_GB2312" w:hAnsi="仿宋_GB2312" w:eastAsia="仿宋_GB2312" w:cs="仿宋_GB2312"/>
          <w:b w:val="0"/>
          <w:bCs w:val="0"/>
          <w:sz w:val="28"/>
        </w:rPr>
      </w:pPr>
      <w:r>
        <w:rPr>
          <w:rFonts w:hint="eastAsia" w:ascii="仿宋_GB2312" w:hAnsi="仿宋_GB2312" w:eastAsia="仿宋_GB2312" w:cs="仿宋_GB2312"/>
          <w:b w:val="0"/>
          <w:bCs w:val="0"/>
          <w:sz w:val="28"/>
        </w:rPr>
        <w:t>项目实施完毕情况下，一般连续运行30天，除用户方面因素外，必须达到以下要求：</w:t>
      </w:r>
    </w:p>
    <w:p w14:paraId="512B1DE0">
      <w:pPr>
        <w:pStyle w:val="60"/>
        <w:spacing w:line="360" w:lineRule="auto"/>
        <w:ind w:firstLine="560"/>
        <w:rPr>
          <w:rFonts w:hint="eastAsia" w:ascii="仿宋_GB2312" w:hAnsi="仿宋_GB2312" w:eastAsia="仿宋_GB2312" w:cs="仿宋_GB2312"/>
          <w:b w:val="0"/>
          <w:bCs w:val="0"/>
          <w:sz w:val="28"/>
        </w:rPr>
      </w:pPr>
      <w:r>
        <w:rPr>
          <w:rFonts w:hint="eastAsia" w:ascii="仿宋_GB2312" w:hAnsi="仿宋_GB2312" w:eastAsia="仿宋_GB2312" w:cs="仿宋_GB2312"/>
          <w:b w:val="0"/>
          <w:bCs w:val="0"/>
          <w:sz w:val="28"/>
        </w:rPr>
        <w:t>a）在整个验收过程中没有维修、更换零部件或元件行为；</w:t>
      </w:r>
    </w:p>
    <w:p w14:paraId="50266512">
      <w:pPr>
        <w:pStyle w:val="60"/>
        <w:spacing w:line="360" w:lineRule="auto"/>
        <w:ind w:firstLine="560"/>
        <w:rPr>
          <w:rFonts w:hint="eastAsia" w:ascii="仿宋_GB2312" w:hAnsi="仿宋_GB2312" w:eastAsia="仿宋_GB2312" w:cs="仿宋_GB2312"/>
          <w:b w:val="0"/>
          <w:bCs w:val="0"/>
          <w:sz w:val="28"/>
        </w:rPr>
      </w:pPr>
      <w:r>
        <w:rPr>
          <w:rFonts w:hint="eastAsia" w:ascii="仿宋_GB2312" w:hAnsi="仿宋_GB2312" w:eastAsia="仿宋_GB2312" w:cs="仿宋_GB2312"/>
          <w:b w:val="0"/>
          <w:bCs w:val="0"/>
          <w:sz w:val="28"/>
        </w:rPr>
        <w:t>b）终验收原则上要求一次完成。若一次验收不成功，最多允许两次；</w:t>
      </w:r>
    </w:p>
    <w:p w14:paraId="3C6F7166">
      <w:pPr>
        <w:pStyle w:val="60"/>
        <w:spacing w:line="360" w:lineRule="auto"/>
        <w:ind w:firstLine="560"/>
        <w:rPr>
          <w:rFonts w:hint="eastAsia" w:ascii="仿宋_GB2312" w:hAnsi="仿宋_GB2312" w:eastAsia="仿宋_GB2312" w:cs="仿宋_GB2312"/>
          <w:b w:val="0"/>
          <w:bCs w:val="0"/>
          <w:sz w:val="28"/>
        </w:rPr>
      </w:pPr>
      <w:r>
        <w:rPr>
          <w:rFonts w:hint="eastAsia" w:ascii="仿宋_GB2312" w:hAnsi="仿宋_GB2312" w:eastAsia="仿宋_GB2312" w:cs="仿宋_GB2312"/>
          <w:b w:val="0"/>
          <w:bCs w:val="0"/>
          <w:sz w:val="28"/>
        </w:rPr>
        <w:t>c）终验收通过后买卖双方共同签署终验收报告。</w:t>
      </w:r>
    </w:p>
    <w:p w14:paraId="07823CEA">
      <w:pPr>
        <w:pStyle w:val="60"/>
        <w:spacing w:line="360" w:lineRule="auto"/>
        <w:ind w:firstLine="560"/>
        <w:rPr>
          <w:rFonts w:hint="eastAsia" w:ascii="仿宋_GB2312" w:hAnsi="仿宋_GB2312" w:eastAsia="仿宋_GB2312" w:cs="仿宋_GB2312"/>
          <w:b w:val="0"/>
          <w:bCs w:val="0"/>
          <w:sz w:val="28"/>
        </w:rPr>
      </w:pPr>
      <w:r>
        <w:rPr>
          <w:rFonts w:hint="eastAsia" w:ascii="仿宋_GB2312" w:hAnsi="仿宋_GB2312" w:eastAsia="仿宋_GB2312" w:cs="仿宋_GB2312"/>
          <w:b w:val="0"/>
          <w:bCs w:val="0"/>
          <w:sz w:val="28"/>
        </w:rPr>
        <w:t>2、一般标准与要求：</w:t>
      </w:r>
    </w:p>
    <w:p w14:paraId="48174D90">
      <w:pPr>
        <w:pStyle w:val="60"/>
        <w:spacing w:line="360" w:lineRule="auto"/>
        <w:ind w:firstLine="560"/>
        <w:rPr>
          <w:rFonts w:hint="eastAsia" w:ascii="仿宋_GB2312" w:hAnsi="仿宋_GB2312" w:eastAsia="仿宋_GB2312" w:cs="仿宋_GB2312"/>
          <w:b w:val="0"/>
          <w:bCs w:val="0"/>
          <w:sz w:val="28"/>
        </w:rPr>
      </w:pPr>
      <w:r>
        <w:rPr>
          <w:rFonts w:hint="eastAsia" w:ascii="仿宋_GB2312" w:hAnsi="仿宋_GB2312" w:eastAsia="仿宋_GB2312" w:cs="仿宋_GB2312"/>
          <w:b w:val="0"/>
          <w:bCs w:val="0"/>
          <w:sz w:val="28"/>
        </w:rPr>
        <w:t>① 预验收的一般标准与要求</w:t>
      </w:r>
    </w:p>
    <w:p w14:paraId="58DA513B">
      <w:pPr>
        <w:pStyle w:val="60"/>
        <w:spacing w:line="360" w:lineRule="auto"/>
        <w:ind w:firstLine="560"/>
        <w:rPr>
          <w:rFonts w:hint="eastAsia" w:ascii="仿宋_GB2312" w:hAnsi="仿宋_GB2312" w:eastAsia="仿宋_GB2312" w:cs="仿宋_GB2312"/>
          <w:b w:val="0"/>
          <w:bCs w:val="0"/>
          <w:sz w:val="28"/>
        </w:rPr>
      </w:pPr>
      <w:r>
        <w:rPr>
          <w:rFonts w:hint="eastAsia" w:ascii="仿宋_GB2312" w:hAnsi="仿宋_GB2312" w:eastAsia="仿宋_GB2312" w:cs="仿宋_GB2312"/>
          <w:b w:val="0"/>
          <w:bCs w:val="0"/>
          <w:sz w:val="28"/>
        </w:rPr>
        <w:t>a.资料齐全性、完整性和有效性。按照“配套供货范围及要求”中“技术资料范围”的规定验收；</w:t>
      </w:r>
    </w:p>
    <w:p w14:paraId="03271894">
      <w:pPr>
        <w:pStyle w:val="60"/>
        <w:spacing w:line="360" w:lineRule="auto"/>
        <w:ind w:firstLine="560"/>
        <w:rPr>
          <w:rFonts w:hint="eastAsia" w:ascii="仿宋_GB2312" w:hAnsi="仿宋_GB2312" w:eastAsia="仿宋_GB2312" w:cs="仿宋_GB2312"/>
          <w:b w:val="0"/>
          <w:bCs w:val="0"/>
          <w:sz w:val="28"/>
        </w:rPr>
      </w:pPr>
      <w:r>
        <w:rPr>
          <w:rFonts w:hint="eastAsia" w:ascii="仿宋_GB2312" w:hAnsi="仿宋_GB2312" w:eastAsia="仿宋_GB2312" w:cs="仿宋_GB2312"/>
          <w:b w:val="0"/>
          <w:bCs w:val="0"/>
          <w:sz w:val="28"/>
        </w:rPr>
        <w:t>b.产品（或材料）应运行灵活、稳定、可靠、安全，无异常声音和非正常振动。设备不允许出现漏水、漏液、漏气（汽）、漏电。</w:t>
      </w:r>
    </w:p>
    <w:p w14:paraId="7237370D">
      <w:pPr>
        <w:pStyle w:val="60"/>
        <w:spacing w:line="360" w:lineRule="auto"/>
        <w:ind w:firstLine="560"/>
        <w:rPr>
          <w:rFonts w:hint="eastAsia" w:ascii="仿宋_GB2312" w:hAnsi="仿宋_GB2312" w:eastAsia="仿宋_GB2312" w:cs="仿宋_GB2312"/>
          <w:b w:val="0"/>
          <w:bCs w:val="0"/>
          <w:sz w:val="28"/>
        </w:rPr>
      </w:pPr>
      <w:r>
        <w:rPr>
          <w:rFonts w:hint="eastAsia" w:ascii="仿宋_GB2312" w:hAnsi="仿宋_GB2312" w:eastAsia="仿宋_GB2312" w:cs="仿宋_GB2312"/>
          <w:b w:val="0"/>
          <w:bCs w:val="0"/>
          <w:sz w:val="28"/>
        </w:rPr>
        <w:t>c.产品（或材料）外观应无损伤，应该涂满同种明亮清晰的油漆（特殊标志除外）。设备应该完整且所有的零部件应该安装牢固，所有的焊缝饱满、无残渣等缺陷；</w:t>
      </w:r>
    </w:p>
    <w:p w14:paraId="3A35FD1B">
      <w:pPr>
        <w:pStyle w:val="60"/>
        <w:spacing w:line="360" w:lineRule="auto"/>
        <w:ind w:firstLine="560"/>
        <w:rPr>
          <w:rFonts w:hint="eastAsia" w:ascii="仿宋_GB2312" w:hAnsi="仿宋_GB2312" w:eastAsia="仿宋_GB2312" w:cs="仿宋_GB2312"/>
          <w:b w:val="0"/>
          <w:bCs w:val="0"/>
          <w:sz w:val="28"/>
        </w:rPr>
      </w:pPr>
      <w:r>
        <w:rPr>
          <w:rFonts w:hint="eastAsia" w:ascii="仿宋_GB2312" w:hAnsi="仿宋_GB2312" w:eastAsia="仿宋_GB2312" w:cs="仿宋_GB2312"/>
          <w:b w:val="0"/>
          <w:bCs w:val="0"/>
          <w:sz w:val="28"/>
        </w:rPr>
        <w:t>d.产品（或材料）应有完整的标牌，且清晰易见；</w:t>
      </w:r>
    </w:p>
    <w:p w14:paraId="76B8232F">
      <w:pPr>
        <w:pStyle w:val="60"/>
        <w:spacing w:line="360" w:lineRule="auto"/>
        <w:ind w:firstLine="560"/>
        <w:rPr>
          <w:rFonts w:hint="eastAsia" w:ascii="仿宋_GB2312" w:hAnsi="仿宋_GB2312" w:eastAsia="仿宋_GB2312" w:cs="仿宋_GB2312"/>
          <w:b w:val="0"/>
          <w:bCs w:val="0"/>
          <w:sz w:val="28"/>
        </w:rPr>
      </w:pPr>
      <w:r>
        <w:rPr>
          <w:rFonts w:hint="eastAsia" w:ascii="仿宋_GB2312" w:hAnsi="仿宋_GB2312" w:eastAsia="仿宋_GB2312" w:cs="仿宋_GB2312"/>
          <w:b w:val="0"/>
          <w:bCs w:val="0"/>
          <w:sz w:val="28"/>
        </w:rPr>
        <w:t>e.产品（或材料）的安全要求符合中国最新的相关法律、法规、标准和规范以及合同要求；</w:t>
      </w:r>
    </w:p>
    <w:p w14:paraId="4A06A687">
      <w:pPr>
        <w:pStyle w:val="60"/>
        <w:spacing w:line="360" w:lineRule="auto"/>
        <w:ind w:firstLine="560"/>
        <w:rPr>
          <w:rFonts w:hint="eastAsia" w:ascii="仿宋_GB2312" w:hAnsi="仿宋_GB2312" w:eastAsia="仿宋_GB2312" w:cs="仿宋_GB2312"/>
          <w:b w:val="0"/>
          <w:bCs w:val="0"/>
          <w:sz w:val="28"/>
        </w:rPr>
      </w:pPr>
      <w:r>
        <w:rPr>
          <w:rFonts w:hint="eastAsia" w:ascii="仿宋_GB2312" w:hAnsi="仿宋_GB2312" w:eastAsia="仿宋_GB2312" w:cs="仿宋_GB2312"/>
          <w:b w:val="0"/>
          <w:bCs w:val="0"/>
          <w:sz w:val="28"/>
        </w:rPr>
        <w:t>②终验收时的一般验收标准与要求：</w:t>
      </w:r>
    </w:p>
    <w:p w14:paraId="04A88A09">
      <w:pPr>
        <w:pStyle w:val="60"/>
        <w:spacing w:line="360" w:lineRule="auto"/>
        <w:ind w:firstLine="560"/>
        <w:rPr>
          <w:rFonts w:hint="eastAsia" w:ascii="仿宋_GB2312" w:hAnsi="仿宋_GB2312" w:eastAsia="仿宋_GB2312" w:cs="仿宋_GB2312"/>
          <w:b w:val="0"/>
          <w:bCs w:val="0"/>
          <w:sz w:val="28"/>
        </w:rPr>
      </w:pPr>
      <w:r>
        <w:rPr>
          <w:rFonts w:hint="eastAsia" w:ascii="仿宋_GB2312" w:hAnsi="仿宋_GB2312" w:eastAsia="仿宋_GB2312" w:cs="仿宋_GB2312"/>
          <w:b w:val="0"/>
          <w:bCs w:val="0"/>
          <w:sz w:val="28"/>
        </w:rPr>
        <w:t>a.资料齐全性、完整性和有效性。</w:t>
      </w:r>
    </w:p>
    <w:p w14:paraId="636220C7">
      <w:pPr>
        <w:pStyle w:val="60"/>
        <w:spacing w:line="360" w:lineRule="auto"/>
        <w:ind w:firstLine="560"/>
        <w:rPr>
          <w:rFonts w:hint="eastAsia" w:ascii="仿宋_GB2312" w:hAnsi="仿宋_GB2312" w:eastAsia="仿宋_GB2312" w:cs="仿宋_GB2312"/>
          <w:b w:val="0"/>
          <w:bCs w:val="0"/>
          <w:sz w:val="28"/>
        </w:rPr>
      </w:pPr>
      <w:r>
        <w:rPr>
          <w:rFonts w:hint="eastAsia" w:ascii="仿宋_GB2312" w:hAnsi="仿宋_GB2312" w:eastAsia="仿宋_GB2312" w:cs="仿宋_GB2312"/>
          <w:b w:val="0"/>
          <w:bCs w:val="0"/>
          <w:sz w:val="28"/>
        </w:rPr>
        <w:t>b.产品（或材料）应运行稳定、可靠、安全，无异常声音和非正常振动。设备不允许出现漏水、漏液、漏气（汽）、漏电。</w:t>
      </w:r>
    </w:p>
    <w:p w14:paraId="6B2CCD81">
      <w:pPr>
        <w:pStyle w:val="60"/>
        <w:spacing w:line="360" w:lineRule="auto"/>
        <w:ind w:firstLine="560"/>
        <w:rPr>
          <w:rFonts w:hint="eastAsia" w:ascii="仿宋_GB2312" w:hAnsi="仿宋_GB2312" w:eastAsia="仿宋_GB2312" w:cs="仿宋_GB2312"/>
          <w:b w:val="0"/>
          <w:bCs w:val="0"/>
          <w:sz w:val="28"/>
        </w:rPr>
      </w:pPr>
      <w:r>
        <w:rPr>
          <w:rFonts w:hint="eastAsia" w:ascii="仿宋_GB2312" w:hAnsi="仿宋_GB2312" w:eastAsia="仿宋_GB2312" w:cs="仿宋_GB2312"/>
          <w:b w:val="0"/>
          <w:bCs w:val="0"/>
          <w:sz w:val="28"/>
        </w:rPr>
        <w:t>c.产品（或材料）应有完整的标牌，且清晰易见；</w:t>
      </w:r>
    </w:p>
    <w:p w14:paraId="498C1519">
      <w:pPr>
        <w:pStyle w:val="60"/>
        <w:spacing w:line="360" w:lineRule="auto"/>
        <w:ind w:firstLine="560"/>
        <w:rPr>
          <w:rFonts w:hint="eastAsia" w:ascii="仿宋_GB2312" w:hAnsi="仿宋_GB2312" w:eastAsia="仿宋_GB2312" w:cs="仿宋_GB2312"/>
          <w:b w:val="0"/>
          <w:bCs w:val="0"/>
          <w:sz w:val="28"/>
        </w:rPr>
      </w:pPr>
      <w:r>
        <w:rPr>
          <w:rFonts w:hint="eastAsia" w:ascii="仿宋_GB2312" w:hAnsi="仿宋_GB2312" w:eastAsia="仿宋_GB2312" w:cs="仿宋_GB2312"/>
          <w:b w:val="0"/>
          <w:bCs w:val="0"/>
          <w:sz w:val="28"/>
        </w:rPr>
        <w:t>③ 终验收条件</w:t>
      </w:r>
    </w:p>
    <w:p w14:paraId="1CEAD7FF">
      <w:pPr>
        <w:pStyle w:val="60"/>
        <w:spacing w:line="360" w:lineRule="auto"/>
        <w:ind w:firstLine="560"/>
        <w:rPr>
          <w:rFonts w:hint="eastAsia" w:ascii="仿宋_GB2312" w:hAnsi="仿宋_GB2312" w:eastAsia="仿宋_GB2312" w:cs="仿宋_GB2312"/>
          <w:b w:val="0"/>
          <w:bCs w:val="0"/>
          <w:sz w:val="28"/>
        </w:rPr>
      </w:pPr>
      <w:r>
        <w:rPr>
          <w:rFonts w:hint="eastAsia" w:ascii="仿宋_GB2312" w:hAnsi="仿宋_GB2312" w:eastAsia="仿宋_GB2312" w:cs="仿宋_GB2312"/>
          <w:b w:val="0"/>
          <w:bCs w:val="0"/>
          <w:sz w:val="28"/>
        </w:rPr>
        <w:t>依据招标文件、投标文件、答疑文件、技术交流文件等形成并达成一致的技术协议书和合同规定的终验收条件、原设备的技术参数，说明书及国家或行业对设备表面涂漆最新专业技术标准和安全法规要求验收。</w:t>
      </w:r>
    </w:p>
    <w:p w14:paraId="7DE04420">
      <w:pPr>
        <w:pStyle w:val="60"/>
        <w:spacing w:line="360" w:lineRule="auto"/>
        <w:ind w:firstLine="560"/>
        <w:rPr>
          <w:rFonts w:hint="eastAsia" w:ascii="仿宋_GB2312" w:hAnsi="仿宋_GB2312" w:eastAsia="仿宋_GB2312" w:cs="仿宋_GB2312"/>
          <w:b w:val="0"/>
          <w:bCs w:val="0"/>
          <w:sz w:val="28"/>
        </w:rPr>
      </w:pPr>
      <w:r>
        <w:rPr>
          <w:rFonts w:hint="eastAsia" w:ascii="仿宋_GB2312" w:hAnsi="仿宋_GB2312" w:eastAsia="仿宋_GB2312" w:cs="仿宋_GB2312"/>
          <w:b w:val="0"/>
          <w:bCs w:val="0"/>
          <w:sz w:val="28"/>
        </w:rPr>
        <w:t>若属于国家相关机关单位强制要求检验校准的设备大修、项修，以通过相关检查校准，作为项目终验收合格的依据。</w:t>
      </w:r>
    </w:p>
    <w:p w14:paraId="568AEC5B">
      <w:pPr>
        <w:pStyle w:val="60"/>
        <w:spacing w:line="360" w:lineRule="auto"/>
        <w:ind w:firstLine="560"/>
        <w:rPr>
          <w:rFonts w:hint="eastAsia" w:ascii="仿宋_GB2312" w:hAnsi="仿宋_GB2312" w:eastAsia="仿宋_GB2312" w:cs="仿宋_GB2312"/>
          <w:b w:val="0"/>
          <w:bCs w:val="0"/>
          <w:sz w:val="28"/>
        </w:rPr>
      </w:pPr>
      <w:r>
        <w:rPr>
          <w:rFonts w:hint="eastAsia" w:ascii="仿宋_GB2312" w:hAnsi="仿宋_GB2312" w:eastAsia="仿宋_GB2312" w:cs="仿宋_GB2312"/>
          <w:b w:val="0"/>
          <w:bCs w:val="0"/>
          <w:sz w:val="28"/>
        </w:rPr>
        <w:t>1.资料核查</w:t>
      </w:r>
    </w:p>
    <w:p w14:paraId="4EFAF314">
      <w:pPr>
        <w:pStyle w:val="60"/>
        <w:spacing w:line="360" w:lineRule="auto"/>
        <w:ind w:firstLine="560"/>
        <w:rPr>
          <w:rFonts w:hint="eastAsia" w:ascii="仿宋_GB2312" w:hAnsi="仿宋_GB2312" w:eastAsia="仿宋_GB2312" w:cs="仿宋_GB2312"/>
          <w:b w:val="0"/>
          <w:bCs w:val="0"/>
          <w:sz w:val="28"/>
        </w:rPr>
      </w:pPr>
      <w:r>
        <w:rPr>
          <w:rFonts w:hint="eastAsia" w:ascii="仿宋_GB2312" w:hAnsi="仿宋_GB2312" w:eastAsia="仿宋_GB2312" w:cs="仿宋_GB2312"/>
          <w:b w:val="0"/>
          <w:bCs w:val="0"/>
          <w:sz w:val="28"/>
        </w:rPr>
        <w:t>验收资料包括:产品合格证、检测报告(GB 38230-2025 全项检测)隐蔽工程记录(锚孔深度、螺栓扭矩)、拉拔试验报告及安装自检记录。</w:t>
      </w:r>
    </w:p>
    <w:p w14:paraId="15F3B769">
      <w:pPr>
        <w:pStyle w:val="60"/>
        <w:spacing w:line="360" w:lineRule="auto"/>
        <w:ind w:firstLine="560"/>
        <w:rPr>
          <w:rFonts w:hint="eastAsia" w:ascii="仿宋_GB2312" w:hAnsi="仿宋_GB2312" w:eastAsia="仿宋_GB2312" w:cs="仿宋_GB2312"/>
          <w:b w:val="0"/>
          <w:bCs w:val="0"/>
          <w:sz w:val="28"/>
          <w:lang w:val="en-US" w:eastAsia="zh-CN"/>
        </w:rPr>
      </w:pPr>
      <w:r>
        <w:rPr>
          <w:rFonts w:hint="eastAsia" w:ascii="仿宋_GB2312" w:hAnsi="仿宋_GB2312" w:eastAsia="仿宋_GB2312" w:cs="仿宋_GB2312"/>
          <w:b w:val="0"/>
          <w:bCs w:val="0"/>
          <w:sz w:val="28"/>
          <w:lang w:val="en-US" w:eastAsia="zh-CN"/>
        </w:rPr>
        <w:t>2.观感质量</w:t>
      </w:r>
    </w:p>
    <w:p w14:paraId="59529538">
      <w:pPr>
        <w:pStyle w:val="60"/>
        <w:spacing w:line="360" w:lineRule="auto"/>
        <w:ind w:firstLine="560"/>
        <w:rPr>
          <w:rFonts w:hint="eastAsia" w:ascii="仿宋_GB2312" w:hAnsi="仿宋_GB2312" w:eastAsia="仿宋_GB2312" w:cs="仿宋_GB2312"/>
          <w:b w:val="0"/>
          <w:bCs w:val="0"/>
          <w:sz w:val="28"/>
        </w:rPr>
      </w:pPr>
      <w:r>
        <w:rPr>
          <w:rFonts w:hint="eastAsia" w:ascii="仿宋_GB2312" w:hAnsi="仿宋_GB2312" w:eastAsia="仿宋_GB2312" w:cs="仿宋_GB2312"/>
          <w:b w:val="0"/>
          <w:bCs w:val="0"/>
          <w:sz w:val="28"/>
          <w:lang w:val="en-US" w:eastAsia="zh-CN"/>
        </w:rPr>
        <w:t>固定支架表面平整，涂层无剥落、气泡，焊缝打磨光滑;绳索垂挂顺直，无明显弯曲，保护量安装牢固，开启灵活标识清晰完整，包含产品型号、额定荷载、安装日期及维护电话。</w:t>
      </w:r>
    </w:p>
    <w:p w14:paraId="72182827">
      <w:pPr>
        <w:pStyle w:val="60"/>
        <w:spacing w:line="360" w:lineRule="auto"/>
        <w:ind w:firstLine="560"/>
        <w:rPr>
          <w:rFonts w:hint="eastAsia" w:ascii="仿宋_GB2312" w:hAnsi="仿宋_GB2312" w:eastAsia="仿宋_GB2312" w:cs="仿宋_GB2312"/>
          <w:b w:val="0"/>
          <w:bCs w:val="0"/>
          <w:sz w:val="28"/>
        </w:rPr>
      </w:pPr>
    </w:p>
    <w:p w14:paraId="0BD85323"/>
    <w:p w14:paraId="35576994">
      <w:pPr>
        <w:rPr>
          <w:rFonts w:hint="eastAsia" w:ascii="Calibri" w:hAnsi="Calibri" w:cs="Times New Roman"/>
          <w:b/>
          <w:bCs/>
          <w:kern w:val="44"/>
          <w:sz w:val="44"/>
          <w:szCs w:val="44"/>
          <w:highlight w:val="none"/>
          <w:lang w:val="en-US" w:eastAsia="zh-CN"/>
        </w:rPr>
      </w:pPr>
      <w:r>
        <w:rPr>
          <w:rFonts w:hint="eastAsia" w:ascii="Calibri" w:hAnsi="Calibri" w:cs="Times New Roman"/>
          <w:b/>
          <w:bCs/>
          <w:kern w:val="44"/>
          <w:sz w:val="44"/>
          <w:szCs w:val="44"/>
          <w:highlight w:val="none"/>
          <w:lang w:val="en-US" w:eastAsia="zh-CN"/>
        </w:rPr>
        <w:br w:type="page"/>
      </w:r>
    </w:p>
    <w:p w14:paraId="0C05619E">
      <w:pPr>
        <w:jc w:val="center"/>
        <w:rPr>
          <w:rFonts w:hint="eastAsia" w:ascii="Calibri" w:hAnsi="Calibri" w:cs="Times New Roman"/>
          <w:b/>
          <w:bCs/>
          <w:kern w:val="44"/>
          <w:sz w:val="44"/>
          <w:szCs w:val="44"/>
          <w:highlight w:val="none"/>
          <w:lang w:val="en-US" w:eastAsia="zh-CN"/>
        </w:rPr>
      </w:pPr>
      <w:r>
        <w:rPr>
          <w:rFonts w:hint="eastAsia" w:ascii="Calibri" w:hAnsi="Calibri" w:cs="Times New Roman"/>
          <w:b/>
          <w:bCs/>
          <w:kern w:val="44"/>
          <w:sz w:val="44"/>
          <w:szCs w:val="44"/>
          <w:highlight w:val="none"/>
          <w:lang w:val="en-US" w:eastAsia="zh-CN"/>
        </w:rPr>
        <w:t>评分标准</w:t>
      </w:r>
    </w:p>
    <w:p w14:paraId="098A6F70">
      <w:pPr>
        <w:keepNext w:val="0"/>
        <w:keepLines w:val="0"/>
        <w:pageBreakBefore w:val="0"/>
        <w:widowControl w:val="0"/>
        <w:kinsoku/>
        <w:wordWrap/>
        <w:overflowPunct/>
        <w:topLinePunct w:val="0"/>
        <w:autoSpaceDE/>
        <w:autoSpaceDN/>
        <w:bidi w:val="0"/>
        <w:adjustRightInd/>
        <w:snapToGrid/>
        <w:spacing w:line="360" w:lineRule="auto"/>
        <w:ind w:right="0" w:firstLine="480" w:firstLineChars="200"/>
        <w:textAlignment w:val="auto"/>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采用合理最低价</w:t>
      </w:r>
      <w:r>
        <w:rPr>
          <w:rFonts w:hint="eastAsia" w:ascii="宋体" w:hAnsi="宋体" w:cs="宋体"/>
          <w:color w:val="000000"/>
          <w:sz w:val="24"/>
          <w:szCs w:val="24"/>
          <w:highlight w:val="none"/>
          <w:lang w:val="en-US" w:eastAsia="zh-CN"/>
        </w:rPr>
        <w:t>评</w:t>
      </w:r>
      <w:r>
        <w:rPr>
          <w:rFonts w:hint="eastAsia" w:ascii="宋体" w:hAnsi="宋体" w:eastAsia="宋体" w:cs="宋体"/>
          <w:color w:val="000000"/>
          <w:sz w:val="24"/>
          <w:szCs w:val="24"/>
          <w:highlight w:val="none"/>
          <w:lang w:val="en-US" w:eastAsia="zh-CN"/>
        </w:rPr>
        <w:t>标法</w:t>
      </w:r>
    </w:p>
    <w:p w14:paraId="3179231C">
      <w:pPr>
        <w:keepNext w:val="0"/>
        <w:keepLines w:val="0"/>
        <w:pageBreakBefore w:val="0"/>
        <w:widowControl w:val="0"/>
        <w:kinsoku/>
        <w:wordWrap/>
        <w:overflowPunct/>
        <w:topLinePunct w:val="0"/>
        <w:autoSpaceDE/>
        <w:autoSpaceDN/>
        <w:bidi w:val="0"/>
        <w:adjustRightInd/>
        <w:snapToGrid/>
        <w:ind w:right="0" w:firstLine="480" w:firstLineChars="200"/>
        <w:textAlignment w:val="auto"/>
        <w:rPr>
          <w:rFonts w:hint="eastAsia" w:ascii="Calibri" w:hAnsi="Calibri" w:cs="Times New Roman"/>
          <w:b/>
          <w:bCs/>
          <w:kern w:val="44"/>
          <w:sz w:val="44"/>
          <w:szCs w:val="44"/>
          <w:highlight w:val="none"/>
          <w:lang w:val="en-US" w:eastAsia="zh-CN"/>
        </w:rPr>
      </w:pPr>
      <w:r>
        <w:rPr>
          <w:rFonts w:hint="eastAsia" w:ascii="宋体" w:hAnsi="宋体" w:eastAsia="宋体" w:cs="宋体"/>
          <w:color w:val="000000"/>
          <w:sz w:val="24"/>
          <w:szCs w:val="24"/>
          <w:highlight w:val="none"/>
          <w:lang w:val="en-US" w:eastAsia="zh-CN"/>
        </w:rPr>
        <w:t>由招标人组成的评标委员会负责，进行商务谈判，本着公平、公正、公开、有序的原则，在最大限度地满足招标文件实质性要求的前提下，磋商项目价格，满足要求后，选择合理最低价确定中标人，对未中标单位不做任何解释。</w:t>
      </w:r>
      <w:r>
        <w:rPr>
          <w:rFonts w:hint="eastAsia" w:ascii="Calibri" w:hAnsi="Calibri" w:cs="Times New Roman"/>
          <w:b/>
          <w:bCs/>
          <w:kern w:val="44"/>
          <w:sz w:val="44"/>
          <w:szCs w:val="44"/>
          <w:highlight w:val="none"/>
          <w:lang w:val="en-US" w:eastAsia="zh-CN"/>
        </w:rPr>
        <w:br w:type="page"/>
      </w:r>
    </w:p>
    <w:p w14:paraId="35C27692">
      <w:pPr>
        <w:keepNext/>
        <w:keepLines/>
        <w:jc w:val="center"/>
        <w:outlineLvl w:val="0"/>
        <w:rPr>
          <w:rFonts w:ascii="Calibri" w:hAnsi="Calibri" w:eastAsia="宋体" w:cs="Times New Roman"/>
          <w:b/>
          <w:bCs/>
          <w:kern w:val="44"/>
          <w:sz w:val="44"/>
          <w:szCs w:val="44"/>
          <w:highlight w:val="none"/>
        </w:rPr>
      </w:pPr>
      <w:r>
        <w:rPr>
          <w:rFonts w:hint="eastAsia" w:ascii="Calibri" w:hAnsi="Calibri" w:cs="Times New Roman"/>
          <w:b/>
          <w:bCs/>
          <w:kern w:val="44"/>
          <w:sz w:val="44"/>
          <w:szCs w:val="44"/>
          <w:highlight w:val="none"/>
          <w:lang w:val="en-US" w:eastAsia="zh-CN"/>
        </w:rPr>
        <w:t xml:space="preserve">第三部分 </w:t>
      </w:r>
      <w:r>
        <w:rPr>
          <w:rFonts w:hint="eastAsia" w:ascii="Calibri" w:hAnsi="Calibri" w:eastAsia="宋体" w:cs="Times New Roman"/>
          <w:b/>
          <w:bCs/>
          <w:kern w:val="44"/>
          <w:sz w:val="44"/>
          <w:szCs w:val="44"/>
          <w:highlight w:val="none"/>
        </w:rPr>
        <w:t>投标文件附件</w:t>
      </w:r>
    </w:p>
    <w:p w14:paraId="004B8CE5">
      <w:pPr>
        <w:keepNext/>
        <w:keepLines/>
        <w:rPr>
          <w:rFonts w:ascii="Times New Roman" w:hAnsi="Times New Roman" w:eastAsia="宋体" w:cs="Times New Roman"/>
          <w:b/>
          <w:bCs/>
          <w:color w:val="000000"/>
          <w:sz w:val="24"/>
          <w:szCs w:val="24"/>
          <w:highlight w:val="none"/>
        </w:rPr>
      </w:pPr>
    </w:p>
    <w:p w14:paraId="6D68D61A">
      <w:pPr>
        <w:pStyle w:val="26"/>
        <w:rPr>
          <w:rFonts w:ascii="Times New Roman" w:hAnsi="Times New Roman" w:eastAsia="宋体" w:cs="Times New Roman"/>
          <w:b/>
          <w:bCs/>
          <w:color w:val="000000"/>
          <w:sz w:val="24"/>
          <w:szCs w:val="24"/>
          <w:highlight w:val="none"/>
        </w:rPr>
      </w:pPr>
    </w:p>
    <w:p w14:paraId="69EA8407">
      <w:pPr>
        <w:spacing w:line="420" w:lineRule="exact"/>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说明：</w:t>
      </w:r>
    </w:p>
    <w:p w14:paraId="64D7EE03">
      <w:pPr>
        <w:spacing w:line="420" w:lineRule="exact"/>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1.投标人须认真填写和提交本部分中的附件文件；</w:t>
      </w:r>
    </w:p>
    <w:p w14:paraId="4AD2D164">
      <w:pPr>
        <w:spacing w:line="420" w:lineRule="exact"/>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2.对附件文件中所要求的内容应给予明确的答复；</w:t>
      </w:r>
    </w:p>
    <w:p w14:paraId="14B7BD2D">
      <w:pPr>
        <w:spacing w:line="420" w:lineRule="exact"/>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3.附件文件的签字人应保证其对一切问题的答复、所做的声明及出具的资格资质文件、资料等具有真实性和准确性；</w:t>
      </w:r>
    </w:p>
    <w:p w14:paraId="67E124A3">
      <w:pPr>
        <w:spacing w:line="420" w:lineRule="exact"/>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4.招标人将对投标人提交的文件、资料等内容予以保密，但不退还；</w:t>
      </w:r>
    </w:p>
    <w:p w14:paraId="43477162">
      <w:pPr>
        <w:spacing w:line="420" w:lineRule="exact"/>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5.所有附件文件应以中文书写，作为投标文件的组成部分。</w:t>
      </w:r>
    </w:p>
    <w:p w14:paraId="71E3BE0D">
      <w:pPr>
        <w:keepNext/>
        <w:keepLines/>
        <w:outlineLvl w:val="2"/>
        <w:rPr>
          <w:rFonts w:hint="eastAsia" w:asciiTheme="minorEastAsia" w:hAnsiTheme="minorEastAsia" w:eastAsiaTheme="minorEastAsia" w:cstheme="minorEastAsia"/>
          <w:b/>
          <w:sz w:val="24"/>
          <w:szCs w:val="24"/>
        </w:rPr>
      </w:pPr>
    </w:p>
    <w:p w14:paraId="01A50B49">
      <w:pPr>
        <w:keepNext/>
        <w:keepLines/>
        <w:outlineLvl w:val="2"/>
        <w:rPr>
          <w:rFonts w:hint="eastAsia" w:asciiTheme="minorEastAsia" w:hAnsiTheme="minorEastAsia" w:eastAsiaTheme="minorEastAsia" w:cstheme="minorEastAsia"/>
          <w:b/>
          <w:sz w:val="24"/>
          <w:szCs w:val="24"/>
        </w:rPr>
      </w:pPr>
    </w:p>
    <w:p w14:paraId="409FB284">
      <w:pPr>
        <w:keepNext/>
        <w:keepLines/>
        <w:outlineLvl w:val="2"/>
        <w:rPr>
          <w:rFonts w:hint="eastAsia" w:asciiTheme="minorEastAsia" w:hAnsiTheme="minorEastAsia" w:eastAsiaTheme="minorEastAsia" w:cstheme="minorEastAsia"/>
          <w:b/>
          <w:sz w:val="24"/>
          <w:szCs w:val="24"/>
        </w:rPr>
      </w:pPr>
    </w:p>
    <w:p w14:paraId="4859B0FE">
      <w:pPr>
        <w:keepNext/>
        <w:keepLines/>
        <w:outlineLvl w:val="2"/>
        <w:rPr>
          <w:rFonts w:hint="eastAsia" w:asciiTheme="minorEastAsia" w:hAnsiTheme="minorEastAsia" w:eastAsiaTheme="minorEastAsia" w:cstheme="minorEastAsia"/>
          <w:b/>
          <w:sz w:val="24"/>
          <w:szCs w:val="24"/>
        </w:rPr>
      </w:pPr>
    </w:p>
    <w:p w14:paraId="7379DDCD">
      <w:pPr>
        <w:keepNext/>
        <w:keepLines/>
        <w:outlineLvl w:val="2"/>
        <w:rPr>
          <w:rFonts w:hint="eastAsia" w:asciiTheme="minorEastAsia" w:hAnsiTheme="minorEastAsia" w:eastAsiaTheme="minorEastAsia" w:cstheme="minorEastAsia"/>
          <w:b/>
          <w:sz w:val="24"/>
          <w:szCs w:val="24"/>
        </w:rPr>
      </w:pPr>
    </w:p>
    <w:p w14:paraId="315105D2">
      <w:pPr>
        <w:keepNext/>
        <w:keepLines/>
        <w:outlineLvl w:val="2"/>
        <w:rPr>
          <w:rFonts w:hint="eastAsia" w:asciiTheme="minorEastAsia" w:hAnsiTheme="minorEastAsia" w:eastAsiaTheme="minorEastAsia" w:cstheme="minorEastAsia"/>
          <w:b/>
          <w:sz w:val="24"/>
          <w:szCs w:val="24"/>
        </w:rPr>
      </w:pPr>
    </w:p>
    <w:p w14:paraId="1DCCFD44">
      <w:pPr>
        <w:keepNext/>
        <w:keepLines/>
        <w:outlineLvl w:val="2"/>
        <w:rPr>
          <w:rFonts w:hint="eastAsia" w:asciiTheme="minorEastAsia" w:hAnsiTheme="minorEastAsia" w:eastAsiaTheme="minorEastAsia" w:cstheme="minorEastAsia"/>
          <w:b/>
          <w:sz w:val="24"/>
          <w:szCs w:val="24"/>
        </w:rPr>
      </w:pPr>
    </w:p>
    <w:p w14:paraId="799A6836">
      <w:pPr>
        <w:keepNext/>
        <w:keepLines/>
        <w:outlineLvl w:val="2"/>
        <w:rPr>
          <w:rFonts w:hint="eastAsia" w:asciiTheme="minorEastAsia" w:hAnsiTheme="minorEastAsia" w:eastAsiaTheme="minorEastAsia" w:cstheme="minorEastAsia"/>
          <w:b/>
          <w:sz w:val="24"/>
          <w:szCs w:val="24"/>
        </w:rPr>
      </w:pPr>
    </w:p>
    <w:p w14:paraId="31604940">
      <w:pPr>
        <w:keepNext/>
        <w:keepLines/>
        <w:outlineLvl w:val="2"/>
        <w:rPr>
          <w:rFonts w:hint="eastAsia" w:asciiTheme="minorEastAsia" w:hAnsiTheme="minorEastAsia" w:eastAsiaTheme="minorEastAsia" w:cstheme="minorEastAsia"/>
          <w:b/>
          <w:sz w:val="24"/>
          <w:szCs w:val="24"/>
        </w:rPr>
      </w:pPr>
    </w:p>
    <w:p w14:paraId="38A631EE">
      <w:pPr>
        <w:keepNext/>
        <w:keepLines/>
        <w:outlineLvl w:val="2"/>
        <w:rPr>
          <w:rFonts w:hint="eastAsia" w:asciiTheme="minorEastAsia" w:hAnsiTheme="minorEastAsia" w:eastAsiaTheme="minorEastAsia" w:cstheme="minorEastAsia"/>
          <w:b/>
          <w:sz w:val="24"/>
          <w:szCs w:val="24"/>
        </w:rPr>
      </w:pPr>
    </w:p>
    <w:p w14:paraId="2B35014B">
      <w:pPr>
        <w:keepNext/>
        <w:keepLines/>
        <w:outlineLvl w:val="2"/>
        <w:rPr>
          <w:rFonts w:hint="eastAsia" w:asciiTheme="minorEastAsia" w:hAnsiTheme="minorEastAsia" w:eastAsiaTheme="minorEastAsia" w:cstheme="minorEastAsia"/>
          <w:b/>
          <w:sz w:val="24"/>
          <w:szCs w:val="24"/>
        </w:rPr>
      </w:pPr>
    </w:p>
    <w:p w14:paraId="3E1E2C91">
      <w:pPr>
        <w:keepNext/>
        <w:keepLines/>
        <w:outlineLvl w:val="2"/>
        <w:rPr>
          <w:rFonts w:hint="eastAsia" w:asciiTheme="minorEastAsia" w:hAnsiTheme="minorEastAsia" w:eastAsiaTheme="minorEastAsia" w:cstheme="minorEastAsia"/>
          <w:b/>
          <w:sz w:val="24"/>
          <w:szCs w:val="24"/>
        </w:rPr>
      </w:pPr>
    </w:p>
    <w:p w14:paraId="65712283">
      <w:pPr>
        <w:keepNext/>
        <w:keepLines/>
        <w:outlineLvl w:val="2"/>
        <w:rPr>
          <w:rFonts w:hint="eastAsia" w:asciiTheme="minorEastAsia" w:hAnsiTheme="minorEastAsia" w:eastAsiaTheme="minorEastAsia" w:cstheme="minorEastAsia"/>
          <w:b/>
          <w:sz w:val="24"/>
          <w:szCs w:val="24"/>
        </w:rPr>
      </w:pPr>
    </w:p>
    <w:p w14:paraId="6F133945">
      <w:pPr>
        <w:keepNext/>
        <w:keepLines/>
        <w:outlineLvl w:val="2"/>
        <w:rPr>
          <w:rFonts w:hint="eastAsia" w:asciiTheme="minorEastAsia" w:hAnsiTheme="minorEastAsia" w:eastAsiaTheme="minorEastAsia" w:cstheme="minorEastAsia"/>
          <w:b/>
          <w:sz w:val="24"/>
          <w:szCs w:val="24"/>
        </w:rPr>
      </w:pPr>
    </w:p>
    <w:p w14:paraId="6BFA7BFB">
      <w:pPr>
        <w:keepNext/>
        <w:keepLines/>
        <w:outlineLvl w:val="2"/>
        <w:rPr>
          <w:rFonts w:hint="eastAsia" w:asciiTheme="minorEastAsia" w:hAnsiTheme="minorEastAsia" w:eastAsiaTheme="minorEastAsia" w:cstheme="minorEastAsia"/>
          <w:b/>
          <w:sz w:val="24"/>
          <w:szCs w:val="24"/>
        </w:rPr>
      </w:pPr>
    </w:p>
    <w:p w14:paraId="789716BA">
      <w:pPr>
        <w:keepNext/>
        <w:keepLines/>
        <w:outlineLvl w:val="2"/>
        <w:rPr>
          <w:rFonts w:hint="eastAsia" w:asciiTheme="minorEastAsia" w:hAnsiTheme="minorEastAsia" w:eastAsiaTheme="minorEastAsia" w:cstheme="minorEastAsia"/>
          <w:b/>
          <w:sz w:val="24"/>
          <w:szCs w:val="24"/>
        </w:rPr>
      </w:pPr>
    </w:p>
    <w:p w14:paraId="271F259A">
      <w:pPr>
        <w:keepNext/>
        <w:keepLines/>
        <w:outlineLvl w:val="2"/>
        <w:rPr>
          <w:rFonts w:hint="eastAsia" w:asciiTheme="minorEastAsia" w:hAnsiTheme="minorEastAsia" w:eastAsiaTheme="minorEastAsia" w:cstheme="minorEastAsia"/>
          <w:b/>
          <w:sz w:val="24"/>
          <w:szCs w:val="24"/>
        </w:rPr>
      </w:pPr>
    </w:p>
    <w:p w14:paraId="4D697150">
      <w:pPr>
        <w:keepNext/>
        <w:keepLines/>
        <w:outlineLvl w:val="2"/>
        <w:rPr>
          <w:rFonts w:hint="eastAsia" w:asciiTheme="minorEastAsia" w:hAnsiTheme="minorEastAsia" w:eastAsiaTheme="minorEastAsia" w:cstheme="minorEastAsia"/>
          <w:b/>
          <w:sz w:val="24"/>
          <w:szCs w:val="24"/>
        </w:rPr>
      </w:pPr>
    </w:p>
    <w:p w14:paraId="1A92D340">
      <w:pPr>
        <w:keepNext/>
        <w:keepLines/>
        <w:outlineLvl w:val="2"/>
        <w:rPr>
          <w:rFonts w:hint="eastAsia" w:asciiTheme="minorEastAsia" w:hAnsiTheme="minorEastAsia" w:eastAsiaTheme="minorEastAsia" w:cstheme="minorEastAsia"/>
          <w:b/>
          <w:sz w:val="24"/>
          <w:szCs w:val="24"/>
        </w:rPr>
      </w:pPr>
    </w:p>
    <w:p w14:paraId="63AE9EFB">
      <w:pPr>
        <w:keepNext/>
        <w:keepLines/>
        <w:outlineLvl w:val="2"/>
        <w:rPr>
          <w:rFonts w:hint="eastAsia" w:asciiTheme="minorEastAsia" w:hAnsiTheme="minorEastAsia" w:eastAsiaTheme="minorEastAsia" w:cstheme="minorEastAsia"/>
          <w:b/>
          <w:sz w:val="24"/>
          <w:szCs w:val="24"/>
        </w:rPr>
      </w:pPr>
    </w:p>
    <w:p w14:paraId="02CE63D2">
      <w:pPr>
        <w:keepNext/>
        <w:keepLines/>
        <w:outlineLvl w:val="2"/>
        <w:rPr>
          <w:rFonts w:hint="eastAsia" w:asciiTheme="minorEastAsia" w:hAnsiTheme="minorEastAsia" w:eastAsiaTheme="minorEastAsia" w:cstheme="minorEastAsia"/>
          <w:b/>
          <w:sz w:val="24"/>
          <w:szCs w:val="24"/>
        </w:rPr>
      </w:pPr>
    </w:p>
    <w:p w14:paraId="7377BADF">
      <w:pPr>
        <w:keepNext/>
        <w:keepLines/>
        <w:outlineLvl w:val="2"/>
        <w:rPr>
          <w:rFonts w:hint="eastAsia" w:asciiTheme="minorEastAsia" w:hAnsiTheme="minorEastAsia" w:eastAsiaTheme="minorEastAsia" w:cstheme="minorEastAsia"/>
          <w:b/>
          <w:sz w:val="24"/>
          <w:szCs w:val="24"/>
        </w:rPr>
      </w:pPr>
    </w:p>
    <w:p w14:paraId="0E149AF0">
      <w:pPr>
        <w:keepNext/>
        <w:keepLines/>
        <w:outlineLvl w:val="2"/>
        <w:rPr>
          <w:rFonts w:hint="eastAsia" w:asciiTheme="minorEastAsia" w:hAnsiTheme="minorEastAsia" w:eastAsiaTheme="minorEastAsia" w:cstheme="minorEastAsia"/>
          <w:b/>
          <w:sz w:val="24"/>
          <w:szCs w:val="24"/>
        </w:rPr>
      </w:pPr>
    </w:p>
    <w:p w14:paraId="0753F1DE">
      <w:pPr>
        <w:keepNext/>
        <w:keepLines/>
        <w:outlineLvl w:val="2"/>
        <w:rPr>
          <w:rFonts w:hint="eastAsia" w:asciiTheme="minorEastAsia" w:hAnsiTheme="minorEastAsia" w:eastAsiaTheme="minorEastAsia" w:cstheme="minorEastAsia"/>
          <w:b/>
          <w:sz w:val="24"/>
          <w:szCs w:val="24"/>
        </w:rPr>
      </w:pPr>
    </w:p>
    <w:p w14:paraId="31E97C20">
      <w:pPr>
        <w:keepNext/>
        <w:keepLines/>
        <w:outlineLvl w:val="2"/>
        <w:rPr>
          <w:rFonts w:hint="eastAsia" w:asciiTheme="minorEastAsia" w:hAnsiTheme="minorEastAsia" w:eastAsiaTheme="minorEastAsia" w:cstheme="minorEastAsia"/>
          <w:b/>
          <w:sz w:val="24"/>
          <w:szCs w:val="24"/>
        </w:rPr>
      </w:pPr>
    </w:p>
    <w:p w14:paraId="5E039EA6">
      <w:pPr>
        <w:keepNext/>
        <w:keepLines/>
        <w:outlineLvl w:val="2"/>
        <w:rPr>
          <w:rFonts w:hint="eastAsia" w:asciiTheme="minorEastAsia" w:hAnsiTheme="minorEastAsia" w:eastAsiaTheme="minorEastAsia" w:cstheme="minorEastAsia"/>
          <w:b/>
          <w:sz w:val="24"/>
          <w:szCs w:val="24"/>
        </w:rPr>
      </w:pPr>
    </w:p>
    <w:p w14:paraId="0CA49193">
      <w:pPr>
        <w:keepNext/>
        <w:keepLines/>
        <w:outlineLvl w:val="2"/>
        <w:rPr>
          <w:rFonts w:hint="eastAsia" w:asciiTheme="minorEastAsia" w:hAnsiTheme="minorEastAsia" w:eastAsiaTheme="minorEastAsia" w:cstheme="minorEastAsia"/>
          <w:b/>
          <w:sz w:val="24"/>
          <w:szCs w:val="24"/>
        </w:rPr>
      </w:pPr>
    </w:p>
    <w:p w14:paraId="5CDE0C8B">
      <w:pPr>
        <w:spacing w:line="360" w:lineRule="auto"/>
        <w:rPr>
          <w:rFonts w:hint="eastAsia" w:ascii="仿宋" w:hAnsi="仿宋" w:eastAsia="仿宋"/>
          <w:b/>
          <w:bCs/>
          <w:sz w:val="28"/>
        </w:rPr>
      </w:pPr>
    </w:p>
    <w:p w14:paraId="16512770">
      <w:pPr>
        <w:rPr>
          <w:rFonts w:hint="eastAsia" w:ascii="仿宋" w:hAnsi="仿宋" w:eastAsia="仿宋"/>
          <w:b/>
          <w:bCs/>
          <w:sz w:val="28"/>
        </w:rPr>
      </w:pPr>
      <w:r>
        <w:rPr>
          <w:rFonts w:hint="eastAsia" w:ascii="仿宋" w:hAnsi="仿宋" w:eastAsia="仿宋"/>
          <w:b/>
          <w:bCs/>
          <w:sz w:val="28"/>
        </w:rPr>
        <w:br w:type="page"/>
      </w:r>
    </w:p>
    <w:p w14:paraId="4676CEFC">
      <w:pPr>
        <w:pStyle w:val="5"/>
        <w:ind w:firstLine="602"/>
        <w:rPr>
          <w:rFonts w:hint="eastAsia" w:ascii="仿宋" w:hAnsi="仿宋" w:eastAsia="仿宋" w:cs="仿宋"/>
          <w:sz w:val="32"/>
          <w:szCs w:val="32"/>
        </w:rPr>
      </w:pPr>
      <w:bookmarkStart w:id="15" w:name="_Toc15717"/>
      <w:r>
        <w:rPr>
          <w:rFonts w:hint="eastAsia" w:ascii="仿宋" w:hAnsi="仿宋" w:eastAsia="仿宋" w:cs="仿宋"/>
          <w:bCs/>
          <w:sz w:val="28"/>
          <w:szCs w:val="28"/>
        </w:rPr>
        <w:t>附件</w:t>
      </w:r>
      <w:r>
        <w:rPr>
          <w:rFonts w:hint="eastAsia" w:ascii="仿宋" w:hAnsi="仿宋" w:eastAsia="仿宋" w:cs="仿宋"/>
          <w:bCs/>
          <w:sz w:val="28"/>
          <w:szCs w:val="28"/>
          <w:lang w:eastAsia="zh-CN"/>
        </w:rPr>
        <w:t>：</w:t>
      </w:r>
      <w:r>
        <w:rPr>
          <w:rFonts w:hint="eastAsia" w:ascii="仿宋" w:hAnsi="仿宋" w:eastAsia="仿宋" w:cs="仿宋"/>
          <w:bCs/>
          <w:sz w:val="28"/>
          <w:szCs w:val="28"/>
        </w:rPr>
        <w:t>踏勘现场登记表</w:t>
      </w:r>
      <w:bookmarkEnd w:id="15"/>
    </w:p>
    <w:p w14:paraId="6B883063">
      <w:pPr>
        <w:ind w:firstLine="0" w:firstLineChars="0"/>
        <w:jc w:val="center"/>
        <w:rPr>
          <w:rFonts w:hint="eastAsia" w:ascii="仿宋" w:hAnsi="仿宋" w:eastAsia="仿宋" w:cs="仿宋"/>
          <w:b/>
          <w:bCs/>
          <w:sz w:val="36"/>
          <w:szCs w:val="36"/>
        </w:rPr>
      </w:pPr>
      <w:r>
        <w:rPr>
          <w:rFonts w:hint="eastAsia" w:ascii="仿宋" w:hAnsi="仿宋" w:eastAsia="仿宋" w:cs="仿宋"/>
          <w:b/>
          <w:bCs/>
          <w:sz w:val="36"/>
          <w:szCs w:val="36"/>
        </w:rPr>
        <w:t>踏勘现场登记表</w:t>
      </w:r>
    </w:p>
    <w:p w14:paraId="37544C70">
      <w:pPr>
        <w:tabs>
          <w:tab w:val="left" w:pos="8042"/>
        </w:tabs>
        <w:spacing w:before="26" w:after="120"/>
        <w:ind w:right="842" w:firstLine="476"/>
        <w:jc w:val="both"/>
        <w:rPr>
          <w:rFonts w:hint="eastAsia" w:ascii="仿宋" w:hAnsi="仿宋" w:eastAsia="仿宋" w:cs="仿宋"/>
          <w:sz w:val="24"/>
          <w:szCs w:val="32"/>
        </w:rPr>
      </w:pPr>
      <w:r>
        <w:rPr>
          <w:rFonts w:hint="eastAsia" w:ascii="仿宋" w:hAnsi="仿宋" w:eastAsia="仿宋" w:cs="仿宋"/>
          <w:spacing w:val="-1"/>
          <w:sz w:val="24"/>
          <w:szCs w:val="32"/>
        </w:rPr>
        <w:t>项目名称：</w:t>
      </w:r>
      <w:r>
        <w:rPr>
          <w:rFonts w:hint="eastAsia" w:ascii="仿宋" w:hAnsi="仿宋" w:eastAsia="仿宋" w:cs="仿宋"/>
          <w:spacing w:val="-1"/>
          <w:sz w:val="24"/>
          <w:szCs w:val="32"/>
          <w:u w:val="single" w:color="000000"/>
        </w:rPr>
        <w:tab/>
      </w:r>
      <w:r>
        <w:rPr>
          <w:rFonts w:hint="eastAsia" w:ascii="仿宋" w:hAnsi="仿宋" w:eastAsia="仿宋" w:cs="仿宋"/>
          <w:sz w:val="24"/>
          <w:szCs w:val="32"/>
        </w:rPr>
        <w:t xml:space="preserve"> </w:t>
      </w:r>
    </w:p>
    <w:p w14:paraId="4A447E00">
      <w:pPr>
        <w:tabs>
          <w:tab w:val="left" w:pos="8042"/>
        </w:tabs>
        <w:spacing w:before="26" w:after="120"/>
        <w:ind w:right="842" w:firstLine="476"/>
        <w:jc w:val="both"/>
        <w:rPr>
          <w:rFonts w:hint="eastAsia" w:ascii="仿宋" w:hAnsi="仿宋" w:eastAsia="仿宋" w:cs="仿宋"/>
          <w:sz w:val="24"/>
          <w:szCs w:val="32"/>
        </w:rPr>
      </w:pPr>
      <w:r>
        <w:rPr>
          <w:rFonts w:hint="eastAsia" w:ascii="仿宋" w:hAnsi="仿宋" w:eastAsia="仿宋" w:cs="仿宋"/>
          <w:sz w:val="24"/>
          <w:szCs w:val="32"/>
        </w:rPr>
        <w:t>项目编号：</w:t>
      </w:r>
      <w:r>
        <w:rPr>
          <w:rFonts w:hint="eastAsia" w:ascii="仿宋" w:hAnsi="仿宋" w:eastAsia="仿宋" w:cs="仿宋"/>
          <w:sz w:val="24"/>
          <w:szCs w:val="32"/>
          <w:u w:val="single"/>
        </w:rPr>
        <w:t xml:space="preserve">                  </w:t>
      </w:r>
      <w:r>
        <w:rPr>
          <w:rFonts w:hint="eastAsia" w:ascii="仿宋" w:hAnsi="仿宋" w:eastAsia="仿宋" w:cs="仿宋"/>
          <w:sz w:val="24"/>
          <w:szCs w:val="32"/>
        </w:rPr>
        <w:t>按采购文件规定。</w:t>
      </w:r>
    </w:p>
    <w:p w14:paraId="3714071C">
      <w:pPr>
        <w:tabs>
          <w:tab w:val="left" w:pos="6002"/>
        </w:tabs>
        <w:spacing w:before="34" w:after="120"/>
        <w:ind w:right="137" w:firstLine="476"/>
        <w:jc w:val="both"/>
        <w:rPr>
          <w:rFonts w:hint="eastAsia" w:ascii="仿宋" w:hAnsi="仿宋" w:eastAsia="仿宋" w:cs="仿宋"/>
          <w:sz w:val="24"/>
          <w:szCs w:val="32"/>
        </w:rPr>
      </w:pPr>
      <w:r>
        <w:rPr>
          <w:rFonts w:hint="eastAsia" w:ascii="仿宋" w:hAnsi="仿宋" w:eastAsia="仿宋" w:cs="仿宋"/>
          <w:spacing w:val="-1"/>
          <w:sz w:val="24"/>
          <w:szCs w:val="32"/>
        </w:rPr>
        <w:t>我方（公司名称：</w:t>
      </w:r>
      <w:r>
        <w:rPr>
          <w:rFonts w:hint="eastAsia" w:ascii="仿宋" w:hAnsi="仿宋" w:eastAsia="仿宋" w:cs="仿宋"/>
          <w:spacing w:val="-1"/>
          <w:sz w:val="24"/>
          <w:szCs w:val="32"/>
          <w:lang w:val="en-US" w:eastAsia="zh-CN"/>
        </w:rPr>
        <w:t>________________________</w:t>
      </w:r>
      <w:r>
        <w:rPr>
          <w:rFonts w:hint="eastAsia" w:ascii="仿宋" w:hAnsi="仿宋" w:eastAsia="仿宋" w:cs="仿宋"/>
          <w:sz w:val="24"/>
          <w:szCs w:val="32"/>
        </w:rPr>
        <w:t>）于</w:t>
      </w:r>
      <w:r>
        <w:rPr>
          <w:rFonts w:hint="eastAsia" w:ascii="仿宋" w:hAnsi="仿宋" w:eastAsia="仿宋" w:cs="仿宋"/>
          <w:sz w:val="24"/>
          <w:szCs w:val="32"/>
          <w:u w:val="single"/>
          <w:lang w:val="en-US" w:eastAsia="zh-CN"/>
        </w:rPr>
        <w:t xml:space="preserve">    </w:t>
      </w:r>
      <w:r>
        <w:rPr>
          <w:rFonts w:hint="eastAsia" w:ascii="仿宋" w:hAnsi="仿宋" w:eastAsia="仿宋" w:cs="仿宋"/>
          <w:sz w:val="24"/>
          <w:szCs w:val="32"/>
        </w:rPr>
        <w:t>年</w:t>
      </w:r>
      <w:r>
        <w:rPr>
          <w:rFonts w:hint="eastAsia" w:ascii="仿宋" w:hAnsi="仿宋" w:eastAsia="仿宋" w:cs="仿宋"/>
          <w:sz w:val="24"/>
          <w:szCs w:val="32"/>
          <w:u w:val="single"/>
          <w:lang w:val="en-US" w:eastAsia="zh-CN"/>
        </w:rPr>
        <w:t xml:space="preserve">     </w:t>
      </w:r>
      <w:r>
        <w:rPr>
          <w:rFonts w:hint="eastAsia" w:ascii="仿宋" w:hAnsi="仿宋" w:eastAsia="仿宋" w:cs="仿宋"/>
          <w:sz w:val="24"/>
          <w:szCs w:val="32"/>
        </w:rPr>
        <w:t>月</w:t>
      </w:r>
      <w:r>
        <w:rPr>
          <w:rFonts w:hint="eastAsia" w:ascii="仿宋" w:hAnsi="仿宋" w:eastAsia="仿宋" w:cs="仿宋"/>
          <w:sz w:val="24"/>
          <w:szCs w:val="32"/>
          <w:u w:val="single" w:color="000000"/>
        </w:rPr>
        <w:tab/>
      </w:r>
      <w:r>
        <w:rPr>
          <w:rFonts w:hint="eastAsia" w:ascii="仿宋" w:hAnsi="仿宋" w:eastAsia="仿宋" w:cs="仿宋"/>
          <w:sz w:val="24"/>
          <w:szCs w:val="32"/>
          <w:u w:val="single" w:color="000000"/>
        </w:rPr>
        <w:t xml:space="preserve">  </w:t>
      </w:r>
      <w:r>
        <w:rPr>
          <w:rFonts w:hint="eastAsia" w:ascii="仿宋" w:hAnsi="仿宋" w:eastAsia="仿宋" w:cs="仿宋"/>
          <w:sz w:val="24"/>
          <w:szCs w:val="32"/>
        </w:rPr>
        <w:t>日完成现场踏勘且了解现场环境和要求，并根据采购人要求制定项目实施方案。</w:t>
      </w:r>
    </w:p>
    <w:p w14:paraId="0240B7F6">
      <w:pPr>
        <w:tabs>
          <w:tab w:val="left" w:pos="2282"/>
        </w:tabs>
        <w:spacing w:before="36" w:after="120"/>
        <w:ind w:right="602" w:firstLine="480"/>
        <w:jc w:val="both"/>
        <w:rPr>
          <w:rFonts w:hint="eastAsia" w:ascii="仿宋" w:hAnsi="仿宋" w:eastAsia="仿宋" w:cs="仿宋"/>
          <w:sz w:val="24"/>
          <w:szCs w:val="32"/>
        </w:rPr>
      </w:pPr>
      <w:r>
        <w:rPr>
          <w:rFonts w:hint="eastAsia" w:ascii="仿宋" w:hAnsi="仿宋" w:eastAsia="仿宋" w:cs="仿宋"/>
          <w:sz w:val="24"/>
          <w:szCs w:val="32"/>
        </w:rPr>
        <w:t xml:space="preserve">此现场踏勘证明文件为响应文件有效组成部分（胶装于响应文件中）。 </w:t>
      </w:r>
    </w:p>
    <w:p w14:paraId="16E94149">
      <w:pPr>
        <w:tabs>
          <w:tab w:val="left" w:pos="2282"/>
        </w:tabs>
        <w:spacing w:before="36" w:after="120"/>
        <w:ind w:right="602" w:firstLine="480"/>
        <w:jc w:val="both"/>
        <w:rPr>
          <w:rFonts w:hint="eastAsia" w:ascii="仿宋" w:hAnsi="仿宋" w:eastAsia="仿宋" w:cs="仿宋"/>
          <w:sz w:val="24"/>
          <w:szCs w:val="32"/>
        </w:rPr>
      </w:pPr>
    </w:p>
    <w:p w14:paraId="584F7C54">
      <w:pPr>
        <w:pStyle w:val="9"/>
        <w:rPr>
          <w:rFonts w:hint="eastAsia"/>
        </w:rPr>
      </w:pPr>
    </w:p>
    <w:p w14:paraId="74DD9617">
      <w:pPr>
        <w:tabs>
          <w:tab w:val="left" w:pos="2282"/>
        </w:tabs>
        <w:spacing w:before="36" w:after="120"/>
        <w:ind w:right="602" w:firstLine="480"/>
        <w:jc w:val="both"/>
        <w:rPr>
          <w:rFonts w:hint="eastAsia" w:ascii="仿宋" w:hAnsi="仿宋" w:eastAsia="仿宋" w:cs="仿宋"/>
          <w:sz w:val="24"/>
          <w:szCs w:val="32"/>
        </w:rPr>
      </w:pPr>
      <w:r>
        <w:rPr>
          <w:rFonts w:hint="eastAsia" w:ascii="仿宋" w:hAnsi="仿宋" w:eastAsia="仿宋" w:cs="仿宋"/>
          <w:sz w:val="24"/>
          <w:szCs w:val="32"/>
        </w:rPr>
        <w:t>供应商名称（盖公章）：</w:t>
      </w:r>
      <w:r>
        <w:rPr>
          <w:rFonts w:hint="eastAsia" w:ascii="仿宋" w:hAnsi="仿宋" w:eastAsia="仿宋" w:cs="仿宋"/>
          <w:sz w:val="24"/>
          <w:szCs w:val="32"/>
        </w:rPr>
        <w:tab/>
      </w:r>
    </w:p>
    <w:p w14:paraId="10C6572E">
      <w:pPr>
        <w:tabs>
          <w:tab w:val="left" w:pos="6182"/>
          <w:tab w:val="left" w:pos="6782"/>
        </w:tabs>
        <w:spacing w:before="144" w:after="120"/>
        <w:ind w:right="137" w:firstLine="480"/>
        <w:jc w:val="both"/>
        <w:rPr>
          <w:rFonts w:hint="eastAsia" w:ascii="仿宋" w:hAnsi="仿宋" w:eastAsia="仿宋" w:cs="仿宋"/>
          <w:sz w:val="24"/>
          <w:szCs w:val="32"/>
        </w:rPr>
      </w:pPr>
      <w:r>
        <w:rPr>
          <w:rFonts w:hint="eastAsia" w:ascii="仿宋" w:hAnsi="仿宋" w:eastAsia="仿宋" w:cs="仿宋"/>
          <w:sz w:val="24"/>
          <w:szCs w:val="32"/>
        </w:rPr>
        <w:t xml:space="preserve">踏勘时间: </w:t>
      </w:r>
      <w:r>
        <w:rPr>
          <w:rFonts w:hint="eastAsia" w:ascii="仿宋" w:hAnsi="仿宋" w:eastAsia="仿宋" w:cs="仿宋"/>
          <w:sz w:val="24"/>
          <w:szCs w:val="32"/>
          <w:lang w:val="en-US" w:eastAsia="zh-CN"/>
        </w:rPr>
        <w:t xml:space="preserve">  </w:t>
      </w:r>
      <w:r>
        <w:rPr>
          <w:rFonts w:hint="eastAsia" w:ascii="仿宋" w:hAnsi="仿宋" w:eastAsia="仿宋" w:cs="仿宋"/>
          <w:sz w:val="24"/>
          <w:szCs w:val="32"/>
        </w:rPr>
        <w:t>年</w:t>
      </w:r>
      <w:r>
        <w:rPr>
          <w:rFonts w:hint="eastAsia" w:ascii="仿宋" w:hAnsi="仿宋" w:eastAsia="仿宋" w:cs="仿宋"/>
          <w:sz w:val="24"/>
          <w:szCs w:val="32"/>
          <w:lang w:val="en-US" w:eastAsia="zh-CN"/>
        </w:rPr>
        <w:t xml:space="preserve">  </w:t>
      </w:r>
      <w:r>
        <w:rPr>
          <w:rFonts w:hint="eastAsia" w:ascii="仿宋" w:hAnsi="仿宋" w:eastAsia="仿宋" w:cs="仿宋"/>
          <w:sz w:val="24"/>
          <w:szCs w:val="32"/>
        </w:rPr>
        <w:t>月  日</w:t>
      </w:r>
    </w:p>
    <w:p w14:paraId="0EDDC285">
      <w:pPr>
        <w:spacing w:before="5"/>
        <w:rPr>
          <w:rFonts w:hint="eastAsia" w:ascii="仿宋" w:hAnsi="仿宋" w:eastAsia="仿宋" w:cs="仿宋"/>
          <w:sz w:val="24"/>
          <w:szCs w:val="32"/>
        </w:rPr>
      </w:pPr>
    </w:p>
    <w:p w14:paraId="2BCE5396">
      <w:pPr>
        <w:pStyle w:val="9"/>
        <w:rPr>
          <w:rFonts w:hint="eastAsia"/>
        </w:rPr>
      </w:pPr>
    </w:p>
    <w:p w14:paraId="0969C34D">
      <w:pPr>
        <w:spacing w:after="120"/>
        <w:ind w:right="1585" w:firstLine="480"/>
        <w:jc w:val="both"/>
        <w:rPr>
          <w:rFonts w:hint="eastAsia" w:ascii="仿宋" w:hAnsi="仿宋" w:eastAsia="仿宋" w:cs="仿宋"/>
          <w:sz w:val="24"/>
          <w:szCs w:val="32"/>
        </w:rPr>
      </w:pPr>
      <w:r>
        <w:rPr>
          <w:rFonts w:hint="eastAsia" w:ascii="仿宋" w:hAnsi="仿宋" w:eastAsia="仿宋" w:cs="仿宋"/>
          <w:sz w:val="24"/>
          <w:szCs w:val="32"/>
          <w:lang w:val="en-US" w:eastAsia="zh-CN"/>
        </w:rPr>
        <w:t>招标单位</w:t>
      </w:r>
      <w:r>
        <w:rPr>
          <w:rFonts w:hint="eastAsia" w:ascii="仿宋" w:hAnsi="仿宋" w:eastAsia="仿宋" w:cs="仿宋"/>
          <w:sz w:val="24"/>
          <w:szCs w:val="32"/>
        </w:rPr>
        <w:t xml:space="preserve">：中国重汽集团济南动力有限公司 </w:t>
      </w:r>
    </w:p>
    <w:p w14:paraId="23274084">
      <w:pPr>
        <w:spacing w:after="120"/>
        <w:ind w:right="1585" w:firstLine="480"/>
        <w:jc w:val="both"/>
        <w:rPr>
          <w:rFonts w:hint="eastAsia" w:ascii="仿宋" w:hAnsi="仿宋" w:eastAsia="仿宋" w:cs="仿宋"/>
          <w:sz w:val="24"/>
          <w:szCs w:val="32"/>
        </w:rPr>
      </w:pPr>
      <w:r>
        <w:rPr>
          <w:rFonts w:hint="eastAsia" w:ascii="仿宋" w:hAnsi="仿宋" w:eastAsia="仿宋" w:cs="仿宋"/>
          <w:sz w:val="24"/>
          <w:szCs w:val="32"/>
          <w:lang w:val="en-US" w:eastAsia="zh-CN"/>
        </w:rPr>
        <w:t>被服务单位现场联络</w:t>
      </w:r>
      <w:r>
        <w:rPr>
          <w:rFonts w:hint="eastAsia" w:ascii="仿宋" w:hAnsi="仿宋" w:eastAsia="仿宋" w:cs="仿宋"/>
          <w:sz w:val="24"/>
          <w:szCs w:val="32"/>
        </w:rPr>
        <w:t>人（签字）：</w:t>
      </w:r>
    </w:p>
    <w:p w14:paraId="5762F502">
      <w:pPr>
        <w:tabs>
          <w:tab w:val="left" w:pos="6302"/>
          <w:tab w:val="left" w:pos="6782"/>
        </w:tabs>
        <w:spacing w:before="190" w:after="120"/>
        <w:ind w:right="137" w:firstLine="480"/>
        <w:jc w:val="both"/>
        <w:rPr>
          <w:rFonts w:hint="eastAsia" w:ascii="仿宋" w:hAnsi="仿宋" w:eastAsia="仿宋" w:cs="仿宋"/>
          <w:sz w:val="24"/>
          <w:szCs w:val="32"/>
        </w:rPr>
      </w:pPr>
      <w:r>
        <w:rPr>
          <w:rFonts w:hint="eastAsia" w:ascii="仿宋" w:hAnsi="仿宋" w:eastAsia="仿宋" w:cs="仿宋"/>
          <w:sz w:val="24"/>
          <w:szCs w:val="32"/>
        </w:rPr>
        <w:t>踏勘时间:</w:t>
      </w:r>
      <w:r>
        <w:rPr>
          <w:rFonts w:hint="eastAsia" w:ascii="仿宋" w:hAnsi="仿宋" w:eastAsia="仿宋" w:cs="仿宋"/>
          <w:sz w:val="24"/>
          <w:szCs w:val="32"/>
          <w:lang w:val="en-US" w:eastAsia="zh-CN"/>
        </w:rPr>
        <w:t xml:space="preserve"> </w:t>
      </w:r>
      <w:r>
        <w:rPr>
          <w:rFonts w:hint="eastAsia" w:ascii="仿宋" w:hAnsi="仿宋" w:eastAsia="仿宋" w:cs="仿宋"/>
          <w:sz w:val="24"/>
          <w:szCs w:val="32"/>
        </w:rPr>
        <w:t>年</w:t>
      </w:r>
      <w:r>
        <w:rPr>
          <w:rFonts w:hint="eastAsia" w:ascii="仿宋" w:hAnsi="仿宋" w:eastAsia="仿宋" w:cs="仿宋"/>
          <w:sz w:val="24"/>
          <w:szCs w:val="32"/>
          <w:lang w:val="en-US" w:eastAsia="zh-CN"/>
        </w:rPr>
        <w:t xml:space="preserve">  </w:t>
      </w:r>
      <w:r>
        <w:rPr>
          <w:rFonts w:hint="eastAsia" w:ascii="仿宋" w:hAnsi="仿宋" w:eastAsia="仿宋" w:cs="仿宋"/>
          <w:sz w:val="24"/>
          <w:szCs w:val="32"/>
        </w:rPr>
        <w:t>月  日</w:t>
      </w:r>
    </w:p>
    <w:p w14:paraId="5D09B9E6">
      <w:pPr>
        <w:ind w:firstLine="480"/>
        <w:rPr>
          <w:rFonts w:hint="eastAsia" w:ascii="仿宋" w:hAnsi="仿宋" w:eastAsia="仿宋" w:cs="仿宋"/>
          <w:sz w:val="24"/>
          <w:szCs w:val="32"/>
        </w:rPr>
      </w:pPr>
    </w:p>
    <w:p w14:paraId="22551E39">
      <w:pPr>
        <w:ind w:firstLine="480"/>
        <w:rPr>
          <w:rFonts w:hint="eastAsia" w:ascii="仿宋" w:hAnsi="仿宋" w:eastAsia="仿宋" w:cs="仿宋"/>
          <w:sz w:val="24"/>
          <w:szCs w:val="32"/>
        </w:rPr>
      </w:pPr>
    </w:p>
    <w:p w14:paraId="5DBE4F7B">
      <w:pPr>
        <w:pStyle w:val="9"/>
        <w:rPr>
          <w:rFonts w:hint="eastAsia"/>
        </w:rPr>
      </w:pPr>
    </w:p>
    <w:p w14:paraId="59A4F9E5">
      <w:pPr>
        <w:pStyle w:val="9"/>
        <w:ind w:firstLine="482"/>
        <w:rPr>
          <w:rFonts w:hint="eastAsia" w:ascii="仿宋" w:hAnsi="仿宋" w:eastAsia="仿宋"/>
          <w:b/>
          <w:bCs/>
          <w:sz w:val="28"/>
        </w:rPr>
      </w:pPr>
      <w:r>
        <w:rPr>
          <w:rFonts w:hint="eastAsia" w:ascii="仿宋" w:hAnsi="仿宋" w:eastAsia="仿宋" w:cs="仿宋"/>
          <w:b/>
          <w:kern w:val="0"/>
          <w:sz w:val="24"/>
          <w:szCs w:val="32"/>
        </w:rPr>
        <w:t>注：供应商自行打印该踏勘证明，完善信息并盖章。踏勘现场时带到现场由</w:t>
      </w:r>
      <w:r>
        <w:rPr>
          <w:rFonts w:hint="eastAsia" w:ascii="仿宋" w:hAnsi="仿宋" w:eastAsia="仿宋" w:cs="仿宋"/>
          <w:b/>
          <w:kern w:val="0"/>
          <w:sz w:val="24"/>
          <w:szCs w:val="32"/>
          <w:lang w:val="en-US" w:eastAsia="zh-CN"/>
        </w:rPr>
        <w:t>现场负责人</w:t>
      </w:r>
      <w:r>
        <w:rPr>
          <w:rFonts w:hint="eastAsia" w:ascii="仿宋" w:hAnsi="仿宋" w:eastAsia="仿宋" w:cs="仿宋"/>
          <w:b/>
          <w:kern w:val="0"/>
          <w:sz w:val="24"/>
          <w:szCs w:val="32"/>
        </w:rPr>
        <w:t>签字或盖章，原件胶装于响应文件正本中。</w:t>
      </w:r>
      <w:r>
        <w:rPr>
          <w:rFonts w:hint="eastAsia" w:ascii="仿宋" w:hAnsi="仿宋" w:eastAsia="仿宋"/>
          <w:b/>
          <w:bCs/>
          <w:sz w:val="28"/>
        </w:rPr>
        <w:br w:type="page"/>
      </w:r>
    </w:p>
    <w:p w14:paraId="6D541E5E">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1</w:t>
      </w:r>
      <w:bookmarkStart w:id="16" w:name="_Toc25811"/>
      <w:bookmarkStart w:id="17" w:name="_Toc212369550"/>
      <w:bookmarkStart w:id="18" w:name="_Toc353881012"/>
      <w:bookmarkStart w:id="19" w:name="_Toc639004"/>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投标函</w:t>
      </w:r>
      <w:bookmarkEnd w:id="16"/>
      <w:bookmarkEnd w:id="17"/>
      <w:bookmarkEnd w:id="18"/>
      <w:bookmarkEnd w:id="19"/>
    </w:p>
    <w:p w14:paraId="6E4810B3">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致：</w:t>
      </w:r>
      <w:r>
        <w:rPr>
          <w:rFonts w:hint="eastAsia" w:ascii="宋体" w:hAnsi="宋体" w:cs="Times New Roman"/>
          <w:color w:val="000000"/>
          <w:sz w:val="24"/>
          <w:szCs w:val="24"/>
          <w:lang w:eastAsia="zh-CN"/>
        </w:rPr>
        <w:t>中国重汽集团</w:t>
      </w:r>
      <w:r>
        <w:rPr>
          <w:rFonts w:hint="eastAsia" w:ascii="宋体" w:hAnsi="宋体" w:cs="Times New Roman"/>
          <w:color w:val="000000"/>
          <w:sz w:val="24"/>
          <w:szCs w:val="24"/>
          <w:lang w:val="en-US" w:eastAsia="zh-CN"/>
        </w:rPr>
        <w:t>济南动力有限公司</w:t>
      </w:r>
      <w:r>
        <w:rPr>
          <w:rFonts w:hint="eastAsia" w:ascii="宋体" w:hAnsi="宋体" w:eastAsia="宋体" w:cs="Times New Roman"/>
          <w:color w:val="000000"/>
          <w:sz w:val="24"/>
          <w:szCs w:val="24"/>
        </w:rPr>
        <w:t>：</w:t>
      </w:r>
    </w:p>
    <w:p w14:paraId="4295EF46">
      <w:pPr>
        <w:spacing w:line="360" w:lineRule="auto"/>
        <w:ind w:firstLine="480" w:firstLineChars="200"/>
        <w:rPr>
          <w:rFonts w:hint="eastAsia" w:ascii="宋体" w:hAnsi="宋体" w:eastAsia="宋体" w:cs="Times New Roman"/>
          <w:color w:val="000000"/>
          <w:sz w:val="24"/>
          <w:szCs w:val="24"/>
          <w:lang w:eastAsia="zh-CN"/>
        </w:rPr>
      </w:pPr>
      <w:r>
        <w:rPr>
          <w:rFonts w:hint="eastAsia" w:ascii="宋体" w:hAnsi="宋体" w:eastAsia="宋体" w:cs="Times New Roman"/>
          <w:color w:val="000000"/>
          <w:sz w:val="24"/>
          <w:szCs w:val="24"/>
        </w:rPr>
        <w:t>根据贵方</w:t>
      </w:r>
      <w:r>
        <w:rPr>
          <w:rFonts w:hint="eastAsia" w:ascii="宋体" w:hAnsi="宋体" w:cs="宋体"/>
          <w:b/>
          <w:bCs/>
          <w:sz w:val="24"/>
          <w:szCs w:val="24"/>
          <w:highlight w:val="none"/>
          <w:u w:val="single"/>
          <w:lang w:val="en-US" w:eastAsia="zh-CN"/>
        </w:rPr>
        <w:t xml:space="preserve">              </w:t>
      </w:r>
      <w:r>
        <w:rPr>
          <w:rFonts w:hint="eastAsia" w:ascii="宋体" w:hAnsi="宋体" w:eastAsia="宋体" w:cs="Times New Roman"/>
          <w:bCs/>
          <w:snapToGrid w:val="0"/>
          <w:color w:val="000000"/>
          <w:kern w:val="0"/>
          <w:sz w:val="24"/>
          <w:szCs w:val="24"/>
        </w:rPr>
        <w:t>招标公告</w:t>
      </w:r>
      <w:r>
        <w:rPr>
          <w:rFonts w:hint="eastAsia" w:ascii="宋体" w:hAnsi="宋体" w:eastAsia="宋体" w:cs="Times New Roman"/>
          <w:bCs/>
          <w:snapToGrid w:val="0"/>
          <w:color w:val="000000"/>
          <w:kern w:val="0"/>
          <w:sz w:val="24"/>
          <w:szCs w:val="24"/>
          <w:lang w:eastAsia="zh-CN"/>
        </w:rPr>
        <w:t>，</w:t>
      </w:r>
      <w:r>
        <w:rPr>
          <w:rFonts w:hint="eastAsia" w:ascii="宋体" w:hAnsi="宋体" w:cs="Times New Roman"/>
          <w:bCs/>
          <w:snapToGrid w:val="0"/>
          <w:color w:val="000000"/>
          <w:kern w:val="0"/>
          <w:sz w:val="24"/>
          <w:szCs w:val="24"/>
          <w:u w:val="single"/>
          <w:lang w:val="en-US" w:eastAsia="zh-CN"/>
        </w:rPr>
        <w:t xml:space="preserve">    </w:t>
      </w:r>
      <w:r>
        <w:rPr>
          <w:rFonts w:ascii="宋体" w:hAnsi="宋体" w:eastAsia="宋体" w:cs="Times New Roman"/>
          <w:b/>
          <w:color w:val="000000"/>
          <w:sz w:val="24"/>
          <w:szCs w:val="24"/>
          <w:u w:val="single"/>
        </w:rPr>
        <w:t xml:space="preserve">    </w:t>
      </w:r>
      <w:r>
        <w:rPr>
          <w:rFonts w:hint="eastAsia" w:ascii="宋体" w:hAnsi="宋体" w:eastAsia="宋体" w:cs="Times New Roman"/>
          <w:color w:val="000000"/>
          <w:sz w:val="24"/>
          <w:szCs w:val="24"/>
        </w:rPr>
        <w:t>投标公司，</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法人代表人为</w:t>
      </w:r>
      <w:r>
        <w:rPr>
          <w:rFonts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，正式授权</w:t>
      </w:r>
      <w:r>
        <w:rPr>
          <w:rFonts w:ascii="宋体" w:hAnsi="宋体" w:eastAsia="宋体" w:cs="Times New Roman"/>
          <w:color w:val="000000"/>
          <w:sz w:val="24"/>
          <w:szCs w:val="24"/>
          <w:u w:val="single"/>
        </w:rPr>
        <w:t xml:space="preserve">           </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提交投标文件：资质证明文件、商务文件和技术文件</w:t>
      </w:r>
      <w:r>
        <w:rPr>
          <w:rFonts w:hint="eastAsia" w:ascii="宋体" w:hAnsi="宋体" w:eastAsia="宋体" w:cs="Times New Roman"/>
          <w:color w:val="000000"/>
          <w:sz w:val="24"/>
          <w:szCs w:val="24"/>
          <w:lang w:eastAsia="zh-CN"/>
        </w:rPr>
        <w:t>。</w:t>
      </w:r>
    </w:p>
    <w:p w14:paraId="471EB929">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据此函，签字代表宣布同意如下：</w:t>
      </w:r>
    </w:p>
    <w:p w14:paraId="2DEF39A6">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1</w:t>
      </w:r>
      <w:r>
        <w:rPr>
          <w:rFonts w:hint="eastAsia" w:ascii="宋体" w:hAnsi="宋体" w:eastAsia="宋体" w:cs="Times New Roman"/>
          <w:color w:val="000000"/>
          <w:sz w:val="24"/>
          <w:szCs w:val="24"/>
        </w:rPr>
        <w:t>.投标人已详细审查全部“招标文件”，包括修改文件（如有的话）以及全部参考资料和有关附件，已经了解我方对于招标文件、采购过程、采购结果有依法进行询问、质疑、投诉的权利及相关渠道和要求。</w:t>
      </w:r>
    </w:p>
    <w:p w14:paraId="5D2EEC15">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2</w:t>
      </w:r>
      <w:r>
        <w:rPr>
          <w:rFonts w:hint="eastAsia" w:ascii="宋体" w:hAnsi="宋体" w:eastAsia="宋体" w:cs="Times New Roman"/>
          <w:color w:val="000000"/>
          <w:sz w:val="24"/>
          <w:szCs w:val="24"/>
        </w:rPr>
        <w:t>.投标人在投标之前已经与贵方进行了充分的沟通，完全理解并接受招标文件的各项规定和要求，对招标文件的合理性、合法性不再有异议。</w:t>
      </w:r>
    </w:p>
    <w:p w14:paraId="480640AA">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3</w:t>
      </w:r>
      <w:r>
        <w:rPr>
          <w:rFonts w:hint="eastAsia" w:ascii="宋体" w:hAnsi="宋体" w:eastAsia="宋体" w:cs="Times New Roman"/>
          <w:color w:val="000000"/>
          <w:sz w:val="24"/>
          <w:szCs w:val="24"/>
        </w:rPr>
        <w:t>.本投标有效期自开标日起</w:t>
      </w:r>
      <w:r>
        <w:rPr>
          <w:rFonts w:ascii="宋体" w:hAnsi="宋体" w:eastAsia="宋体" w:cs="Times New Roman"/>
          <w:bCs/>
          <w:color w:val="000000"/>
          <w:sz w:val="24"/>
          <w:szCs w:val="24"/>
          <w:u w:val="single"/>
        </w:rPr>
        <w:t xml:space="preserve"> 90</w:t>
      </w:r>
      <w:r>
        <w:rPr>
          <w:rFonts w:hint="eastAsia" w:ascii="宋体" w:hAnsi="宋体" w:eastAsia="宋体" w:cs="Times New Roman"/>
          <w:color w:val="000000"/>
          <w:sz w:val="24"/>
          <w:szCs w:val="24"/>
        </w:rPr>
        <w:t>个日历日。</w:t>
      </w:r>
    </w:p>
    <w:p w14:paraId="7046ACF2">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4</w:t>
      </w:r>
      <w:r>
        <w:rPr>
          <w:rFonts w:hint="eastAsia" w:ascii="宋体" w:hAnsi="宋体" w:eastAsia="宋体" w:cs="Times New Roman"/>
          <w:color w:val="000000"/>
          <w:sz w:val="24"/>
          <w:szCs w:val="24"/>
        </w:rPr>
        <w:t>.如中标，本投标文件至本项目合同履行完毕止均保持有效，本投标人将按“招标文件”及政府采购法律、法规的规定履行合同责任和义务。</w:t>
      </w:r>
    </w:p>
    <w:p w14:paraId="1761ED67">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5</w:t>
      </w:r>
      <w:r>
        <w:rPr>
          <w:rFonts w:hint="eastAsia" w:ascii="宋体" w:hAnsi="宋体" w:eastAsia="宋体" w:cs="Times New Roman"/>
          <w:color w:val="000000"/>
          <w:sz w:val="24"/>
          <w:szCs w:val="24"/>
        </w:rPr>
        <w:t>.投标人同意按照贵方要求提供与投标有关的一切数据或资料。</w:t>
      </w:r>
    </w:p>
    <w:p w14:paraId="29630F84">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6</w:t>
      </w:r>
      <w:r>
        <w:rPr>
          <w:rFonts w:hint="eastAsia" w:ascii="宋体" w:hAnsi="宋体" w:eastAsia="宋体" w:cs="Times New Roman"/>
          <w:color w:val="000000"/>
          <w:sz w:val="24"/>
          <w:szCs w:val="24"/>
        </w:rPr>
        <w:t>.与本投标有关的一切正式往来信函请寄：</w:t>
      </w:r>
    </w:p>
    <w:p w14:paraId="7F4C4982">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地址：</w:t>
      </w:r>
      <w:r>
        <w:rPr>
          <w:rFonts w:ascii="宋体" w:hAnsi="宋体" w:eastAsia="宋体" w:cs="Times New Roman"/>
          <w:color w:val="000000"/>
          <w:sz w:val="24"/>
          <w:szCs w:val="24"/>
        </w:rPr>
        <w:t xml:space="preserve">                             </w:t>
      </w:r>
    </w:p>
    <w:p w14:paraId="35031A40">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邮编：</w:t>
      </w:r>
      <w:r>
        <w:rPr>
          <w:rFonts w:ascii="宋体" w:hAnsi="宋体" w:eastAsia="宋体" w:cs="Times New Roman"/>
          <w:color w:val="000000"/>
          <w:sz w:val="24"/>
          <w:szCs w:val="24"/>
        </w:rPr>
        <w:t xml:space="preserve">        </w:t>
      </w:r>
    </w:p>
    <w:p w14:paraId="0496EBF2">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电话：</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传真：</w:t>
      </w:r>
      <w:r>
        <w:rPr>
          <w:rFonts w:ascii="宋体" w:hAnsi="宋体" w:eastAsia="宋体" w:cs="Times New Roman"/>
          <w:color w:val="000000"/>
          <w:sz w:val="24"/>
          <w:szCs w:val="24"/>
        </w:rPr>
        <w:t xml:space="preserve">                   </w:t>
      </w:r>
    </w:p>
    <w:p w14:paraId="339A2CFF">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投标人代表姓名：</w:t>
      </w:r>
      <w:r>
        <w:rPr>
          <w:rFonts w:hint="eastAsia"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职务：</w:t>
      </w:r>
      <w:r>
        <w:rPr>
          <w:rFonts w:ascii="宋体" w:hAnsi="宋体" w:eastAsia="宋体" w:cs="Times New Roman"/>
          <w:color w:val="000000"/>
          <w:sz w:val="24"/>
          <w:szCs w:val="24"/>
        </w:rPr>
        <w:t xml:space="preserve">          </w:t>
      </w:r>
    </w:p>
    <w:p w14:paraId="5E3B7A8B">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开户银行：</w:t>
      </w:r>
      <w:r>
        <w:rPr>
          <w:rFonts w:ascii="宋体" w:hAnsi="宋体" w:eastAsia="宋体" w:cs="Times New Roman"/>
          <w:color w:val="000000"/>
          <w:sz w:val="24"/>
          <w:szCs w:val="24"/>
        </w:rPr>
        <w:t xml:space="preserve">                   </w:t>
      </w:r>
    </w:p>
    <w:p w14:paraId="43CDA597">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银行帐号：</w:t>
      </w:r>
      <w:r>
        <w:rPr>
          <w:rFonts w:ascii="宋体" w:hAnsi="宋体" w:eastAsia="宋体" w:cs="Times New Roman"/>
          <w:color w:val="000000"/>
          <w:sz w:val="24"/>
          <w:szCs w:val="24"/>
        </w:rPr>
        <w:t xml:space="preserve">                   </w:t>
      </w:r>
    </w:p>
    <w:p w14:paraId="5B9FF454">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hint="eastAsia" w:ascii="宋体" w:hAnsi="宋体" w:eastAsia="宋体" w:cs="Times New Roman"/>
          <w:bCs/>
          <w:color w:val="000000"/>
          <w:sz w:val="24"/>
          <w:szCs w:val="24"/>
        </w:rPr>
        <w:t>盖章）</w:t>
      </w:r>
      <w:r>
        <w:rPr>
          <w:rFonts w:ascii="宋体" w:hAnsi="宋体" w:eastAsia="宋体" w:cs="Times New Roman"/>
          <w:color w:val="000000"/>
          <w:sz w:val="24"/>
          <w:szCs w:val="24"/>
        </w:rPr>
        <w:t xml:space="preserve">: </w:t>
      </w:r>
    </w:p>
    <w:p w14:paraId="685795E4">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授权代表签字</w:t>
      </w:r>
      <w:r>
        <w:rPr>
          <w:rFonts w:hint="eastAsia" w:ascii="宋体" w:hAnsi="宋体" w:eastAsia="宋体" w:cs="Times New Roman"/>
          <w:bCs/>
          <w:color w:val="000000"/>
          <w:sz w:val="24"/>
          <w:szCs w:val="24"/>
        </w:rPr>
        <w:t>：</w:t>
      </w:r>
    </w:p>
    <w:p w14:paraId="23B96321">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682FE251">
      <w:pPr>
        <w:rPr>
          <w:rFonts w:ascii="黑体" w:hAnsi="Calibri" w:eastAsia="黑体" w:cs="Times New Roman"/>
          <w:color w:val="000000"/>
          <w:sz w:val="24"/>
          <w:szCs w:val="24"/>
        </w:rPr>
      </w:pPr>
    </w:p>
    <w:p w14:paraId="60DC9CD8">
      <w:pPr>
        <w:pStyle w:val="26"/>
        <w:rPr>
          <w:rFonts w:ascii="黑体" w:hAnsi="Calibri" w:eastAsia="黑体" w:cs="Times New Roman"/>
          <w:color w:val="000000"/>
          <w:sz w:val="24"/>
          <w:szCs w:val="24"/>
        </w:rPr>
      </w:pPr>
    </w:p>
    <w:p w14:paraId="53745646">
      <w:pPr>
        <w:pStyle w:val="26"/>
        <w:rPr>
          <w:rFonts w:ascii="黑体" w:hAnsi="Calibri" w:eastAsia="黑体" w:cs="Times New Roman"/>
          <w:color w:val="000000"/>
          <w:sz w:val="24"/>
          <w:szCs w:val="24"/>
        </w:rPr>
      </w:pPr>
    </w:p>
    <w:p w14:paraId="3C4E83D1">
      <w:pPr>
        <w:pStyle w:val="26"/>
        <w:rPr>
          <w:rFonts w:ascii="黑体" w:hAnsi="Calibri" w:eastAsia="黑体" w:cs="Times New Roman"/>
          <w:color w:val="000000"/>
          <w:sz w:val="24"/>
          <w:szCs w:val="24"/>
        </w:rPr>
      </w:pPr>
    </w:p>
    <w:p w14:paraId="0BCB4B12">
      <w:pPr>
        <w:pStyle w:val="26"/>
        <w:rPr>
          <w:rFonts w:ascii="黑体" w:hAnsi="Calibri" w:eastAsia="黑体" w:cs="Times New Roman"/>
          <w:color w:val="000000"/>
          <w:sz w:val="24"/>
          <w:szCs w:val="24"/>
        </w:rPr>
      </w:pPr>
    </w:p>
    <w:p w14:paraId="1843BF4B">
      <w:pPr>
        <w:rPr>
          <w:rFonts w:ascii="黑体" w:hAnsi="Calibri" w:eastAsia="黑体" w:cs="Times New Roman"/>
          <w:color w:val="000000"/>
          <w:sz w:val="24"/>
          <w:szCs w:val="24"/>
        </w:rPr>
      </w:pPr>
    </w:p>
    <w:p w14:paraId="782724EA">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 xml:space="preserve">2 </w:t>
      </w:r>
      <w:r>
        <w:rPr>
          <w:rFonts w:hint="eastAsia" w:ascii="Times New Roman" w:hAnsi="Times New Roman" w:eastAsia="宋体" w:cs="Times New Roman"/>
          <w:b/>
          <w:bCs/>
          <w:color w:val="000000"/>
          <w:sz w:val="24"/>
          <w:szCs w:val="24"/>
        </w:rPr>
        <w:t>法定代表人授权委托书</w:t>
      </w:r>
    </w:p>
    <w:p w14:paraId="0A57B117">
      <w:pPr>
        <w:adjustRightInd w:val="0"/>
        <w:snapToGrid w:val="0"/>
        <w:spacing w:before="93" w:beforeLines="30" w:line="240" w:lineRule="exact"/>
        <w:jc w:val="center"/>
        <w:rPr>
          <w:rFonts w:ascii="宋体" w:hAnsi="Calibri" w:eastAsia="宋体" w:cs="Times New Roman"/>
          <w:sz w:val="24"/>
          <w:szCs w:val="20"/>
        </w:rPr>
      </w:pPr>
    </w:p>
    <w:p w14:paraId="430A164D">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本授权委托书声明：我＿＿＿＿＿＿＿（姓名）系＿＿＿＿＿＿＿＿＿＿＿＿＿＿＿＿＿＿＿＿＿＿＿＿＿＿＿＿（投标人全称）的法定代表人，就</w:t>
      </w:r>
      <w:r>
        <w:rPr>
          <w:rFonts w:hint="eastAsia" w:ascii="宋体" w:hAnsi="宋体" w:cs="宋体"/>
          <w:b/>
          <w:bCs/>
          <w:sz w:val="24"/>
          <w:szCs w:val="24"/>
          <w:highlight w:val="none"/>
          <w:u w:val="single"/>
          <w:lang w:val="en-US" w:eastAsia="zh-CN"/>
        </w:rPr>
        <w:t>科技园区加装逃生缓降索项目</w:t>
      </w:r>
      <w:r>
        <w:rPr>
          <w:rFonts w:hint="eastAsia" w:ascii="宋体" w:hAnsi="宋体" w:eastAsia="宋体" w:cs="Times New Roman"/>
          <w:color w:val="000000"/>
          <w:sz w:val="24"/>
          <w:szCs w:val="24"/>
        </w:rPr>
        <w:t>现授权委托＿＿＿＿＿＿＿＿＿＿＿＿＿＿＿＿＿＿＿＿＿＿＿＿＿＿＿＿（单位名称）的＿＿＿＿＿＿＿＿（姓名、职务）为我公司全权代表，全权代表在投标文件、评标过程中的书面承诺、合同等所签署的一切文件和处理与之有关的一切事务，我均予以承认。</w:t>
      </w:r>
    </w:p>
    <w:p w14:paraId="24430C2C">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全权代表无转委权。特此委托。</w:t>
      </w:r>
    </w:p>
    <w:tbl>
      <w:tblPr>
        <w:tblStyle w:val="49"/>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4D6BEDA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14:paraId="57E4DF96">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附法人身份证明复印件（</w:t>
            </w:r>
            <w:r>
              <w:rPr>
                <w:rFonts w:hint="eastAsia" w:ascii="宋体" w:hAnsi="宋体" w:eastAsia="宋体" w:cs="Times New Roman"/>
                <w:color w:val="000000"/>
                <w:sz w:val="24"/>
                <w:szCs w:val="20"/>
              </w:rPr>
              <w:t>正反面）</w:t>
            </w:r>
          </w:p>
          <w:p w14:paraId="23DC1A65">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附授权代理人身份证明复印件（正反面）</w:t>
            </w:r>
          </w:p>
        </w:tc>
      </w:tr>
    </w:tbl>
    <w:p w14:paraId="5B7E48C0">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全权代表姓名：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性别：</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年龄：</w:t>
      </w:r>
    </w:p>
    <w:p w14:paraId="114C0849">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单位：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部门：</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职务：</w:t>
      </w:r>
    </w:p>
    <w:p w14:paraId="72159C3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法定代表人签字或盖章</w:t>
      </w:r>
      <w:r>
        <w:rPr>
          <w:rFonts w:ascii="宋体" w:hAnsi="宋体" w:eastAsia="宋体" w:cs="Times New Roman"/>
          <w:color w:val="000000"/>
          <w:sz w:val="24"/>
          <w:szCs w:val="24"/>
        </w:rPr>
        <w:t xml:space="preserve">                          </w:t>
      </w:r>
    </w:p>
    <w:p w14:paraId="67C91A2D">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被授权人签字</w:t>
      </w:r>
      <w:r>
        <w:rPr>
          <w:rFonts w:ascii="宋体" w:hAnsi="宋体" w:eastAsia="宋体" w:cs="Times New Roman"/>
          <w:color w:val="000000"/>
          <w:sz w:val="24"/>
          <w:szCs w:val="24"/>
        </w:rPr>
        <w:t xml:space="preserve">  </w:t>
      </w:r>
    </w:p>
    <w:p w14:paraId="62450F1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被授权人电话：</w:t>
      </w:r>
      <w:r>
        <w:rPr>
          <w:rFonts w:ascii="宋体" w:hAnsi="宋体" w:eastAsia="宋体" w:cs="Times New Roman"/>
          <w:color w:val="000000"/>
          <w:sz w:val="24"/>
          <w:szCs w:val="24"/>
        </w:rPr>
        <w:t xml:space="preserve">                          </w:t>
      </w:r>
    </w:p>
    <w:p w14:paraId="35E602C3">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投标人名称（公章）</w:t>
      </w:r>
      <w:r>
        <w:rPr>
          <w:rFonts w:ascii="宋体" w:hAnsi="宋体" w:eastAsia="宋体" w:cs="Times New Roman"/>
          <w:color w:val="000000"/>
          <w:sz w:val="24"/>
          <w:szCs w:val="24"/>
        </w:rPr>
        <w:t xml:space="preserve">                       </w:t>
      </w:r>
    </w:p>
    <w:p w14:paraId="365BA077">
      <w:pPr>
        <w:spacing w:line="460" w:lineRule="exact"/>
        <w:ind w:firstLine="5520" w:firstLineChars="2300"/>
        <w:rPr>
          <w:rFonts w:ascii="宋体" w:hAnsi="Calibri"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436DB774">
      <w:pPr>
        <w:rPr>
          <w:rFonts w:ascii="Calibri" w:hAnsi="Calibri" w:eastAsia="黑体" w:cs="Times New Roman"/>
          <w:b/>
          <w:bCs/>
          <w:color w:val="000000"/>
          <w:sz w:val="28"/>
          <w:szCs w:val="20"/>
        </w:rPr>
      </w:pPr>
    </w:p>
    <w:p w14:paraId="20804FF3">
      <w:pPr>
        <w:pStyle w:val="26"/>
        <w:rPr>
          <w:rFonts w:ascii="Calibri" w:hAnsi="Calibri" w:eastAsia="黑体" w:cs="Times New Roman"/>
          <w:b/>
          <w:bCs/>
          <w:color w:val="000000"/>
          <w:sz w:val="28"/>
          <w:szCs w:val="20"/>
        </w:rPr>
        <w:sectPr>
          <w:footerReference r:id="rId5" w:type="first"/>
          <w:headerReference r:id="rId3" w:type="default"/>
          <w:footerReference r:id="rId4" w:type="default"/>
          <w:pgSz w:w="11906" w:h="16838"/>
          <w:pgMar w:top="1588" w:right="1418" w:bottom="1134" w:left="1418" w:header="851" w:footer="992" w:gutter="0"/>
          <w:cols w:space="720" w:num="1"/>
          <w:titlePg/>
          <w:docGrid w:type="lines" w:linePitch="312" w:charSpace="0"/>
        </w:sectPr>
      </w:pPr>
    </w:p>
    <w:p w14:paraId="14197805">
      <w:pPr>
        <w:keepNext/>
        <w:keepLines/>
        <w:outlineLvl w:val="2"/>
        <w:rPr>
          <w:rFonts w:hint="eastAsia" w:ascii="宋体" w:hAnsi="宋体" w:eastAsia="宋体" w:cs="宋体"/>
          <w:b w:val="0"/>
          <w:bCs w:val="0"/>
          <w:spacing w:val="-9"/>
          <w:sz w:val="24"/>
          <w:szCs w:val="24"/>
          <w14:textOutline w14:w="4356" w14:cap="flat" w14:cmpd="sng">
            <w14:solidFill>
              <w14:srgbClr w14:val="000000"/>
            </w14:solidFill>
            <w14:prstDash w14:val="solid"/>
            <w14:miter w14:val="0"/>
          </w14:textOutline>
        </w:rPr>
      </w:pPr>
      <w:r>
        <w:rPr>
          <w:rFonts w:hint="eastAsia" w:ascii="宋体" w:hAnsi="宋体" w:eastAsia="宋体" w:cs="宋体"/>
          <w:b w:val="0"/>
          <w:bCs w:val="0"/>
          <w:spacing w:val="-17"/>
          <w:sz w:val="24"/>
          <w:szCs w:val="24"/>
          <w14:textOutline w14:w="4356" w14:cap="sq" w14:cmpd="sng">
            <w14:solidFill>
              <w14:srgbClr w14:val="000000"/>
            </w14:solidFill>
            <w14:prstDash w14:val="solid"/>
            <w14:bevel/>
          </w14:textOutline>
        </w:rPr>
        <w:t>附</w:t>
      </w:r>
      <w:r>
        <w:rPr>
          <w:rFonts w:hint="eastAsia" w:ascii="宋体" w:hAnsi="宋体" w:eastAsia="宋体" w:cs="宋体"/>
          <w:b w:val="0"/>
          <w:bCs w:val="0"/>
          <w:spacing w:val="-14"/>
          <w:sz w:val="24"/>
          <w:szCs w:val="24"/>
          <w14:textOutline w14:w="4356" w14:cap="sq" w14:cmpd="sng">
            <w14:solidFill>
              <w14:srgbClr w14:val="000000"/>
            </w14:solidFill>
            <w14:prstDash w14:val="solid"/>
            <w14:bevel/>
          </w14:textOutline>
        </w:rPr>
        <w:t>件</w:t>
      </w:r>
      <w:r>
        <w:rPr>
          <w:rFonts w:hint="eastAsia" w:ascii="宋体" w:hAnsi="宋体" w:eastAsia="宋体" w:cs="宋体"/>
          <w:b w:val="0"/>
          <w:bCs w:val="0"/>
          <w:spacing w:val="-17"/>
          <w:sz w:val="24"/>
          <w:szCs w:val="24"/>
          <w14:textOutline w14:w="4356" w14:cap="sq" w14:cmpd="sng">
            <w14:solidFill>
              <w14:srgbClr w14:val="000000"/>
            </w14:solidFill>
            <w14:prstDash w14:val="solid"/>
            <w14:bevel/>
          </w14:textOutline>
        </w:rPr>
        <w:t xml:space="preserve">3 </w:t>
      </w:r>
      <w:r>
        <w:rPr>
          <w:rFonts w:hint="eastAsia" w:ascii="宋体" w:hAnsi="宋体" w:eastAsia="宋体" w:cs="宋体"/>
          <w:b w:val="0"/>
          <w:bCs w:val="0"/>
          <w:spacing w:val="15"/>
          <w:position w:val="3"/>
          <w:sz w:val="24"/>
          <w:szCs w:val="24"/>
          <w14:textOutline w14:w="4356" w14:cap="sq" w14:cmpd="sng">
            <w14:solidFill>
              <w14:srgbClr w14:val="000000"/>
            </w14:solidFill>
            <w14:prstDash w14:val="solid"/>
            <w14:bevel/>
          </w14:textOutline>
        </w:rPr>
        <w:t>投</w:t>
      </w:r>
      <w:r>
        <w:rPr>
          <w:rFonts w:hint="eastAsia" w:ascii="宋体" w:hAnsi="宋体" w:eastAsia="宋体" w:cs="宋体"/>
          <w:b w:val="0"/>
          <w:bCs w:val="0"/>
          <w:spacing w:val="8"/>
          <w:position w:val="3"/>
          <w:sz w:val="24"/>
          <w:szCs w:val="24"/>
          <w14:textOutline w14:w="4356" w14:cap="sq" w14:cmpd="sng">
            <w14:solidFill>
              <w14:srgbClr w14:val="000000"/>
            </w14:solidFill>
            <w14:prstDash w14:val="solid"/>
            <w14:bevel/>
          </w14:textOutline>
        </w:rPr>
        <w:t>标人基本情况及</w:t>
      </w:r>
      <w:r>
        <w:rPr>
          <w:rFonts w:hint="eastAsia" w:ascii="宋体" w:hAnsi="宋体" w:eastAsia="宋体" w:cs="宋体"/>
          <w:b w:val="0"/>
          <w:bCs w:val="0"/>
          <w:spacing w:val="8"/>
          <w:sz w:val="24"/>
          <w:szCs w:val="24"/>
          <w14:textOutline w14:w="4356" w14:cap="sq" w14:cmpd="sng">
            <w14:solidFill>
              <w14:srgbClr w14:val="000000"/>
            </w14:solidFill>
            <w14:prstDash w14:val="solid"/>
            <w14:bevel/>
          </w14:textOutline>
        </w:rPr>
        <w:t>资产情况汇总</w:t>
      </w:r>
      <w:r>
        <w:rPr>
          <w:rFonts w:hint="eastAsia" w:ascii="宋体" w:hAnsi="宋体" w:eastAsia="宋体" w:cs="宋体"/>
          <w:b w:val="0"/>
          <w:bCs w:val="0"/>
          <w:spacing w:val="7"/>
          <w:sz w:val="24"/>
          <w:szCs w:val="24"/>
          <w14:textOutline w14:w="4356" w14:cap="sq" w14:cmpd="sng">
            <w14:solidFill>
              <w14:srgbClr w14:val="000000"/>
            </w14:solidFill>
            <w14:prstDash w14:val="solid"/>
            <w14:bevel/>
          </w14:textOutline>
        </w:rPr>
        <w:t>表</w:t>
      </w:r>
    </w:p>
    <w:p w14:paraId="0144CA54">
      <w:pPr>
        <w:keepNext/>
        <w:keepLines/>
        <w:outlineLvl w:val="3"/>
        <w:rPr>
          <w:rFonts w:ascii="Times New Roman" w:hAnsi="Times New Roman" w:eastAsia="宋体" w:cs="Times New Roman"/>
          <w:b/>
          <w:bCs/>
          <w:color w:val="000000"/>
          <w:sz w:val="24"/>
          <w:szCs w:val="24"/>
        </w:rPr>
      </w:pPr>
      <w:r>
        <w:rPr>
          <w:rFonts w:ascii="宋体" w:hAnsi="宋体" w:eastAsia="宋体" w:cs="宋体"/>
          <w:spacing w:val="-9"/>
          <w:sz w:val="24"/>
          <w:szCs w:val="24"/>
          <w14:textOutline w14:w="4356" w14:cap="flat" w14:cmpd="sng">
            <w14:solidFill>
              <w14:srgbClr w14:val="000000"/>
            </w14:solidFill>
            <w14:prstDash w14:val="solid"/>
            <w14:miter w14:val="0"/>
          </w14:textOutline>
        </w:rPr>
        <w:t>表</w:t>
      </w:r>
      <w:r>
        <w:rPr>
          <w:rFonts w:ascii="宋体" w:hAnsi="宋体" w:eastAsia="宋体" w:cs="宋体"/>
          <w:spacing w:val="-7"/>
          <w:sz w:val="24"/>
          <w:szCs w:val="24"/>
        </w:rPr>
        <w:t xml:space="preserve"> </w:t>
      </w:r>
      <w:r>
        <w:rPr>
          <w:rFonts w:ascii="宋体" w:hAnsi="宋体" w:eastAsia="宋体" w:cs="宋体"/>
          <w:spacing w:val="-7"/>
          <w:sz w:val="24"/>
          <w:szCs w:val="24"/>
          <w14:textOutline w14:w="4356" w14:cap="flat" w14:cmpd="sng">
            <w14:solidFill>
              <w14:srgbClr w14:val="000000"/>
            </w14:solidFill>
            <w14:prstDash w14:val="solid"/>
            <w14:miter w14:val="0"/>
          </w14:textOutline>
        </w:rPr>
        <w:t>1</w:t>
      </w:r>
      <w:r>
        <w:rPr>
          <w:rFonts w:hint="eastAsia" w:ascii="宋体" w:hAnsi="宋体" w:eastAsia="宋体" w:cs="宋体"/>
          <w:spacing w:val="-7"/>
          <w:sz w:val="24"/>
          <w:szCs w:val="24"/>
          <w14:textOutline w14:w="4356" w14:cap="flat" w14:cmpd="sng">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投标人基本情况表</w:t>
      </w:r>
    </w:p>
    <w:tbl>
      <w:tblPr>
        <w:tblStyle w:val="232"/>
        <w:tblpPr w:leftFromText="180" w:rightFromText="180" w:vertAnchor="text" w:horzAnchor="page" w:tblpX="1053" w:tblpY="310"/>
        <w:tblOverlap w:val="never"/>
        <w:tblW w:w="945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56"/>
        <w:gridCol w:w="990"/>
        <w:gridCol w:w="1530"/>
        <w:gridCol w:w="1063"/>
        <w:gridCol w:w="1097"/>
        <w:gridCol w:w="1310"/>
        <w:gridCol w:w="1510"/>
      </w:tblGrid>
      <w:tr w14:paraId="4DE003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1956" w:type="dxa"/>
          </w:tcPr>
          <w:p w14:paraId="467A997E">
            <w:pPr>
              <w:pStyle w:val="231"/>
              <w:spacing w:before="114"/>
              <w:ind w:left="720"/>
            </w:pPr>
            <w:r>
              <w:t xml:space="preserve">企业名称 </w:t>
            </w:r>
          </w:p>
        </w:tc>
        <w:tc>
          <w:tcPr>
            <w:tcW w:w="4680" w:type="dxa"/>
            <w:gridSpan w:val="4"/>
            <w:vAlign w:val="center"/>
          </w:tcPr>
          <w:p w14:paraId="095B8201">
            <w:pPr>
              <w:widowControl/>
              <w:jc w:val="center"/>
              <w:textAlignment w:val="center"/>
              <w:rPr>
                <w:rFonts w:ascii="宋体" w:hAnsi="宋体" w:eastAsia="宋体" w:cs="宋体"/>
                <w:color w:val="000000"/>
              </w:rPr>
            </w:pPr>
          </w:p>
        </w:tc>
        <w:tc>
          <w:tcPr>
            <w:tcW w:w="1310" w:type="dxa"/>
          </w:tcPr>
          <w:p w14:paraId="57DCA48F">
            <w:pPr>
              <w:pStyle w:val="231"/>
              <w:spacing w:before="106"/>
              <w:ind w:left="154" w:right="26"/>
              <w:jc w:val="center"/>
              <w:rPr>
                <w:color w:val="000000"/>
              </w:rPr>
            </w:pPr>
            <w:r>
              <w:rPr>
                <w:color w:val="000000"/>
              </w:rPr>
              <w:t xml:space="preserve">联系人 </w:t>
            </w:r>
          </w:p>
        </w:tc>
        <w:tc>
          <w:tcPr>
            <w:tcW w:w="1510" w:type="dxa"/>
            <w:vAlign w:val="center"/>
          </w:tcPr>
          <w:p w14:paraId="4819903C">
            <w:pPr>
              <w:widowControl/>
              <w:jc w:val="center"/>
              <w:textAlignment w:val="center"/>
              <w:rPr>
                <w:rFonts w:ascii="宋体" w:hAnsi="宋体" w:eastAsia="宋体" w:cs="宋体"/>
                <w:color w:val="000000"/>
                <w:szCs w:val="21"/>
              </w:rPr>
            </w:pPr>
          </w:p>
        </w:tc>
      </w:tr>
      <w:tr w14:paraId="54F0B9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2" w:hRule="atLeast"/>
        </w:trPr>
        <w:tc>
          <w:tcPr>
            <w:tcW w:w="1956" w:type="dxa"/>
          </w:tcPr>
          <w:p w14:paraId="1A13248D">
            <w:pPr>
              <w:pStyle w:val="231"/>
              <w:spacing w:before="114"/>
              <w:ind w:left="720"/>
            </w:pPr>
            <w:r>
              <w:t xml:space="preserve">企业地址 </w:t>
            </w:r>
          </w:p>
        </w:tc>
        <w:tc>
          <w:tcPr>
            <w:tcW w:w="4680" w:type="dxa"/>
            <w:gridSpan w:val="4"/>
            <w:vAlign w:val="center"/>
          </w:tcPr>
          <w:p w14:paraId="4009A84D">
            <w:pPr>
              <w:widowControl/>
              <w:jc w:val="center"/>
              <w:textAlignment w:val="center"/>
              <w:rPr>
                <w:rFonts w:ascii="宋体" w:hAnsi="宋体" w:eastAsia="宋体" w:cs="宋体"/>
                <w:color w:val="000000"/>
              </w:rPr>
            </w:pPr>
          </w:p>
        </w:tc>
        <w:tc>
          <w:tcPr>
            <w:tcW w:w="1310" w:type="dxa"/>
          </w:tcPr>
          <w:p w14:paraId="0BA48AC5">
            <w:pPr>
              <w:pStyle w:val="231"/>
              <w:spacing w:before="106"/>
              <w:ind w:left="154" w:right="26"/>
              <w:jc w:val="center"/>
              <w:rPr>
                <w:color w:val="000000"/>
              </w:rPr>
            </w:pPr>
            <w:r>
              <w:rPr>
                <w:color w:val="000000"/>
              </w:rPr>
              <w:t xml:space="preserve">联系人电话 </w:t>
            </w:r>
          </w:p>
        </w:tc>
        <w:tc>
          <w:tcPr>
            <w:tcW w:w="1510" w:type="dxa"/>
            <w:vAlign w:val="center"/>
          </w:tcPr>
          <w:p w14:paraId="7E3EEDA2">
            <w:pPr>
              <w:widowControl/>
              <w:jc w:val="center"/>
              <w:textAlignment w:val="center"/>
              <w:rPr>
                <w:rFonts w:ascii="宋体" w:hAnsi="宋体" w:eastAsia="宋体" w:cs="宋体"/>
                <w:color w:val="000000"/>
                <w:szCs w:val="21"/>
              </w:rPr>
            </w:pPr>
          </w:p>
        </w:tc>
      </w:tr>
      <w:tr w14:paraId="16B4E5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trPr>
        <w:tc>
          <w:tcPr>
            <w:tcW w:w="1956" w:type="dxa"/>
          </w:tcPr>
          <w:p w14:paraId="4551FB39">
            <w:pPr>
              <w:pStyle w:val="231"/>
              <w:spacing w:before="111"/>
              <w:ind w:left="720"/>
            </w:pPr>
            <w:r>
              <w:t xml:space="preserve">企业性质 </w:t>
            </w:r>
          </w:p>
        </w:tc>
        <w:tc>
          <w:tcPr>
            <w:tcW w:w="4680" w:type="dxa"/>
            <w:gridSpan w:val="4"/>
            <w:vAlign w:val="center"/>
          </w:tcPr>
          <w:p w14:paraId="5B648FE9">
            <w:pPr>
              <w:widowControl/>
              <w:jc w:val="center"/>
              <w:textAlignment w:val="center"/>
              <w:rPr>
                <w:rFonts w:ascii="宋体" w:hAnsi="宋体" w:eastAsia="宋体" w:cs="宋体"/>
                <w:color w:val="000000"/>
              </w:rPr>
            </w:pPr>
          </w:p>
        </w:tc>
        <w:tc>
          <w:tcPr>
            <w:tcW w:w="1310" w:type="dxa"/>
          </w:tcPr>
          <w:p w14:paraId="022012E2">
            <w:pPr>
              <w:pStyle w:val="231"/>
              <w:spacing w:before="103"/>
              <w:ind w:left="154" w:right="26"/>
              <w:jc w:val="center"/>
              <w:rPr>
                <w:color w:val="000000"/>
              </w:rPr>
            </w:pPr>
            <w:r>
              <w:rPr>
                <w:rFonts w:hint="eastAsia"/>
                <w:color w:val="000000"/>
              </w:rPr>
              <w:t>注册时间</w:t>
            </w:r>
            <w:r>
              <w:rPr>
                <w:color w:val="000000"/>
              </w:rPr>
              <w:t xml:space="preserve"> </w:t>
            </w:r>
          </w:p>
        </w:tc>
        <w:tc>
          <w:tcPr>
            <w:tcW w:w="1510" w:type="dxa"/>
            <w:vAlign w:val="center"/>
          </w:tcPr>
          <w:p w14:paraId="3FA7830C">
            <w:pPr>
              <w:widowControl/>
              <w:jc w:val="center"/>
              <w:textAlignment w:val="center"/>
              <w:rPr>
                <w:rFonts w:ascii="宋体" w:hAnsi="宋体" w:eastAsia="宋体" w:cs="宋体"/>
                <w:color w:val="000000"/>
                <w:szCs w:val="21"/>
              </w:rPr>
            </w:pPr>
          </w:p>
        </w:tc>
      </w:tr>
      <w:tr w14:paraId="7E91A3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 w:hRule="atLeast"/>
        </w:trPr>
        <w:tc>
          <w:tcPr>
            <w:tcW w:w="1956" w:type="dxa"/>
          </w:tcPr>
          <w:p w14:paraId="17C1A7A9">
            <w:pPr>
              <w:pStyle w:val="231"/>
              <w:spacing w:before="111"/>
              <w:ind w:left="509"/>
              <w:rPr>
                <w:highlight w:val="yellow"/>
              </w:rPr>
            </w:pPr>
            <w:r>
              <w:t xml:space="preserve">企业法人代表  </w:t>
            </w:r>
          </w:p>
        </w:tc>
        <w:tc>
          <w:tcPr>
            <w:tcW w:w="4680" w:type="dxa"/>
            <w:gridSpan w:val="4"/>
          </w:tcPr>
          <w:p w14:paraId="4B5F8599">
            <w:pPr>
              <w:pStyle w:val="6"/>
              <w:keepNext w:val="0"/>
              <w:keepLines w:val="0"/>
              <w:widowControl/>
              <w:shd w:val="clear" w:color="auto" w:fill="FFFFFF"/>
              <w:spacing w:before="0" w:after="0" w:line="450" w:lineRule="atLeast"/>
              <w:rPr>
                <w:rFonts w:ascii="宋体" w:hAnsi="宋体" w:cs="宋体"/>
                <w:color w:val="000000"/>
              </w:rPr>
            </w:pPr>
          </w:p>
        </w:tc>
        <w:tc>
          <w:tcPr>
            <w:tcW w:w="1310" w:type="dxa"/>
          </w:tcPr>
          <w:p w14:paraId="6D04B196">
            <w:pPr>
              <w:pStyle w:val="231"/>
              <w:spacing w:before="103"/>
              <w:ind w:right="26"/>
              <w:jc w:val="center"/>
              <w:rPr>
                <w:color w:val="000000"/>
              </w:rPr>
            </w:pPr>
            <w:r>
              <w:rPr>
                <w:color w:val="000000"/>
              </w:rPr>
              <w:t>企业资质</w:t>
            </w:r>
          </w:p>
        </w:tc>
        <w:tc>
          <w:tcPr>
            <w:tcW w:w="1510" w:type="dxa"/>
            <w:vAlign w:val="center"/>
          </w:tcPr>
          <w:p w14:paraId="475B8BC0">
            <w:pPr>
              <w:widowControl/>
              <w:jc w:val="center"/>
              <w:textAlignment w:val="center"/>
              <w:rPr>
                <w:rFonts w:ascii="宋体" w:hAnsi="宋体" w:eastAsia="宋体" w:cs="宋体"/>
                <w:color w:val="000000"/>
                <w:szCs w:val="21"/>
              </w:rPr>
            </w:pPr>
          </w:p>
        </w:tc>
      </w:tr>
      <w:tr w14:paraId="55A7F6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3619303D">
            <w:pPr>
              <w:pStyle w:val="231"/>
              <w:spacing w:before="114"/>
              <w:ind w:left="720"/>
            </w:pPr>
            <w:r>
              <w:t xml:space="preserve">品牌区分 </w:t>
            </w:r>
          </w:p>
        </w:tc>
        <w:tc>
          <w:tcPr>
            <w:tcW w:w="7500" w:type="dxa"/>
            <w:gridSpan w:val="6"/>
          </w:tcPr>
          <w:p w14:paraId="3BAE0FF2">
            <w:pPr>
              <w:pStyle w:val="231"/>
              <w:spacing w:before="106"/>
              <w:ind w:left="401"/>
            </w:pPr>
            <w:r>
              <w:t xml:space="preserve"> </w:t>
            </w:r>
            <w:r>
              <w:rPr/>
              <w:sym w:font="Wingdings 2" w:char="00A3"/>
            </w:r>
            <w:r>
              <w:t xml:space="preserve">自产 </w:t>
            </w:r>
            <w:r>
              <w:rPr/>
              <w:sym w:font="Wingdings 2" w:char="00A3"/>
            </w:r>
            <w:r>
              <w:t xml:space="preserve">总代理 </w:t>
            </w:r>
            <w:r>
              <w:rPr/>
              <w:sym w:font="Wingdings 2" w:char="00A3"/>
            </w:r>
            <w:r>
              <w:t xml:space="preserve">代理  </w:t>
            </w:r>
            <w:r>
              <w:rPr/>
              <w:sym w:font="Wingdings 2" w:char="00A3"/>
            </w:r>
            <w:r>
              <w:t xml:space="preserve">经销 </w:t>
            </w:r>
          </w:p>
        </w:tc>
      </w:tr>
      <w:tr w14:paraId="1E4532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7D05C8BF">
            <w:pPr>
              <w:pStyle w:val="231"/>
              <w:spacing w:before="178"/>
              <w:ind w:left="720"/>
            </w:pPr>
            <w:r>
              <w:t xml:space="preserve">品牌名称 </w:t>
            </w:r>
          </w:p>
        </w:tc>
        <w:tc>
          <w:tcPr>
            <w:tcW w:w="3583" w:type="dxa"/>
            <w:gridSpan w:val="3"/>
            <w:vAlign w:val="center"/>
          </w:tcPr>
          <w:p w14:paraId="454E744B">
            <w:pPr>
              <w:widowControl/>
              <w:rPr>
                <w:rFonts w:ascii="宋体" w:hAnsi="宋体" w:eastAsia="仿宋_GB2312"/>
                <w:kern w:val="0"/>
                <w:szCs w:val="21"/>
              </w:rPr>
            </w:pPr>
          </w:p>
        </w:tc>
        <w:tc>
          <w:tcPr>
            <w:tcW w:w="1097" w:type="dxa"/>
          </w:tcPr>
          <w:p w14:paraId="089ADBEF">
            <w:pPr>
              <w:pStyle w:val="231"/>
              <w:spacing w:before="15"/>
              <w:ind w:left="279"/>
            </w:pPr>
            <w:r>
              <w:rPr>
                <w:spacing w:val="-2"/>
              </w:rPr>
              <w:t>质量</w:t>
            </w:r>
            <w:r>
              <w:t xml:space="preserve"> </w:t>
            </w:r>
          </w:p>
          <w:p w14:paraId="38F7D920">
            <w:pPr>
              <w:pStyle w:val="231"/>
              <w:spacing w:before="30" w:line="277" w:lineRule="exact"/>
              <w:ind w:left="279"/>
            </w:pPr>
            <w:r>
              <w:rPr>
                <w:rFonts w:hint="eastAsia"/>
              </w:rPr>
              <w:t>体系</w:t>
            </w:r>
          </w:p>
        </w:tc>
        <w:tc>
          <w:tcPr>
            <w:tcW w:w="2820" w:type="dxa"/>
            <w:gridSpan w:val="2"/>
          </w:tcPr>
          <w:p w14:paraId="53E9DAB1">
            <w:pPr>
              <w:pStyle w:val="231"/>
              <w:spacing w:before="158"/>
              <w:jc w:val="center"/>
              <w:rPr>
                <w:sz w:val="24"/>
              </w:rPr>
            </w:pPr>
          </w:p>
        </w:tc>
      </w:tr>
      <w:tr w14:paraId="335D32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9456" w:type="dxa"/>
            <w:gridSpan w:val="7"/>
          </w:tcPr>
          <w:p w14:paraId="0063BA57">
            <w:pPr>
              <w:pStyle w:val="231"/>
              <w:spacing w:before="149"/>
              <w:ind w:left="3345" w:right="3223"/>
              <w:jc w:val="center"/>
            </w:pPr>
            <w:r>
              <w:rPr>
                <w:rFonts w:hint="eastAsia"/>
                <w:szCs w:val="21"/>
              </w:rPr>
              <w:t>单位概况</w:t>
            </w:r>
          </w:p>
        </w:tc>
      </w:tr>
      <w:tr w14:paraId="6ECE50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5" w:hRule="atLeast"/>
        </w:trPr>
        <w:tc>
          <w:tcPr>
            <w:tcW w:w="1956" w:type="dxa"/>
            <w:vAlign w:val="center"/>
          </w:tcPr>
          <w:p w14:paraId="1A7F5E61">
            <w:pPr>
              <w:widowControl/>
              <w:jc w:val="center"/>
              <w:textAlignment w:val="center"/>
              <w:rPr>
                <w:rFonts w:ascii="宋体" w:hAnsi="宋体" w:eastAsia="宋体" w:cs="宋体"/>
                <w:szCs w:val="21"/>
              </w:rPr>
            </w:pPr>
            <w:r>
              <w:rPr>
                <w:rFonts w:hint="eastAsia" w:ascii="宋体" w:hAnsi="宋体" w:eastAsia="宋体" w:cs="宋体"/>
                <w:spacing w:val="-2"/>
                <w:szCs w:val="21"/>
              </w:rPr>
              <w:t>参保</w:t>
            </w:r>
            <w:r>
              <w:rPr>
                <w:rFonts w:ascii="宋体" w:hAnsi="宋体" w:eastAsia="宋体" w:cs="宋体"/>
                <w:spacing w:val="-2"/>
                <w:szCs w:val="21"/>
              </w:rPr>
              <w:t>职工总人</w:t>
            </w:r>
            <w:r>
              <w:rPr>
                <w:rFonts w:ascii="宋体" w:hAnsi="宋体" w:eastAsia="宋体" w:cs="宋体"/>
                <w:spacing w:val="-1"/>
                <w:szCs w:val="21"/>
              </w:rPr>
              <w:t>数</w:t>
            </w:r>
          </w:p>
        </w:tc>
        <w:tc>
          <w:tcPr>
            <w:tcW w:w="990" w:type="dxa"/>
            <w:vAlign w:val="center"/>
          </w:tcPr>
          <w:p w14:paraId="516C369F">
            <w:pPr>
              <w:widowControl/>
              <w:textAlignment w:val="center"/>
              <w:rPr>
                <w:rFonts w:ascii="宋体" w:hAnsi="宋体" w:eastAsia="宋体" w:cs="宋体"/>
                <w:szCs w:val="21"/>
              </w:rPr>
            </w:pPr>
          </w:p>
        </w:tc>
        <w:tc>
          <w:tcPr>
            <w:tcW w:w="1530" w:type="dxa"/>
            <w:vAlign w:val="center"/>
          </w:tcPr>
          <w:p w14:paraId="4DE1BDA9">
            <w:pPr>
              <w:widowControl/>
              <w:jc w:val="center"/>
              <w:textAlignment w:val="center"/>
              <w:rPr>
                <w:rFonts w:ascii="宋体" w:hAnsi="宋体" w:eastAsia="宋体" w:cs="宋体"/>
                <w:szCs w:val="21"/>
              </w:rPr>
            </w:pPr>
            <w:r>
              <w:rPr>
                <w:rFonts w:ascii="宋体" w:hAnsi="宋体" w:eastAsia="宋体" w:cs="宋体"/>
                <w:spacing w:val="-2"/>
                <w:szCs w:val="21"/>
              </w:rPr>
              <w:t>工程技术人</w:t>
            </w:r>
            <w:r>
              <w:rPr>
                <w:rFonts w:ascii="宋体" w:hAnsi="宋体" w:eastAsia="宋体" w:cs="宋体"/>
                <w:spacing w:val="-1"/>
                <w:szCs w:val="21"/>
              </w:rPr>
              <w:t>员</w:t>
            </w:r>
          </w:p>
        </w:tc>
        <w:tc>
          <w:tcPr>
            <w:tcW w:w="1063" w:type="dxa"/>
            <w:vAlign w:val="center"/>
          </w:tcPr>
          <w:p w14:paraId="590EE67E">
            <w:pPr>
              <w:widowControl/>
              <w:jc w:val="center"/>
              <w:textAlignment w:val="center"/>
              <w:rPr>
                <w:rFonts w:ascii="宋体" w:hAnsi="宋体" w:eastAsia="宋体" w:cs="宋体"/>
                <w:szCs w:val="21"/>
              </w:rPr>
            </w:pPr>
          </w:p>
        </w:tc>
        <w:tc>
          <w:tcPr>
            <w:tcW w:w="1097" w:type="dxa"/>
            <w:vAlign w:val="center"/>
          </w:tcPr>
          <w:p w14:paraId="7957444F">
            <w:pPr>
              <w:widowControl/>
              <w:textAlignment w:val="center"/>
              <w:rPr>
                <w:rFonts w:ascii="宋体" w:hAnsi="宋体" w:eastAsia="宋体" w:cs="宋体"/>
                <w:szCs w:val="21"/>
              </w:rPr>
            </w:pPr>
            <w:r>
              <w:rPr>
                <w:rFonts w:ascii="宋体" w:hAnsi="宋体" w:eastAsia="宋体" w:cs="宋体"/>
                <w:spacing w:val="-3"/>
                <w:szCs w:val="21"/>
              </w:rPr>
              <w:t>生</w:t>
            </w:r>
            <w:r>
              <w:rPr>
                <w:rFonts w:ascii="宋体" w:hAnsi="宋体" w:eastAsia="宋体" w:cs="宋体"/>
                <w:spacing w:val="-2"/>
                <w:szCs w:val="21"/>
              </w:rPr>
              <w:t>产</w:t>
            </w:r>
            <w:r>
              <w:rPr>
                <w:rFonts w:hint="eastAsia" w:ascii="宋体" w:hAnsi="宋体" w:eastAsia="宋体" w:cs="宋体"/>
                <w:spacing w:val="-2"/>
                <w:szCs w:val="21"/>
              </w:rPr>
              <w:t>、销售人员</w:t>
            </w:r>
          </w:p>
        </w:tc>
        <w:tc>
          <w:tcPr>
            <w:tcW w:w="2820" w:type="dxa"/>
            <w:gridSpan w:val="2"/>
            <w:vAlign w:val="center"/>
          </w:tcPr>
          <w:p w14:paraId="4637678A">
            <w:pPr>
              <w:widowControl/>
              <w:jc w:val="center"/>
              <w:textAlignment w:val="center"/>
              <w:rPr>
                <w:rFonts w:ascii="宋体" w:hAnsi="宋体" w:eastAsia="宋体" w:cs="宋体"/>
                <w:szCs w:val="21"/>
              </w:rPr>
            </w:pPr>
          </w:p>
        </w:tc>
      </w:tr>
      <w:tr w14:paraId="45DD23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5" w:hRule="atLeast"/>
        </w:trPr>
        <w:tc>
          <w:tcPr>
            <w:tcW w:w="1956" w:type="dxa"/>
            <w:vAlign w:val="center"/>
          </w:tcPr>
          <w:p w14:paraId="2A1B389F">
            <w:pPr>
              <w:widowControl/>
              <w:jc w:val="center"/>
              <w:textAlignment w:val="center"/>
              <w:rPr>
                <w:rFonts w:ascii="宋体" w:hAnsi="宋体" w:eastAsia="宋体" w:cs="宋体"/>
                <w:szCs w:val="21"/>
              </w:rPr>
            </w:pPr>
            <w:r>
              <w:rPr>
                <w:rFonts w:hint="eastAsia" w:ascii="宋体" w:hAnsi="宋体" w:eastAsia="宋体" w:cs="宋体"/>
                <w:kern w:val="0"/>
                <w:szCs w:val="21"/>
              </w:rPr>
              <w:t>企业优势、关键产品特点</w:t>
            </w:r>
          </w:p>
        </w:tc>
        <w:tc>
          <w:tcPr>
            <w:tcW w:w="7500" w:type="dxa"/>
            <w:gridSpan w:val="6"/>
            <w:vAlign w:val="center"/>
          </w:tcPr>
          <w:p w14:paraId="0DDABFCC">
            <w:pPr>
              <w:widowControl/>
              <w:jc w:val="left"/>
              <w:rPr>
                <w:rFonts w:ascii="宋体" w:hAnsi="宋体" w:eastAsia="宋体" w:cs="宋体"/>
                <w:szCs w:val="21"/>
              </w:rPr>
            </w:pPr>
            <w:r>
              <w:rPr>
                <w:rFonts w:hint="eastAsia" w:ascii="宋体" w:hAnsi="宋体" w:eastAsia="宋体" w:cs="宋体"/>
                <w:kern w:val="0"/>
                <w:szCs w:val="21"/>
              </w:rPr>
              <w:t>　</w:t>
            </w:r>
          </w:p>
        </w:tc>
      </w:tr>
      <w:tr w14:paraId="14197E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6" w:hRule="atLeast"/>
        </w:trPr>
        <w:tc>
          <w:tcPr>
            <w:tcW w:w="1956" w:type="dxa"/>
            <w:vAlign w:val="center"/>
          </w:tcPr>
          <w:p w14:paraId="60569FD2">
            <w:pPr>
              <w:widowControl/>
              <w:jc w:val="center"/>
              <w:textAlignment w:val="center"/>
              <w:rPr>
                <w:rFonts w:ascii="宋体" w:hAnsi="宋体" w:eastAsia="宋体" w:cs="宋体"/>
                <w:szCs w:val="21"/>
              </w:rPr>
            </w:pPr>
            <w:r>
              <w:rPr>
                <w:rFonts w:hint="eastAsia" w:ascii="宋体" w:hAnsi="宋体" w:eastAsia="宋体" w:cs="宋体"/>
                <w:color w:val="000000"/>
                <w:kern w:val="0"/>
                <w:szCs w:val="21"/>
              </w:rPr>
              <w:t>企业行业水平及行业口碑</w:t>
            </w:r>
          </w:p>
        </w:tc>
        <w:tc>
          <w:tcPr>
            <w:tcW w:w="7500" w:type="dxa"/>
            <w:gridSpan w:val="6"/>
            <w:vAlign w:val="center"/>
          </w:tcPr>
          <w:p w14:paraId="2D9B58CA">
            <w:pPr>
              <w:widowControl/>
              <w:jc w:val="left"/>
              <w:rPr>
                <w:rFonts w:ascii="宋体" w:hAnsi="宋体" w:eastAsia="宋体" w:cs="宋体"/>
                <w:szCs w:val="21"/>
              </w:rPr>
            </w:pPr>
            <w:r>
              <w:rPr>
                <w:rFonts w:hint="eastAsia" w:ascii="宋体" w:hAnsi="宋体" w:eastAsia="宋体" w:cs="宋体"/>
                <w:kern w:val="0"/>
                <w:szCs w:val="21"/>
              </w:rPr>
              <w:t>　</w:t>
            </w:r>
          </w:p>
        </w:tc>
      </w:tr>
      <w:tr w14:paraId="0FE723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9" w:hRule="atLeast"/>
        </w:trPr>
        <w:tc>
          <w:tcPr>
            <w:tcW w:w="1956" w:type="dxa"/>
            <w:vAlign w:val="center"/>
          </w:tcPr>
          <w:p w14:paraId="1B730ABC">
            <w:pPr>
              <w:widowControl/>
              <w:jc w:val="center"/>
              <w:textAlignment w:val="center"/>
              <w:rPr>
                <w:rFonts w:ascii="宋体" w:hAnsi="宋体" w:eastAsia="宋体" w:cs="宋体"/>
                <w:szCs w:val="21"/>
              </w:rPr>
            </w:pPr>
            <w:r>
              <w:rPr>
                <w:rFonts w:ascii="宋体" w:hAnsi="宋体" w:eastAsia="宋体" w:cs="宋体"/>
                <w:spacing w:val="-10"/>
                <w:szCs w:val="21"/>
              </w:rPr>
              <w:t>公</w:t>
            </w:r>
            <w:r>
              <w:rPr>
                <w:rFonts w:ascii="宋体" w:hAnsi="宋体" w:eastAsia="宋体" w:cs="宋体"/>
                <w:spacing w:val="-7"/>
                <w:szCs w:val="21"/>
              </w:rPr>
              <w:t>司</w:t>
            </w:r>
            <w:r>
              <w:rPr>
                <w:rFonts w:ascii="宋体" w:hAnsi="宋体" w:eastAsia="宋体" w:cs="宋体"/>
                <w:spacing w:val="-5"/>
                <w:szCs w:val="21"/>
              </w:rPr>
              <w:t>现有主要研发、</w:t>
            </w:r>
            <w:r>
              <w:rPr>
                <w:rFonts w:ascii="宋体" w:hAnsi="宋体" w:eastAsia="宋体" w:cs="宋体"/>
                <w:szCs w:val="21"/>
              </w:rPr>
              <w:t xml:space="preserve"> </w:t>
            </w:r>
            <w:r>
              <w:rPr>
                <w:rFonts w:ascii="宋体" w:hAnsi="宋体" w:eastAsia="宋体" w:cs="宋体"/>
                <w:spacing w:val="-4"/>
                <w:szCs w:val="21"/>
              </w:rPr>
              <w:t>实</w:t>
            </w:r>
            <w:r>
              <w:rPr>
                <w:rFonts w:ascii="宋体" w:hAnsi="宋体" w:eastAsia="宋体" w:cs="宋体"/>
                <w:spacing w:val="-2"/>
                <w:szCs w:val="21"/>
              </w:rPr>
              <w:t>验、生产设备</w:t>
            </w:r>
          </w:p>
        </w:tc>
        <w:tc>
          <w:tcPr>
            <w:tcW w:w="7500" w:type="dxa"/>
            <w:gridSpan w:val="6"/>
            <w:vAlign w:val="center"/>
          </w:tcPr>
          <w:p w14:paraId="1C36C38C">
            <w:pPr>
              <w:widowControl/>
              <w:jc w:val="left"/>
              <w:rPr>
                <w:rFonts w:ascii="宋体" w:hAnsi="宋体" w:eastAsia="宋体" w:cs="宋体"/>
                <w:szCs w:val="21"/>
              </w:rPr>
            </w:pPr>
            <w:r>
              <w:rPr>
                <w:rFonts w:hint="eastAsia" w:ascii="宋体" w:hAnsi="宋体" w:eastAsia="宋体" w:cs="宋体"/>
                <w:kern w:val="0"/>
                <w:szCs w:val="21"/>
              </w:rPr>
              <w:t>　</w:t>
            </w:r>
          </w:p>
        </w:tc>
      </w:tr>
      <w:tr w14:paraId="27D5CB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5" w:hRule="atLeast"/>
        </w:trPr>
        <w:tc>
          <w:tcPr>
            <w:tcW w:w="1956" w:type="dxa"/>
            <w:vAlign w:val="center"/>
          </w:tcPr>
          <w:p w14:paraId="5E0FED42">
            <w:pPr>
              <w:widowControl/>
              <w:jc w:val="center"/>
              <w:textAlignment w:val="center"/>
              <w:rPr>
                <w:rFonts w:ascii="宋体" w:hAnsi="宋体" w:eastAsia="宋体" w:cs="宋体"/>
                <w:szCs w:val="21"/>
              </w:rPr>
            </w:pPr>
            <w:r>
              <w:rPr>
                <w:rFonts w:hint="eastAsia" w:ascii="宋体" w:hAnsi="宋体" w:eastAsia="宋体" w:cs="宋体"/>
                <w:kern w:val="0"/>
                <w:szCs w:val="21"/>
              </w:rPr>
              <w:t>近三或五年企业类似业绩及履约情况</w:t>
            </w:r>
          </w:p>
        </w:tc>
        <w:tc>
          <w:tcPr>
            <w:tcW w:w="7500" w:type="dxa"/>
            <w:gridSpan w:val="6"/>
            <w:vAlign w:val="center"/>
          </w:tcPr>
          <w:p w14:paraId="37D8D7C4">
            <w:pPr>
              <w:widowControl/>
              <w:jc w:val="left"/>
              <w:rPr>
                <w:rFonts w:ascii="宋体" w:hAnsi="宋体" w:eastAsia="宋体" w:cs="宋体"/>
                <w:szCs w:val="21"/>
              </w:rPr>
            </w:pPr>
            <w:r>
              <w:rPr>
                <w:rFonts w:hint="eastAsia" w:ascii="宋体" w:hAnsi="宋体" w:eastAsia="宋体" w:cs="宋体"/>
                <w:kern w:val="0"/>
                <w:szCs w:val="21"/>
              </w:rPr>
              <w:t>　</w:t>
            </w:r>
          </w:p>
        </w:tc>
      </w:tr>
      <w:tr w14:paraId="65BFB2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062E87F0">
            <w:pPr>
              <w:widowControl/>
              <w:jc w:val="center"/>
              <w:textAlignment w:val="center"/>
              <w:rPr>
                <w:rFonts w:ascii="宋体" w:hAnsi="宋体" w:eastAsia="宋体" w:cs="宋体"/>
                <w:szCs w:val="21"/>
              </w:rPr>
            </w:pPr>
            <w:r>
              <w:rPr>
                <w:rFonts w:hint="eastAsia" w:ascii="宋体" w:hAnsi="宋体" w:eastAsia="宋体" w:cs="宋体"/>
                <w:kern w:val="0"/>
                <w:szCs w:val="21"/>
              </w:rPr>
              <w:t>售后服务及质量</w:t>
            </w:r>
          </w:p>
        </w:tc>
        <w:tc>
          <w:tcPr>
            <w:tcW w:w="7500" w:type="dxa"/>
            <w:gridSpan w:val="6"/>
            <w:vAlign w:val="center"/>
          </w:tcPr>
          <w:p w14:paraId="2F1DFF56">
            <w:pPr>
              <w:widowControl/>
              <w:jc w:val="left"/>
              <w:rPr>
                <w:rFonts w:ascii="宋体" w:hAnsi="宋体" w:eastAsia="宋体" w:cs="宋体"/>
                <w:szCs w:val="21"/>
              </w:rPr>
            </w:pPr>
            <w:r>
              <w:rPr>
                <w:rFonts w:hint="eastAsia" w:ascii="宋体" w:hAnsi="宋体" w:eastAsia="宋体" w:cs="宋体"/>
                <w:kern w:val="0"/>
                <w:szCs w:val="21"/>
              </w:rPr>
              <w:t>　</w:t>
            </w:r>
          </w:p>
        </w:tc>
      </w:tr>
      <w:tr w14:paraId="451609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21206BEF">
            <w:pPr>
              <w:widowControl/>
              <w:textAlignment w:val="center"/>
              <w:rPr>
                <w:rFonts w:ascii="宋体" w:hAnsi="宋体" w:eastAsia="宋体" w:cs="宋体"/>
                <w:kern w:val="0"/>
                <w:szCs w:val="21"/>
              </w:rPr>
            </w:pPr>
            <w:r>
              <w:rPr>
                <w:rFonts w:ascii="宋体" w:hAnsi="宋体" w:eastAsia="宋体" w:cs="宋体"/>
                <w:spacing w:val="-4"/>
                <w:szCs w:val="21"/>
              </w:rPr>
              <w:t>对本项目在设计、制造、进度、财务等方面采取的组织措施和相</w:t>
            </w:r>
            <w:r>
              <w:rPr>
                <w:rFonts w:ascii="宋体" w:hAnsi="宋体" w:eastAsia="宋体" w:cs="宋体"/>
                <w:spacing w:val="-2"/>
                <w:szCs w:val="21"/>
              </w:rPr>
              <w:t>关</w:t>
            </w:r>
            <w:r>
              <w:rPr>
                <w:rFonts w:ascii="宋体" w:hAnsi="宋体" w:eastAsia="宋体" w:cs="宋体"/>
                <w:spacing w:val="-3"/>
                <w:szCs w:val="21"/>
              </w:rPr>
              <w:t>人</w:t>
            </w:r>
            <w:r>
              <w:rPr>
                <w:rFonts w:ascii="宋体" w:hAnsi="宋体" w:eastAsia="宋体" w:cs="宋体"/>
                <w:spacing w:val="-2"/>
                <w:szCs w:val="21"/>
              </w:rPr>
              <w:t>员简介</w:t>
            </w:r>
          </w:p>
        </w:tc>
        <w:tc>
          <w:tcPr>
            <w:tcW w:w="7500" w:type="dxa"/>
            <w:gridSpan w:val="6"/>
            <w:vAlign w:val="center"/>
          </w:tcPr>
          <w:p w14:paraId="4107F0DC">
            <w:pPr>
              <w:widowControl/>
              <w:jc w:val="left"/>
              <w:rPr>
                <w:rFonts w:ascii="宋体" w:hAnsi="宋体" w:eastAsia="宋体" w:cs="宋体"/>
                <w:kern w:val="0"/>
                <w:szCs w:val="21"/>
              </w:rPr>
            </w:pPr>
          </w:p>
        </w:tc>
      </w:tr>
    </w:tbl>
    <w:p w14:paraId="108F8C63">
      <w:pPr>
        <w:pStyle w:val="26"/>
        <w:rPr>
          <w:rFonts w:ascii="Times New Roman" w:hAnsi="Times New Roman" w:eastAsia="宋体" w:cs="Times New Roman"/>
          <w:b/>
          <w:bCs/>
          <w:color w:val="000000"/>
          <w:sz w:val="24"/>
          <w:szCs w:val="24"/>
        </w:rPr>
      </w:pPr>
    </w:p>
    <w:p w14:paraId="37100778">
      <w:pPr>
        <w:pStyle w:val="26"/>
        <w:rPr>
          <w:rFonts w:ascii="Times New Roman" w:hAnsi="Times New Roman" w:eastAsia="宋体" w:cs="Times New Roman"/>
          <w:b/>
          <w:bCs/>
          <w:color w:val="000000"/>
          <w:sz w:val="24"/>
          <w:szCs w:val="24"/>
        </w:rPr>
      </w:pPr>
    </w:p>
    <w:p w14:paraId="39756F36">
      <w:pPr>
        <w:pStyle w:val="26"/>
        <w:rPr>
          <w:rFonts w:ascii="Times New Roman" w:hAnsi="Times New Roman" w:eastAsia="宋体" w:cs="Times New Roman"/>
          <w:b/>
          <w:bCs/>
          <w:color w:val="000000"/>
          <w:sz w:val="24"/>
          <w:szCs w:val="24"/>
        </w:rPr>
      </w:pPr>
    </w:p>
    <w:p w14:paraId="73D8D3DE">
      <w:pPr>
        <w:pStyle w:val="26"/>
        <w:rPr>
          <w:rFonts w:ascii="Times New Roman" w:hAnsi="Times New Roman" w:eastAsia="宋体" w:cs="Times New Roman"/>
          <w:b/>
          <w:bCs/>
          <w:color w:val="000000"/>
          <w:sz w:val="24"/>
          <w:szCs w:val="24"/>
        </w:rPr>
      </w:pPr>
    </w:p>
    <w:p w14:paraId="527F4C72">
      <w:pPr>
        <w:pStyle w:val="26"/>
        <w:rPr>
          <w:rFonts w:ascii="Times New Roman" w:hAnsi="Times New Roman" w:eastAsia="宋体" w:cs="Times New Roman"/>
          <w:b/>
          <w:bCs/>
          <w:color w:val="000000"/>
          <w:sz w:val="24"/>
          <w:szCs w:val="24"/>
        </w:rPr>
      </w:pPr>
    </w:p>
    <w:p w14:paraId="792B9788">
      <w:pPr>
        <w:pStyle w:val="26"/>
        <w:rPr>
          <w:rFonts w:ascii="Times New Roman" w:hAnsi="Times New Roman" w:eastAsia="宋体" w:cs="Times New Roman"/>
          <w:b/>
          <w:bCs/>
          <w:color w:val="000000"/>
          <w:sz w:val="24"/>
          <w:szCs w:val="24"/>
        </w:rPr>
      </w:pPr>
    </w:p>
    <w:p w14:paraId="54D6387F">
      <w:pPr>
        <w:pStyle w:val="26"/>
        <w:outlineLvl w:val="3"/>
        <w:rPr>
          <w:rFonts w:hint="eastAsia" w:ascii="Times New Roman" w:hAnsi="Times New Roman" w:eastAsia="宋体" w:cs="Times New Roman"/>
          <w:b/>
          <w:bCs/>
          <w:color w:val="000000"/>
          <w:sz w:val="24"/>
          <w:szCs w:val="24"/>
        </w:rPr>
      </w:pPr>
      <w:r>
        <w:rPr>
          <w:rFonts w:hAnsi="宋体" w:eastAsia="宋体" w:cs="宋体"/>
          <w:spacing w:val="-9"/>
          <w:sz w:val="24"/>
          <w:szCs w:val="24"/>
          <w14:textOutline w14:w="4356" w14:cap="flat" w14:cmpd="sng">
            <w14:solidFill>
              <w14:srgbClr w14:val="000000"/>
            </w14:solidFill>
            <w14:prstDash w14:val="solid"/>
            <w14:miter w14:val="0"/>
          </w14:textOutline>
        </w:rPr>
        <w:t>表</w:t>
      </w:r>
      <w:r>
        <w:rPr>
          <w:rFonts w:hAnsi="宋体" w:eastAsia="宋体" w:cs="宋体"/>
          <w:spacing w:val="-7"/>
          <w:sz w:val="24"/>
          <w:szCs w:val="24"/>
        </w:rPr>
        <w:t xml:space="preserve"> </w:t>
      </w:r>
      <w:r>
        <w:rPr>
          <w:rFonts w:hAnsi="宋体" w:eastAsia="宋体" w:cs="宋体"/>
          <w:spacing w:val="-7"/>
          <w:sz w:val="24"/>
          <w:szCs w:val="24"/>
          <w14:textOutline w14:w="4356" w14:cap="flat" w14:cmpd="sng">
            <w14:solidFill>
              <w14:srgbClr w14:val="000000"/>
            </w14:solidFill>
            <w14:prstDash w14:val="solid"/>
            <w14:miter w14:val="0"/>
          </w14:textOutline>
        </w:rPr>
        <w:t>2</w:t>
      </w:r>
      <w:r>
        <w:rPr>
          <w:rFonts w:hint="eastAsia" w:hAnsi="宋体" w:eastAsia="宋体" w:cs="宋体"/>
          <w:spacing w:val="-7"/>
          <w:sz w:val="24"/>
          <w:szCs w:val="24"/>
          <w14:textOutline w14:w="4356" w14:cap="flat" w14:cmpd="sng">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资产情况汇总表</w:t>
      </w:r>
    </w:p>
    <w:p w14:paraId="14935736">
      <w:pPr>
        <w:pStyle w:val="26"/>
        <w:outlineLvl w:val="3"/>
        <w:rPr>
          <w:rFonts w:hint="eastAsia" w:ascii="Times New Roman" w:hAnsi="Times New Roman" w:eastAsia="宋体" w:cs="Times New Roman"/>
          <w:b/>
          <w:bCs/>
          <w:color w:val="000000"/>
          <w:sz w:val="24"/>
          <w:szCs w:val="24"/>
        </w:rPr>
      </w:pPr>
    </w:p>
    <w:tbl>
      <w:tblPr>
        <w:tblStyle w:val="4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84"/>
        <w:gridCol w:w="1287"/>
        <w:gridCol w:w="1288"/>
        <w:gridCol w:w="1290"/>
      </w:tblGrid>
      <w:tr w14:paraId="29288C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449" w:type="dxa"/>
            <w:gridSpan w:val="4"/>
            <w:vAlign w:val="center"/>
          </w:tcPr>
          <w:p w14:paraId="36F67D10">
            <w:pPr>
              <w:spacing w:line="440" w:lineRule="exact"/>
              <w:jc w:val="center"/>
              <w:rPr>
                <w:rFonts w:ascii="宋体" w:hAnsi="宋体"/>
                <w:szCs w:val="24"/>
                <w:highlight w:val="none"/>
              </w:rPr>
            </w:pPr>
            <w:r>
              <w:rPr>
                <w:rFonts w:ascii="宋体" w:hAnsi="宋体" w:eastAsia="宋体"/>
                <w:color w:val="000000"/>
                <w:sz w:val="24"/>
                <w:szCs w:val="24"/>
                <w:highlight w:val="none"/>
                <w:u w:val="single"/>
              </w:rPr>
              <w:t xml:space="preserve">                   </w:t>
            </w:r>
            <w:r>
              <w:rPr>
                <w:rFonts w:hint="eastAsia" w:ascii="宋体" w:hAnsi="宋体" w:eastAsia="宋体"/>
                <w:color w:val="000000"/>
                <w:sz w:val="24"/>
                <w:szCs w:val="24"/>
                <w:highlight w:val="none"/>
              </w:rPr>
              <w:t>公司资产情况汇总表</w:t>
            </w:r>
          </w:p>
        </w:tc>
      </w:tr>
      <w:tr w14:paraId="727B73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13AD9074">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注册资金（万元）</w:t>
            </w:r>
          </w:p>
        </w:tc>
        <w:tc>
          <w:tcPr>
            <w:tcW w:w="3865" w:type="dxa"/>
            <w:gridSpan w:val="3"/>
          </w:tcPr>
          <w:p w14:paraId="048B63AC">
            <w:pPr>
              <w:spacing w:line="440" w:lineRule="exact"/>
              <w:jc w:val="center"/>
              <w:rPr>
                <w:rFonts w:ascii="宋体" w:hAnsi="宋体"/>
                <w:color w:val="000000"/>
                <w:sz w:val="24"/>
                <w:szCs w:val="24"/>
                <w:highlight w:val="none"/>
              </w:rPr>
            </w:pPr>
          </w:p>
        </w:tc>
      </w:tr>
      <w:tr w14:paraId="1271D6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05083AC6">
            <w:pPr>
              <w:spacing w:line="440" w:lineRule="exact"/>
              <w:jc w:val="center"/>
              <w:rPr>
                <w:rFonts w:ascii="宋体" w:hAnsi="宋体"/>
                <w:color w:val="000000"/>
                <w:sz w:val="24"/>
                <w:szCs w:val="24"/>
                <w:highlight w:val="none"/>
              </w:rPr>
            </w:pPr>
            <w:r>
              <w:rPr>
                <w:rFonts w:ascii="宋体" w:hAnsi="宋体" w:eastAsia="宋体"/>
                <w:color w:val="000000"/>
                <w:sz w:val="24"/>
                <w:szCs w:val="24"/>
                <w:highlight w:val="none"/>
              </w:rPr>
              <w:t>实收资金（万元）</w:t>
            </w:r>
          </w:p>
        </w:tc>
        <w:tc>
          <w:tcPr>
            <w:tcW w:w="3865" w:type="dxa"/>
            <w:gridSpan w:val="3"/>
          </w:tcPr>
          <w:p w14:paraId="27C3827E">
            <w:pPr>
              <w:spacing w:line="440" w:lineRule="exact"/>
              <w:jc w:val="center"/>
              <w:rPr>
                <w:rFonts w:ascii="宋体" w:hAnsi="宋体"/>
                <w:color w:val="000000"/>
                <w:sz w:val="24"/>
                <w:szCs w:val="24"/>
                <w:highlight w:val="none"/>
              </w:rPr>
            </w:pPr>
          </w:p>
        </w:tc>
      </w:tr>
      <w:tr w14:paraId="4390BE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3450AE9A">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年度资产情况</w:t>
            </w:r>
          </w:p>
        </w:tc>
        <w:tc>
          <w:tcPr>
            <w:tcW w:w="1287" w:type="dxa"/>
            <w:vAlign w:val="center"/>
          </w:tcPr>
          <w:p w14:paraId="164720DD">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202</w:t>
            </w:r>
            <w:r>
              <w:rPr>
                <w:rFonts w:hint="eastAsia" w:ascii="宋体" w:hAnsi="宋体" w:eastAsia="宋体"/>
                <w:color w:val="000000"/>
                <w:sz w:val="24"/>
                <w:szCs w:val="24"/>
                <w:highlight w:val="none"/>
                <w:lang w:val="en-US" w:eastAsia="zh-CN"/>
              </w:rPr>
              <w:t>2</w:t>
            </w:r>
            <w:r>
              <w:rPr>
                <w:rFonts w:hint="eastAsia" w:ascii="宋体" w:hAnsi="宋体" w:eastAsia="宋体"/>
                <w:color w:val="000000"/>
                <w:sz w:val="24"/>
                <w:szCs w:val="24"/>
                <w:highlight w:val="none"/>
              </w:rPr>
              <w:t>年</w:t>
            </w:r>
          </w:p>
        </w:tc>
        <w:tc>
          <w:tcPr>
            <w:tcW w:w="1288" w:type="dxa"/>
            <w:vAlign w:val="center"/>
          </w:tcPr>
          <w:p w14:paraId="41C48CBC">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202</w:t>
            </w:r>
            <w:r>
              <w:rPr>
                <w:rFonts w:hint="eastAsia" w:ascii="宋体" w:hAnsi="宋体" w:eastAsia="宋体"/>
                <w:color w:val="000000"/>
                <w:sz w:val="24"/>
                <w:szCs w:val="24"/>
                <w:highlight w:val="none"/>
                <w:lang w:val="en-US" w:eastAsia="zh-CN"/>
              </w:rPr>
              <w:t>3</w:t>
            </w:r>
            <w:r>
              <w:rPr>
                <w:rFonts w:hint="eastAsia" w:ascii="宋体" w:hAnsi="宋体" w:eastAsia="宋体"/>
                <w:color w:val="000000"/>
                <w:sz w:val="24"/>
                <w:szCs w:val="24"/>
                <w:highlight w:val="none"/>
              </w:rPr>
              <w:t>年</w:t>
            </w:r>
          </w:p>
        </w:tc>
        <w:tc>
          <w:tcPr>
            <w:tcW w:w="1288" w:type="dxa"/>
            <w:vAlign w:val="center"/>
          </w:tcPr>
          <w:p w14:paraId="2C57E8F5">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202</w:t>
            </w:r>
            <w:r>
              <w:rPr>
                <w:rFonts w:hint="eastAsia" w:ascii="宋体" w:hAnsi="宋体" w:eastAsia="宋体"/>
                <w:color w:val="000000"/>
                <w:sz w:val="24"/>
                <w:szCs w:val="24"/>
                <w:highlight w:val="none"/>
                <w:lang w:val="en-US" w:eastAsia="zh-CN"/>
              </w:rPr>
              <w:t>4</w:t>
            </w:r>
            <w:r>
              <w:rPr>
                <w:rFonts w:hint="eastAsia" w:ascii="宋体" w:hAnsi="宋体" w:eastAsia="宋体"/>
                <w:color w:val="000000"/>
                <w:sz w:val="24"/>
                <w:szCs w:val="24"/>
                <w:highlight w:val="none"/>
              </w:rPr>
              <w:t>年</w:t>
            </w:r>
          </w:p>
        </w:tc>
      </w:tr>
      <w:tr w14:paraId="08B3DB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22ED9568">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流动资产（万元）</w:t>
            </w:r>
          </w:p>
        </w:tc>
        <w:tc>
          <w:tcPr>
            <w:tcW w:w="1287" w:type="dxa"/>
          </w:tcPr>
          <w:p w14:paraId="0F8980BD">
            <w:pPr>
              <w:spacing w:line="440" w:lineRule="exact"/>
              <w:jc w:val="center"/>
              <w:rPr>
                <w:rFonts w:ascii="宋体" w:hAnsi="宋体"/>
                <w:color w:val="000000"/>
                <w:sz w:val="24"/>
                <w:szCs w:val="24"/>
                <w:highlight w:val="none"/>
              </w:rPr>
            </w:pPr>
          </w:p>
        </w:tc>
        <w:tc>
          <w:tcPr>
            <w:tcW w:w="1288" w:type="dxa"/>
          </w:tcPr>
          <w:p w14:paraId="291C90DA">
            <w:pPr>
              <w:spacing w:line="440" w:lineRule="exact"/>
              <w:jc w:val="center"/>
              <w:rPr>
                <w:rFonts w:ascii="宋体" w:hAnsi="宋体"/>
                <w:color w:val="000000"/>
                <w:sz w:val="24"/>
                <w:szCs w:val="24"/>
                <w:highlight w:val="none"/>
              </w:rPr>
            </w:pPr>
          </w:p>
        </w:tc>
        <w:tc>
          <w:tcPr>
            <w:tcW w:w="1288" w:type="dxa"/>
          </w:tcPr>
          <w:p w14:paraId="47EDCBE5">
            <w:pPr>
              <w:spacing w:line="440" w:lineRule="exact"/>
              <w:jc w:val="center"/>
              <w:rPr>
                <w:rFonts w:ascii="宋体" w:hAnsi="宋体"/>
                <w:color w:val="000000"/>
                <w:sz w:val="24"/>
                <w:szCs w:val="24"/>
                <w:highlight w:val="none"/>
              </w:rPr>
            </w:pPr>
          </w:p>
        </w:tc>
      </w:tr>
      <w:tr w14:paraId="7D7D46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7700FF47">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非流动资产（万元）</w:t>
            </w:r>
          </w:p>
        </w:tc>
        <w:tc>
          <w:tcPr>
            <w:tcW w:w="1287" w:type="dxa"/>
          </w:tcPr>
          <w:p w14:paraId="7C4E3409">
            <w:pPr>
              <w:spacing w:line="440" w:lineRule="exact"/>
              <w:jc w:val="center"/>
              <w:rPr>
                <w:rFonts w:ascii="宋体" w:hAnsi="宋体"/>
                <w:color w:val="000000"/>
                <w:sz w:val="24"/>
                <w:szCs w:val="24"/>
                <w:highlight w:val="none"/>
              </w:rPr>
            </w:pPr>
          </w:p>
        </w:tc>
        <w:tc>
          <w:tcPr>
            <w:tcW w:w="1288" w:type="dxa"/>
          </w:tcPr>
          <w:p w14:paraId="5F2F372D">
            <w:pPr>
              <w:spacing w:line="440" w:lineRule="exact"/>
              <w:jc w:val="center"/>
              <w:rPr>
                <w:rFonts w:ascii="宋体" w:hAnsi="宋体"/>
                <w:color w:val="000000"/>
                <w:sz w:val="24"/>
                <w:szCs w:val="24"/>
                <w:highlight w:val="none"/>
              </w:rPr>
            </w:pPr>
          </w:p>
        </w:tc>
        <w:tc>
          <w:tcPr>
            <w:tcW w:w="1288" w:type="dxa"/>
          </w:tcPr>
          <w:p w14:paraId="3164A792">
            <w:pPr>
              <w:spacing w:line="440" w:lineRule="exact"/>
              <w:jc w:val="center"/>
              <w:rPr>
                <w:rFonts w:ascii="宋体" w:hAnsi="宋体"/>
                <w:color w:val="000000"/>
                <w:sz w:val="24"/>
                <w:szCs w:val="24"/>
                <w:highlight w:val="none"/>
              </w:rPr>
            </w:pPr>
          </w:p>
        </w:tc>
      </w:tr>
      <w:tr w14:paraId="3784E2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4A170FD2">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营业收入（万元）</w:t>
            </w:r>
          </w:p>
        </w:tc>
        <w:tc>
          <w:tcPr>
            <w:tcW w:w="1287" w:type="dxa"/>
          </w:tcPr>
          <w:p w14:paraId="71C6D2C3">
            <w:pPr>
              <w:spacing w:line="440" w:lineRule="exact"/>
              <w:jc w:val="center"/>
              <w:rPr>
                <w:rFonts w:ascii="宋体" w:hAnsi="宋体"/>
                <w:color w:val="000000"/>
                <w:sz w:val="24"/>
                <w:szCs w:val="24"/>
                <w:highlight w:val="none"/>
              </w:rPr>
            </w:pPr>
          </w:p>
        </w:tc>
        <w:tc>
          <w:tcPr>
            <w:tcW w:w="1288" w:type="dxa"/>
          </w:tcPr>
          <w:p w14:paraId="73907D1F">
            <w:pPr>
              <w:spacing w:line="440" w:lineRule="exact"/>
              <w:jc w:val="center"/>
              <w:rPr>
                <w:rFonts w:ascii="宋体" w:hAnsi="宋体"/>
                <w:color w:val="000000"/>
                <w:sz w:val="24"/>
                <w:szCs w:val="24"/>
                <w:highlight w:val="none"/>
              </w:rPr>
            </w:pPr>
          </w:p>
        </w:tc>
        <w:tc>
          <w:tcPr>
            <w:tcW w:w="1288" w:type="dxa"/>
          </w:tcPr>
          <w:p w14:paraId="091CF8E3">
            <w:pPr>
              <w:spacing w:line="440" w:lineRule="exact"/>
              <w:jc w:val="center"/>
              <w:rPr>
                <w:rFonts w:ascii="宋体" w:hAnsi="宋体"/>
                <w:color w:val="000000"/>
                <w:sz w:val="24"/>
                <w:szCs w:val="24"/>
                <w:highlight w:val="none"/>
              </w:rPr>
            </w:pPr>
          </w:p>
        </w:tc>
      </w:tr>
      <w:tr w14:paraId="429482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7FE782AA">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年底资产总值（万元）</w:t>
            </w:r>
          </w:p>
        </w:tc>
        <w:tc>
          <w:tcPr>
            <w:tcW w:w="1287" w:type="dxa"/>
          </w:tcPr>
          <w:p w14:paraId="6F8CAB6A">
            <w:pPr>
              <w:spacing w:line="440" w:lineRule="exact"/>
              <w:jc w:val="center"/>
              <w:rPr>
                <w:rFonts w:ascii="宋体" w:hAnsi="宋体"/>
                <w:color w:val="000000"/>
                <w:sz w:val="24"/>
                <w:szCs w:val="24"/>
                <w:highlight w:val="none"/>
              </w:rPr>
            </w:pPr>
          </w:p>
        </w:tc>
        <w:tc>
          <w:tcPr>
            <w:tcW w:w="1288" w:type="dxa"/>
          </w:tcPr>
          <w:p w14:paraId="029904DC">
            <w:pPr>
              <w:spacing w:line="440" w:lineRule="exact"/>
              <w:jc w:val="center"/>
              <w:rPr>
                <w:rFonts w:ascii="宋体" w:hAnsi="宋体"/>
                <w:color w:val="000000"/>
                <w:sz w:val="24"/>
                <w:szCs w:val="24"/>
                <w:highlight w:val="none"/>
              </w:rPr>
            </w:pPr>
          </w:p>
        </w:tc>
        <w:tc>
          <w:tcPr>
            <w:tcW w:w="1288" w:type="dxa"/>
          </w:tcPr>
          <w:p w14:paraId="435C2F6F">
            <w:pPr>
              <w:spacing w:line="440" w:lineRule="exact"/>
              <w:jc w:val="center"/>
              <w:rPr>
                <w:rFonts w:ascii="宋体" w:hAnsi="宋体"/>
                <w:color w:val="000000"/>
                <w:sz w:val="24"/>
                <w:szCs w:val="24"/>
                <w:highlight w:val="none"/>
              </w:rPr>
            </w:pPr>
          </w:p>
        </w:tc>
      </w:tr>
      <w:tr w14:paraId="078DE0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564E1D90">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年底负债总值（万元）</w:t>
            </w:r>
          </w:p>
        </w:tc>
        <w:tc>
          <w:tcPr>
            <w:tcW w:w="1287" w:type="dxa"/>
          </w:tcPr>
          <w:p w14:paraId="0DD10C49">
            <w:pPr>
              <w:spacing w:line="440" w:lineRule="exact"/>
              <w:jc w:val="center"/>
              <w:rPr>
                <w:rFonts w:ascii="宋体" w:hAnsi="宋体"/>
                <w:color w:val="000000"/>
                <w:sz w:val="24"/>
                <w:szCs w:val="24"/>
                <w:highlight w:val="none"/>
              </w:rPr>
            </w:pPr>
          </w:p>
        </w:tc>
        <w:tc>
          <w:tcPr>
            <w:tcW w:w="1288" w:type="dxa"/>
          </w:tcPr>
          <w:p w14:paraId="27D1005F">
            <w:pPr>
              <w:spacing w:line="440" w:lineRule="exact"/>
              <w:jc w:val="center"/>
              <w:rPr>
                <w:rFonts w:ascii="宋体" w:hAnsi="宋体"/>
                <w:color w:val="000000"/>
                <w:sz w:val="24"/>
                <w:szCs w:val="24"/>
                <w:highlight w:val="none"/>
              </w:rPr>
            </w:pPr>
          </w:p>
        </w:tc>
        <w:tc>
          <w:tcPr>
            <w:tcW w:w="1288" w:type="dxa"/>
          </w:tcPr>
          <w:p w14:paraId="18080AAA">
            <w:pPr>
              <w:spacing w:line="440" w:lineRule="exact"/>
              <w:jc w:val="center"/>
              <w:rPr>
                <w:rFonts w:ascii="宋体" w:hAnsi="宋体"/>
                <w:color w:val="000000"/>
                <w:sz w:val="24"/>
                <w:szCs w:val="24"/>
                <w:highlight w:val="none"/>
              </w:rPr>
            </w:pPr>
          </w:p>
        </w:tc>
      </w:tr>
      <w:tr w14:paraId="6AE33E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68EC0498">
            <w:pPr>
              <w:spacing w:line="440" w:lineRule="exact"/>
              <w:jc w:val="center"/>
              <w:rPr>
                <w:rFonts w:ascii="宋体" w:hAnsi="宋体"/>
                <w:color w:val="000000"/>
                <w:sz w:val="24"/>
                <w:szCs w:val="24"/>
                <w:highlight w:val="none"/>
              </w:rPr>
            </w:pPr>
            <w:r>
              <w:rPr>
                <w:rFonts w:ascii="宋体" w:hAnsi="宋体" w:eastAsia="宋体"/>
                <w:color w:val="000000"/>
                <w:sz w:val="24"/>
                <w:szCs w:val="24"/>
                <w:highlight w:val="none"/>
              </w:rPr>
              <w:t>资产负债率</w:t>
            </w:r>
            <w:r>
              <w:rPr>
                <w:rFonts w:hint="eastAsia" w:ascii="宋体" w:hAnsi="宋体" w:eastAsia="宋体"/>
                <w:color w:val="000000"/>
                <w:sz w:val="24"/>
                <w:szCs w:val="24"/>
                <w:highlight w:val="none"/>
              </w:rPr>
              <w:t>（  %）</w:t>
            </w:r>
          </w:p>
        </w:tc>
        <w:tc>
          <w:tcPr>
            <w:tcW w:w="1287" w:type="dxa"/>
          </w:tcPr>
          <w:p w14:paraId="41791BBA">
            <w:pPr>
              <w:spacing w:line="440" w:lineRule="exact"/>
              <w:jc w:val="center"/>
              <w:rPr>
                <w:rFonts w:ascii="宋体" w:hAnsi="宋体"/>
                <w:color w:val="000000"/>
                <w:sz w:val="24"/>
                <w:szCs w:val="24"/>
                <w:highlight w:val="none"/>
              </w:rPr>
            </w:pPr>
          </w:p>
        </w:tc>
        <w:tc>
          <w:tcPr>
            <w:tcW w:w="1288" w:type="dxa"/>
          </w:tcPr>
          <w:p w14:paraId="5E29869C">
            <w:pPr>
              <w:spacing w:line="440" w:lineRule="exact"/>
              <w:jc w:val="center"/>
              <w:rPr>
                <w:rFonts w:ascii="宋体" w:hAnsi="宋体"/>
                <w:color w:val="000000"/>
                <w:sz w:val="24"/>
                <w:szCs w:val="24"/>
                <w:highlight w:val="none"/>
              </w:rPr>
            </w:pPr>
          </w:p>
        </w:tc>
        <w:tc>
          <w:tcPr>
            <w:tcW w:w="1288" w:type="dxa"/>
          </w:tcPr>
          <w:p w14:paraId="7A1DF8EB">
            <w:pPr>
              <w:spacing w:line="440" w:lineRule="exact"/>
              <w:jc w:val="center"/>
              <w:rPr>
                <w:rFonts w:ascii="宋体" w:hAnsi="宋体"/>
                <w:color w:val="000000"/>
                <w:sz w:val="24"/>
                <w:szCs w:val="24"/>
                <w:highlight w:val="none"/>
              </w:rPr>
            </w:pPr>
          </w:p>
        </w:tc>
      </w:tr>
      <w:tr w14:paraId="6A65B6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2AF268DC">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净利润（万元）</w:t>
            </w:r>
          </w:p>
        </w:tc>
        <w:tc>
          <w:tcPr>
            <w:tcW w:w="1287" w:type="dxa"/>
          </w:tcPr>
          <w:p w14:paraId="30AD9A83">
            <w:pPr>
              <w:spacing w:line="440" w:lineRule="exact"/>
              <w:jc w:val="center"/>
              <w:rPr>
                <w:rFonts w:ascii="宋体" w:hAnsi="宋体"/>
                <w:color w:val="000000"/>
                <w:sz w:val="24"/>
                <w:szCs w:val="24"/>
                <w:highlight w:val="none"/>
              </w:rPr>
            </w:pPr>
          </w:p>
        </w:tc>
        <w:tc>
          <w:tcPr>
            <w:tcW w:w="1288" w:type="dxa"/>
          </w:tcPr>
          <w:p w14:paraId="0F0D5E39">
            <w:pPr>
              <w:spacing w:line="440" w:lineRule="exact"/>
              <w:jc w:val="center"/>
              <w:rPr>
                <w:rFonts w:ascii="宋体" w:hAnsi="宋体"/>
                <w:color w:val="000000"/>
                <w:sz w:val="24"/>
                <w:szCs w:val="24"/>
                <w:highlight w:val="none"/>
              </w:rPr>
            </w:pPr>
          </w:p>
        </w:tc>
        <w:tc>
          <w:tcPr>
            <w:tcW w:w="1288" w:type="dxa"/>
          </w:tcPr>
          <w:p w14:paraId="0EE460E4">
            <w:pPr>
              <w:spacing w:line="440" w:lineRule="exact"/>
              <w:jc w:val="center"/>
              <w:rPr>
                <w:rFonts w:ascii="宋体" w:hAnsi="宋体"/>
                <w:color w:val="000000"/>
                <w:sz w:val="24"/>
                <w:szCs w:val="24"/>
                <w:highlight w:val="none"/>
              </w:rPr>
            </w:pPr>
          </w:p>
        </w:tc>
      </w:tr>
      <w:tr w14:paraId="0A60FA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5B14B596">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未分配利润（万元）</w:t>
            </w:r>
          </w:p>
        </w:tc>
        <w:tc>
          <w:tcPr>
            <w:tcW w:w="1287" w:type="dxa"/>
          </w:tcPr>
          <w:p w14:paraId="44871F99">
            <w:pPr>
              <w:spacing w:line="440" w:lineRule="exact"/>
              <w:jc w:val="center"/>
              <w:rPr>
                <w:rFonts w:ascii="宋体" w:hAnsi="宋体"/>
                <w:color w:val="000000"/>
                <w:sz w:val="24"/>
                <w:szCs w:val="24"/>
                <w:highlight w:val="none"/>
              </w:rPr>
            </w:pPr>
          </w:p>
        </w:tc>
        <w:tc>
          <w:tcPr>
            <w:tcW w:w="1288" w:type="dxa"/>
          </w:tcPr>
          <w:p w14:paraId="0ED3FDD6">
            <w:pPr>
              <w:spacing w:line="440" w:lineRule="exact"/>
              <w:jc w:val="center"/>
              <w:rPr>
                <w:rFonts w:ascii="宋体" w:hAnsi="宋体"/>
                <w:color w:val="000000"/>
                <w:sz w:val="24"/>
                <w:szCs w:val="24"/>
                <w:highlight w:val="none"/>
              </w:rPr>
            </w:pPr>
          </w:p>
        </w:tc>
        <w:tc>
          <w:tcPr>
            <w:tcW w:w="1288" w:type="dxa"/>
          </w:tcPr>
          <w:p w14:paraId="75BDB8A1">
            <w:pPr>
              <w:spacing w:line="440" w:lineRule="exact"/>
              <w:jc w:val="center"/>
              <w:rPr>
                <w:rFonts w:ascii="宋体" w:hAnsi="宋体"/>
                <w:color w:val="000000"/>
                <w:sz w:val="24"/>
                <w:szCs w:val="24"/>
                <w:highlight w:val="none"/>
              </w:rPr>
            </w:pPr>
          </w:p>
        </w:tc>
      </w:tr>
      <w:tr w14:paraId="46E3B8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45652DB8">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营运</w:t>
            </w:r>
            <w:r>
              <w:rPr>
                <w:rFonts w:ascii="宋体" w:hAnsi="宋体" w:eastAsia="宋体"/>
                <w:color w:val="000000"/>
                <w:sz w:val="24"/>
                <w:szCs w:val="24"/>
                <w:highlight w:val="none"/>
              </w:rPr>
              <w:t>资</w:t>
            </w:r>
            <w:r>
              <w:rPr>
                <w:rFonts w:hint="eastAsia" w:ascii="宋体" w:hAnsi="宋体" w:eastAsia="宋体"/>
                <w:color w:val="000000"/>
                <w:sz w:val="24"/>
                <w:szCs w:val="24"/>
                <w:highlight w:val="none"/>
              </w:rPr>
              <w:t>金</w:t>
            </w:r>
          </w:p>
        </w:tc>
        <w:tc>
          <w:tcPr>
            <w:tcW w:w="1287" w:type="dxa"/>
          </w:tcPr>
          <w:p w14:paraId="5597CEC0">
            <w:pPr>
              <w:spacing w:line="440" w:lineRule="exact"/>
              <w:jc w:val="center"/>
              <w:rPr>
                <w:rFonts w:ascii="宋体" w:hAnsi="宋体"/>
                <w:color w:val="000000"/>
                <w:sz w:val="24"/>
                <w:szCs w:val="24"/>
                <w:highlight w:val="none"/>
              </w:rPr>
            </w:pPr>
          </w:p>
        </w:tc>
        <w:tc>
          <w:tcPr>
            <w:tcW w:w="1288" w:type="dxa"/>
          </w:tcPr>
          <w:p w14:paraId="3BE36C99">
            <w:pPr>
              <w:spacing w:line="440" w:lineRule="exact"/>
              <w:jc w:val="center"/>
              <w:rPr>
                <w:rFonts w:ascii="宋体" w:hAnsi="宋体"/>
                <w:color w:val="000000"/>
                <w:sz w:val="24"/>
                <w:szCs w:val="24"/>
                <w:highlight w:val="none"/>
              </w:rPr>
            </w:pPr>
          </w:p>
        </w:tc>
        <w:tc>
          <w:tcPr>
            <w:tcW w:w="1288" w:type="dxa"/>
          </w:tcPr>
          <w:p w14:paraId="1ECA030C">
            <w:pPr>
              <w:spacing w:line="440" w:lineRule="exact"/>
              <w:jc w:val="center"/>
              <w:rPr>
                <w:rFonts w:ascii="宋体" w:hAnsi="宋体"/>
                <w:color w:val="000000"/>
                <w:sz w:val="24"/>
                <w:szCs w:val="24"/>
                <w:highlight w:val="none"/>
              </w:rPr>
            </w:pPr>
          </w:p>
        </w:tc>
      </w:tr>
      <w:tr w14:paraId="40095D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292BE738">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（本年营业收入-上年营业收入）÷上年营业收入</w:t>
            </w:r>
          </w:p>
        </w:tc>
        <w:tc>
          <w:tcPr>
            <w:tcW w:w="1287" w:type="dxa"/>
          </w:tcPr>
          <w:p w14:paraId="14521BB3">
            <w:pPr>
              <w:spacing w:line="440" w:lineRule="exact"/>
              <w:jc w:val="center"/>
              <w:rPr>
                <w:rFonts w:ascii="宋体" w:hAnsi="宋体"/>
                <w:color w:val="000000"/>
                <w:sz w:val="24"/>
                <w:szCs w:val="24"/>
                <w:highlight w:val="none"/>
              </w:rPr>
            </w:pPr>
          </w:p>
        </w:tc>
        <w:tc>
          <w:tcPr>
            <w:tcW w:w="1288" w:type="dxa"/>
          </w:tcPr>
          <w:p w14:paraId="2CFD5907">
            <w:pPr>
              <w:spacing w:line="440" w:lineRule="exact"/>
              <w:jc w:val="center"/>
              <w:rPr>
                <w:rFonts w:ascii="宋体" w:hAnsi="宋体"/>
                <w:color w:val="000000"/>
                <w:sz w:val="24"/>
                <w:szCs w:val="24"/>
                <w:highlight w:val="none"/>
              </w:rPr>
            </w:pPr>
          </w:p>
        </w:tc>
        <w:tc>
          <w:tcPr>
            <w:tcW w:w="1288" w:type="dxa"/>
          </w:tcPr>
          <w:p w14:paraId="0E4D2176">
            <w:pPr>
              <w:spacing w:line="440" w:lineRule="exact"/>
              <w:jc w:val="center"/>
              <w:rPr>
                <w:rFonts w:ascii="宋体" w:hAnsi="宋体"/>
                <w:color w:val="000000"/>
                <w:sz w:val="24"/>
                <w:szCs w:val="24"/>
                <w:highlight w:val="none"/>
              </w:rPr>
            </w:pPr>
          </w:p>
        </w:tc>
      </w:tr>
    </w:tbl>
    <w:p w14:paraId="31D18E00">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投标人：（盖章）</w:t>
      </w:r>
    </w:p>
    <w:p w14:paraId="4DAB8C93">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264188AE">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774D9F54">
      <w:pPr>
        <w:rPr>
          <w:rFonts w:ascii="宋体" w:hAnsi="Calibri" w:eastAsia="宋体" w:cs="宋体"/>
          <w:b/>
          <w:bCs/>
          <w:color w:val="000000"/>
          <w:sz w:val="28"/>
          <w:szCs w:val="20"/>
        </w:rPr>
        <w:sectPr>
          <w:footerReference r:id="rId7" w:type="first"/>
          <w:footerReference r:id="rId6" w:type="default"/>
          <w:pgSz w:w="11906" w:h="16838"/>
          <w:pgMar w:top="1588" w:right="1418" w:bottom="1134" w:left="1418" w:header="851" w:footer="992" w:gutter="0"/>
          <w:cols w:space="720" w:num="1"/>
          <w:titlePg/>
          <w:docGrid w:type="lines" w:linePitch="312" w:charSpace="0"/>
        </w:sectPr>
      </w:pPr>
    </w:p>
    <w:p w14:paraId="153D75E7">
      <w:pPr>
        <w:pStyle w:val="4"/>
        <w:numPr>
          <w:ilvl w:val="0"/>
          <w:numId w:val="0"/>
        </w:numPr>
        <w:adjustRightInd w:val="0"/>
        <w:snapToGrid w:val="0"/>
        <w:spacing w:before="0" w:after="0" w:line="540" w:lineRule="exact"/>
        <w:jc w:val="center"/>
        <w:rPr>
          <w:rFonts w:hint="eastAsia" w:ascii="仿宋" w:hAnsi="仿宋" w:eastAsia="仿宋"/>
          <w:sz w:val="40"/>
        </w:rPr>
      </w:pPr>
      <w:r>
        <w:rPr>
          <w:rFonts w:hint="eastAsia" w:ascii="仿宋" w:hAnsi="仿宋" w:eastAsia="仿宋"/>
          <w:sz w:val="40"/>
          <w:lang w:val="en-US" w:eastAsia="zh-CN"/>
        </w:rPr>
        <w:t>商务</w:t>
      </w:r>
      <w:r>
        <w:rPr>
          <w:rFonts w:hint="eastAsia" w:ascii="仿宋" w:hAnsi="仿宋" w:eastAsia="仿宋"/>
          <w:sz w:val="40"/>
        </w:rPr>
        <w:t>要求</w:t>
      </w:r>
    </w:p>
    <w:p w14:paraId="041AF2B1"/>
    <w:p w14:paraId="6E03E88B">
      <w:pPr>
        <w:adjustRightInd w:val="0"/>
        <w:snapToGrid w:val="0"/>
        <w:spacing w:line="540" w:lineRule="exact"/>
        <w:jc w:val="center"/>
        <w:rPr>
          <w:rFonts w:hint="eastAsia" w:ascii="仿宋" w:hAnsi="仿宋" w:eastAsia="仿宋"/>
          <w:b/>
          <w:sz w:val="40"/>
          <w:szCs w:val="44"/>
        </w:rPr>
      </w:pPr>
      <w:r>
        <w:rPr>
          <w:rFonts w:hint="eastAsia" w:ascii="仿宋" w:hAnsi="仿宋" w:eastAsia="仿宋"/>
          <w:b/>
          <w:sz w:val="40"/>
          <w:szCs w:val="44"/>
          <w:lang w:val="en-US" w:eastAsia="zh-CN"/>
        </w:rPr>
        <w:t>开标一览</w:t>
      </w:r>
      <w:r>
        <w:rPr>
          <w:rFonts w:hint="eastAsia" w:ascii="仿宋" w:hAnsi="仿宋" w:eastAsia="仿宋"/>
          <w:b/>
          <w:sz w:val="40"/>
          <w:szCs w:val="44"/>
        </w:rPr>
        <w:t>表</w:t>
      </w:r>
    </w:p>
    <w:p w14:paraId="399A0CBB">
      <w:pPr>
        <w:adjustRightInd w:val="0"/>
        <w:snapToGrid w:val="0"/>
        <w:spacing w:line="540" w:lineRule="exact"/>
        <w:ind w:firstLine="480" w:firstLineChars="200"/>
        <w:jc w:val="left"/>
        <w:rPr>
          <w:rFonts w:hint="eastAsia" w:ascii="仿宋" w:hAnsi="仿宋" w:eastAsia="仿宋"/>
          <w:sz w:val="24"/>
          <w:szCs w:val="28"/>
        </w:rPr>
      </w:pPr>
      <w:r>
        <w:rPr>
          <w:rFonts w:hint="eastAsia" w:ascii="仿宋" w:hAnsi="仿宋" w:eastAsia="仿宋"/>
          <w:sz w:val="24"/>
          <w:szCs w:val="28"/>
        </w:rPr>
        <w:t>投标单位</w:t>
      </w:r>
      <w:r>
        <w:rPr>
          <w:rFonts w:ascii="仿宋" w:hAnsi="仿宋" w:eastAsia="仿宋"/>
          <w:sz w:val="24"/>
          <w:szCs w:val="28"/>
        </w:rPr>
        <w:t>(</w:t>
      </w:r>
      <w:r>
        <w:rPr>
          <w:rFonts w:hint="eastAsia" w:ascii="仿宋" w:hAnsi="仿宋" w:eastAsia="仿宋"/>
          <w:sz w:val="24"/>
          <w:szCs w:val="28"/>
        </w:rPr>
        <w:t>章</w:t>
      </w:r>
      <w:r>
        <w:rPr>
          <w:rFonts w:ascii="仿宋" w:hAnsi="仿宋" w:eastAsia="仿宋"/>
          <w:sz w:val="24"/>
          <w:szCs w:val="28"/>
        </w:rPr>
        <w:t>)</w:t>
      </w:r>
      <w:r>
        <w:rPr>
          <w:rFonts w:hint="eastAsia" w:ascii="仿宋" w:hAnsi="仿宋" w:eastAsia="仿宋"/>
          <w:sz w:val="24"/>
          <w:szCs w:val="28"/>
        </w:rPr>
        <w:t xml:space="preserve">：                                                     </w:t>
      </w:r>
    </w:p>
    <w:p w14:paraId="14D600CD">
      <w:pPr>
        <w:adjustRightInd w:val="0"/>
        <w:snapToGrid w:val="0"/>
        <w:spacing w:line="540" w:lineRule="exact"/>
        <w:ind w:firstLine="480" w:firstLineChars="200"/>
        <w:jc w:val="left"/>
        <w:rPr>
          <w:rFonts w:hint="eastAsia" w:ascii="仿宋" w:hAnsi="仿宋" w:eastAsia="仿宋"/>
          <w:sz w:val="24"/>
          <w:szCs w:val="28"/>
        </w:rPr>
      </w:pPr>
      <w:r>
        <w:rPr>
          <w:rFonts w:hint="eastAsia" w:ascii="仿宋" w:hAnsi="仿宋" w:eastAsia="仿宋"/>
          <w:sz w:val="24"/>
          <w:szCs w:val="28"/>
        </w:rPr>
        <w:t>项目名称：</w:t>
      </w:r>
      <w:r>
        <w:rPr>
          <w:rFonts w:hint="eastAsia" w:ascii="仿宋" w:hAnsi="仿宋" w:eastAsia="仿宋"/>
          <w:sz w:val="24"/>
          <w:szCs w:val="28"/>
          <w:lang w:val="en-US" w:eastAsia="zh-CN"/>
        </w:rPr>
        <w:t>科技园区加装逃生缓降索项目</w:t>
      </w:r>
    </w:p>
    <w:tbl>
      <w:tblPr>
        <w:tblStyle w:val="49"/>
        <w:tblW w:w="15250" w:type="dxa"/>
        <w:tblInd w:w="118" w:type="dxa"/>
        <w:tblLayout w:type="autofit"/>
        <w:tblCellMar>
          <w:top w:w="0" w:type="dxa"/>
          <w:left w:w="108" w:type="dxa"/>
          <w:bottom w:w="0" w:type="dxa"/>
          <w:right w:w="108" w:type="dxa"/>
        </w:tblCellMar>
      </w:tblPr>
      <w:tblGrid>
        <w:gridCol w:w="597"/>
        <w:gridCol w:w="1890"/>
        <w:gridCol w:w="598"/>
        <w:gridCol w:w="598"/>
        <w:gridCol w:w="1303"/>
        <w:gridCol w:w="1303"/>
        <w:gridCol w:w="1304"/>
        <w:gridCol w:w="599"/>
        <w:gridCol w:w="7058"/>
      </w:tblGrid>
      <w:tr w14:paraId="5747AD79">
        <w:tblPrEx>
          <w:tblCellMar>
            <w:top w:w="0" w:type="dxa"/>
            <w:left w:w="108" w:type="dxa"/>
            <w:bottom w:w="0" w:type="dxa"/>
            <w:right w:w="108" w:type="dxa"/>
          </w:tblCellMar>
        </w:tblPrEx>
        <w:trPr>
          <w:gridAfter w:val="1"/>
          <w:wAfter w:w="7049" w:type="dxa"/>
          <w:trHeight w:val="1005" w:hRule="atLeast"/>
        </w:trPr>
        <w:tc>
          <w:tcPr>
            <w:tcW w:w="597" w:type="dxa"/>
            <w:tcBorders>
              <w:top w:val="single" w:color="auto" w:sz="8" w:space="0"/>
              <w:left w:val="single" w:color="auto" w:sz="8" w:space="0"/>
              <w:bottom w:val="single" w:color="auto" w:sz="8" w:space="0"/>
              <w:right w:val="single" w:color="auto" w:sz="8" w:space="0"/>
            </w:tcBorders>
            <w:noWrap w:val="0"/>
            <w:vAlign w:val="center"/>
          </w:tcPr>
          <w:p w14:paraId="776C2D85">
            <w:pPr>
              <w:widowControl/>
              <w:jc w:val="center"/>
              <w:rPr>
                <w:rFonts w:ascii="仿宋" w:hAnsi="仿宋" w:eastAsia="仿宋" w:cs="宋体"/>
                <w:color w:val="000000"/>
                <w:kern w:val="0"/>
                <w:sz w:val="22"/>
                <w:szCs w:val="22"/>
              </w:rPr>
            </w:pPr>
            <w:r>
              <w:rPr>
                <w:rFonts w:hint="eastAsia" w:ascii="仿宋" w:hAnsi="仿宋" w:eastAsia="仿宋" w:cs="宋体"/>
                <w:color w:val="000000"/>
                <w:kern w:val="0"/>
                <w:sz w:val="22"/>
                <w:szCs w:val="22"/>
              </w:rPr>
              <w:t>序号</w:t>
            </w:r>
          </w:p>
        </w:tc>
        <w:tc>
          <w:tcPr>
            <w:tcW w:w="1888" w:type="dxa"/>
            <w:tcBorders>
              <w:top w:val="single" w:color="auto" w:sz="8" w:space="0"/>
              <w:left w:val="nil"/>
              <w:bottom w:val="single" w:color="auto" w:sz="8" w:space="0"/>
              <w:right w:val="nil"/>
            </w:tcBorders>
            <w:noWrap w:val="0"/>
            <w:vAlign w:val="center"/>
          </w:tcPr>
          <w:p w14:paraId="598C86C4">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项目名称</w:t>
            </w:r>
          </w:p>
        </w:tc>
        <w:tc>
          <w:tcPr>
            <w:tcW w:w="597" w:type="dxa"/>
            <w:tcBorders>
              <w:top w:val="single" w:color="auto" w:sz="8" w:space="0"/>
              <w:left w:val="single" w:color="auto" w:sz="8" w:space="0"/>
              <w:bottom w:val="single" w:color="auto" w:sz="8" w:space="0"/>
              <w:right w:val="single" w:color="auto" w:sz="8" w:space="0"/>
            </w:tcBorders>
            <w:noWrap w:val="0"/>
            <w:vAlign w:val="center"/>
          </w:tcPr>
          <w:p w14:paraId="6FB1428B">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单位</w:t>
            </w:r>
          </w:p>
        </w:tc>
        <w:tc>
          <w:tcPr>
            <w:tcW w:w="597" w:type="dxa"/>
            <w:tcBorders>
              <w:top w:val="single" w:color="auto" w:sz="8" w:space="0"/>
              <w:left w:val="nil"/>
              <w:bottom w:val="single" w:color="auto" w:sz="8" w:space="0"/>
              <w:right w:val="single" w:color="auto" w:sz="8" w:space="0"/>
            </w:tcBorders>
            <w:noWrap w:val="0"/>
            <w:vAlign w:val="center"/>
          </w:tcPr>
          <w:p w14:paraId="0AC5DA17">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数量</w:t>
            </w:r>
          </w:p>
        </w:tc>
        <w:tc>
          <w:tcPr>
            <w:tcW w:w="1301" w:type="dxa"/>
            <w:tcBorders>
              <w:top w:val="single" w:color="auto" w:sz="8" w:space="0"/>
              <w:left w:val="nil"/>
              <w:bottom w:val="single" w:color="auto" w:sz="8" w:space="0"/>
              <w:right w:val="single" w:color="auto" w:sz="8" w:space="0"/>
            </w:tcBorders>
            <w:noWrap w:val="0"/>
            <w:vAlign w:val="center"/>
          </w:tcPr>
          <w:p w14:paraId="309C89E7">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单价（含税）</w:t>
            </w:r>
          </w:p>
        </w:tc>
        <w:tc>
          <w:tcPr>
            <w:tcW w:w="1301" w:type="dxa"/>
            <w:tcBorders>
              <w:top w:val="single" w:color="auto" w:sz="8" w:space="0"/>
              <w:left w:val="nil"/>
              <w:bottom w:val="single" w:color="auto" w:sz="8" w:space="0"/>
              <w:right w:val="single" w:color="auto" w:sz="8" w:space="0"/>
            </w:tcBorders>
            <w:noWrap w:val="0"/>
            <w:vAlign w:val="center"/>
          </w:tcPr>
          <w:p w14:paraId="28FD60BC">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单价（未税）</w:t>
            </w:r>
          </w:p>
        </w:tc>
        <w:tc>
          <w:tcPr>
            <w:tcW w:w="1302" w:type="dxa"/>
            <w:tcBorders>
              <w:top w:val="single" w:color="auto" w:sz="8" w:space="0"/>
              <w:left w:val="nil"/>
              <w:bottom w:val="single" w:color="auto" w:sz="8" w:space="0"/>
              <w:right w:val="single" w:color="auto" w:sz="8" w:space="0"/>
            </w:tcBorders>
            <w:noWrap w:val="0"/>
            <w:vAlign w:val="center"/>
          </w:tcPr>
          <w:p w14:paraId="54315806">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总价（含税）</w:t>
            </w:r>
          </w:p>
        </w:tc>
        <w:tc>
          <w:tcPr>
            <w:tcW w:w="598" w:type="dxa"/>
            <w:tcBorders>
              <w:top w:val="single" w:color="auto" w:sz="8" w:space="0"/>
              <w:left w:val="nil"/>
              <w:bottom w:val="single" w:color="auto" w:sz="8" w:space="0"/>
              <w:right w:val="single" w:color="auto" w:sz="8" w:space="0"/>
            </w:tcBorders>
            <w:noWrap w:val="0"/>
            <w:vAlign w:val="center"/>
          </w:tcPr>
          <w:p w14:paraId="42A35FCA">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备注</w:t>
            </w:r>
          </w:p>
        </w:tc>
      </w:tr>
      <w:tr w14:paraId="08FAA28F">
        <w:tblPrEx>
          <w:tblCellMar>
            <w:top w:w="0" w:type="dxa"/>
            <w:left w:w="108" w:type="dxa"/>
            <w:bottom w:w="0" w:type="dxa"/>
            <w:right w:w="108" w:type="dxa"/>
          </w:tblCellMar>
        </w:tblPrEx>
        <w:trPr>
          <w:gridAfter w:val="1"/>
          <w:wAfter w:w="7049" w:type="dxa"/>
          <w:trHeight w:val="660" w:hRule="atLeast"/>
        </w:trPr>
        <w:tc>
          <w:tcPr>
            <w:tcW w:w="597" w:type="dxa"/>
            <w:vMerge w:val="restart"/>
            <w:tcBorders>
              <w:top w:val="nil"/>
              <w:left w:val="single" w:color="auto" w:sz="8" w:space="0"/>
              <w:bottom w:val="single" w:color="000000" w:sz="8" w:space="0"/>
              <w:right w:val="single" w:color="auto" w:sz="8" w:space="0"/>
            </w:tcBorders>
            <w:noWrap w:val="0"/>
            <w:vAlign w:val="center"/>
          </w:tcPr>
          <w:p w14:paraId="4F7078C2">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1</w:t>
            </w:r>
          </w:p>
        </w:tc>
        <w:tc>
          <w:tcPr>
            <w:tcW w:w="1888" w:type="dxa"/>
            <w:vMerge w:val="restart"/>
            <w:tcBorders>
              <w:top w:val="nil"/>
              <w:left w:val="single" w:color="auto" w:sz="8" w:space="0"/>
              <w:bottom w:val="single" w:color="000000" w:sz="8" w:space="0"/>
              <w:right w:val="single" w:color="auto" w:sz="8" w:space="0"/>
            </w:tcBorders>
            <w:noWrap w:val="0"/>
            <w:vAlign w:val="center"/>
          </w:tcPr>
          <w:p w14:paraId="380418BB">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lang w:val="en-US" w:eastAsia="zh-CN"/>
              </w:rPr>
              <w:t>科技园区加装逃生缓降索项目</w:t>
            </w:r>
          </w:p>
        </w:tc>
        <w:tc>
          <w:tcPr>
            <w:tcW w:w="597" w:type="dxa"/>
            <w:vMerge w:val="restart"/>
            <w:tcBorders>
              <w:top w:val="nil"/>
              <w:left w:val="single" w:color="auto" w:sz="8" w:space="0"/>
              <w:bottom w:val="single" w:color="000000" w:sz="8" w:space="0"/>
              <w:right w:val="single" w:color="auto" w:sz="8" w:space="0"/>
            </w:tcBorders>
            <w:noWrap w:val="0"/>
            <w:vAlign w:val="center"/>
          </w:tcPr>
          <w:p w14:paraId="34F26392">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项</w:t>
            </w:r>
          </w:p>
        </w:tc>
        <w:tc>
          <w:tcPr>
            <w:tcW w:w="597" w:type="dxa"/>
            <w:vMerge w:val="restart"/>
            <w:tcBorders>
              <w:top w:val="nil"/>
              <w:left w:val="single" w:color="auto" w:sz="8" w:space="0"/>
              <w:bottom w:val="single" w:color="000000" w:sz="8" w:space="0"/>
              <w:right w:val="single" w:color="auto" w:sz="8" w:space="0"/>
            </w:tcBorders>
            <w:noWrap w:val="0"/>
            <w:vAlign w:val="center"/>
          </w:tcPr>
          <w:p w14:paraId="57993FCF">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1</w:t>
            </w:r>
          </w:p>
        </w:tc>
        <w:tc>
          <w:tcPr>
            <w:tcW w:w="1301" w:type="dxa"/>
            <w:vMerge w:val="restart"/>
            <w:tcBorders>
              <w:top w:val="nil"/>
              <w:left w:val="single" w:color="auto" w:sz="8" w:space="0"/>
              <w:bottom w:val="single" w:color="000000" w:sz="8" w:space="0"/>
              <w:right w:val="single" w:color="auto" w:sz="8" w:space="0"/>
            </w:tcBorders>
            <w:noWrap w:val="0"/>
            <w:vAlign w:val="center"/>
          </w:tcPr>
          <w:p w14:paraId="235B70CB">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　</w:t>
            </w:r>
          </w:p>
        </w:tc>
        <w:tc>
          <w:tcPr>
            <w:tcW w:w="1301" w:type="dxa"/>
            <w:vMerge w:val="restart"/>
            <w:tcBorders>
              <w:top w:val="nil"/>
              <w:left w:val="single" w:color="auto" w:sz="8" w:space="0"/>
              <w:bottom w:val="single" w:color="000000" w:sz="8" w:space="0"/>
              <w:right w:val="single" w:color="auto" w:sz="8" w:space="0"/>
            </w:tcBorders>
            <w:noWrap w:val="0"/>
            <w:vAlign w:val="center"/>
          </w:tcPr>
          <w:p w14:paraId="2351DC13">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　</w:t>
            </w:r>
          </w:p>
        </w:tc>
        <w:tc>
          <w:tcPr>
            <w:tcW w:w="1302" w:type="dxa"/>
            <w:vMerge w:val="restart"/>
            <w:tcBorders>
              <w:top w:val="nil"/>
              <w:left w:val="single" w:color="auto" w:sz="8" w:space="0"/>
              <w:bottom w:val="single" w:color="000000" w:sz="8" w:space="0"/>
              <w:right w:val="single" w:color="auto" w:sz="8" w:space="0"/>
            </w:tcBorders>
            <w:noWrap w:val="0"/>
            <w:vAlign w:val="center"/>
          </w:tcPr>
          <w:p w14:paraId="755AC6D4">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　</w:t>
            </w:r>
          </w:p>
        </w:tc>
        <w:tc>
          <w:tcPr>
            <w:tcW w:w="598" w:type="dxa"/>
            <w:vMerge w:val="restart"/>
            <w:tcBorders>
              <w:top w:val="nil"/>
              <w:left w:val="single" w:color="auto" w:sz="8" w:space="0"/>
              <w:right w:val="single" w:color="auto" w:sz="8" w:space="0"/>
            </w:tcBorders>
            <w:noWrap w:val="0"/>
            <w:vAlign w:val="center"/>
          </w:tcPr>
          <w:p w14:paraId="4370E1AA">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　</w:t>
            </w:r>
          </w:p>
        </w:tc>
      </w:tr>
      <w:tr w14:paraId="5E57442B">
        <w:tblPrEx>
          <w:tblCellMar>
            <w:top w:w="0" w:type="dxa"/>
            <w:left w:w="108" w:type="dxa"/>
            <w:bottom w:w="0" w:type="dxa"/>
            <w:right w:w="108" w:type="dxa"/>
          </w:tblCellMar>
        </w:tblPrEx>
        <w:trPr>
          <w:trHeight w:val="675" w:hRule="atLeast"/>
        </w:trPr>
        <w:tc>
          <w:tcPr>
            <w:tcW w:w="597" w:type="dxa"/>
            <w:vMerge w:val="continue"/>
            <w:tcBorders>
              <w:top w:val="nil"/>
              <w:left w:val="single" w:color="auto" w:sz="8" w:space="0"/>
              <w:bottom w:val="single" w:color="000000" w:sz="8" w:space="0"/>
              <w:right w:val="single" w:color="auto" w:sz="8" w:space="0"/>
            </w:tcBorders>
            <w:noWrap w:val="0"/>
            <w:vAlign w:val="center"/>
          </w:tcPr>
          <w:p w14:paraId="6E2F0F9A">
            <w:pPr>
              <w:widowControl/>
              <w:jc w:val="left"/>
              <w:rPr>
                <w:rFonts w:ascii="仿宋" w:hAnsi="仿宋" w:eastAsia="仿宋" w:cs="宋体"/>
                <w:color w:val="000000"/>
                <w:kern w:val="0"/>
                <w:sz w:val="22"/>
                <w:szCs w:val="22"/>
              </w:rPr>
            </w:pPr>
          </w:p>
        </w:tc>
        <w:tc>
          <w:tcPr>
            <w:tcW w:w="1888" w:type="dxa"/>
            <w:vMerge w:val="continue"/>
            <w:tcBorders>
              <w:top w:val="nil"/>
              <w:left w:val="single" w:color="auto" w:sz="8" w:space="0"/>
              <w:bottom w:val="single" w:color="000000" w:sz="8" w:space="0"/>
              <w:right w:val="single" w:color="auto" w:sz="8" w:space="0"/>
            </w:tcBorders>
            <w:noWrap w:val="0"/>
            <w:vAlign w:val="center"/>
          </w:tcPr>
          <w:p w14:paraId="57AAF2C6">
            <w:pPr>
              <w:widowControl/>
              <w:jc w:val="left"/>
              <w:rPr>
                <w:rFonts w:ascii="仿宋" w:hAnsi="仿宋" w:eastAsia="仿宋" w:cs="宋体"/>
                <w:color w:val="000000"/>
                <w:kern w:val="0"/>
                <w:sz w:val="22"/>
                <w:szCs w:val="22"/>
              </w:rPr>
            </w:pPr>
          </w:p>
        </w:tc>
        <w:tc>
          <w:tcPr>
            <w:tcW w:w="597" w:type="dxa"/>
            <w:vMerge w:val="continue"/>
            <w:tcBorders>
              <w:top w:val="nil"/>
              <w:left w:val="single" w:color="auto" w:sz="8" w:space="0"/>
              <w:bottom w:val="single" w:color="000000" w:sz="8" w:space="0"/>
              <w:right w:val="single" w:color="auto" w:sz="8" w:space="0"/>
            </w:tcBorders>
            <w:noWrap w:val="0"/>
            <w:vAlign w:val="center"/>
          </w:tcPr>
          <w:p w14:paraId="475102A8">
            <w:pPr>
              <w:widowControl/>
              <w:jc w:val="left"/>
              <w:rPr>
                <w:rFonts w:ascii="仿宋" w:hAnsi="仿宋" w:eastAsia="仿宋" w:cs="宋体"/>
                <w:color w:val="000000"/>
                <w:kern w:val="0"/>
                <w:sz w:val="22"/>
                <w:szCs w:val="22"/>
              </w:rPr>
            </w:pPr>
          </w:p>
        </w:tc>
        <w:tc>
          <w:tcPr>
            <w:tcW w:w="597" w:type="dxa"/>
            <w:vMerge w:val="continue"/>
            <w:tcBorders>
              <w:top w:val="nil"/>
              <w:left w:val="single" w:color="auto" w:sz="8" w:space="0"/>
              <w:bottom w:val="single" w:color="000000" w:sz="8" w:space="0"/>
              <w:right w:val="single" w:color="auto" w:sz="8" w:space="0"/>
            </w:tcBorders>
            <w:noWrap w:val="0"/>
            <w:vAlign w:val="center"/>
          </w:tcPr>
          <w:p w14:paraId="1DC6F55D">
            <w:pPr>
              <w:widowControl/>
              <w:jc w:val="left"/>
              <w:rPr>
                <w:rFonts w:ascii="仿宋" w:hAnsi="仿宋" w:eastAsia="仿宋" w:cs="宋体"/>
                <w:color w:val="000000"/>
                <w:kern w:val="0"/>
                <w:sz w:val="22"/>
                <w:szCs w:val="22"/>
              </w:rPr>
            </w:pPr>
          </w:p>
        </w:tc>
        <w:tc>
          <w:tcPr>
            <w:tcW w:w="1301" w:type="dxa"/>
            <w:vMerge w:val="continue"/>
            <w:tcBorders>
              <w:top w:val="nil"/>
              <w:left w:val="single" w:color="auto" w:sz="8" w:space="0"/>
              <w:bottom w:val="single" w:color="000000" w:sz="8" w:space="0"/>
              <w:right w:val="single" w:color="auto" w:sz="8" w:space="0"/>
            </w:tcBorders>
            <w:noWrap w:val="0"/>
            <w:vAlign w:val="center"/>
          </w:tcPr>
          <w:p w14:paraId="521CCB40">
            <w:pPr>
              <w:widowControl/>
              <w:jc w:val="left"/>
              <w:rPr>
                <w:rFonts w:ascii="仿宋" w:hAnsi="仿宋" w:eastAsia="仿宋" w:cs="宋体"/>
                <w:color w:val="000000"/>
                <w:kern w:val="0"/>
                <w:sz w:val="22"/>
                <w:szCs w:val="22"/>
              </w:rPr>
            </w:pPr>
          </w:p>
        </w:tc>
        <w:tc>
          <w:tcPr>
            <w:tcW w:w="1301" w:type="dxa"/>
            <w:vMerge w:val="continue"/>
            <w:tcBorders>
              <w:top w:val="nil"/>
              <w:left w:val="single" w:color="auto" w:sz="8" w:space="0"/>
              <w:bottom w:val="single" w:color="000000" w:sz="8" w:space="0"/>
              <w:right w:val="single" w:color="auto" w:sz="8" w:space="0"/>
            </w:tcBorders>
            <w:noWrap w:val="0"/>
            <w:vAlign w:val="center"/>
          </w:tcPr>
          <w:p w14:paraId="6B476EF2">
            <w:pPr>
              <w:widowControl/>
              <w:jc w:val="left"/>
              <w:rPr>
                <w:rFonts w:ascii="仿宋" w:hAnsi="仿宋" w:eastAsia="仿宋" w:cs="宋体"/>
                <w:color w:val="000000"/>
                <w:kern w:val="0"/>
                <w:sz w:val="22"/>
                <w:szCs w:val="22"/>
              </w:rPr>
            </w:pPr>
          </w:p>
        </w:tc>
        <w:tc>
          <w:tcPr>
            <w:tcW w:w="1302" w:type="dxa"/>
            <w:vMerge w:val="continue"/>
            <w:tcBorders>
              <w:top w:val="nil"/>
              <w:left w:val="single" w:color="auto" w:sz="8" w:space="0"/>
              <w:bottom w:val="single" w:color="000000" w:sz="8" w:space="0"/>
              <w:right w:val="single" w:color="auto" w:sz="8" w:space="0"/>
            </w:tcBorders>
            <w:noWrap w:val="0"/>
            <w:vAlign w:val="center"/>
          </w:tcPr>
          <w:p w14:paraId="09B39280">
            <w:pPr>
              <w:widowControl/>
              <w:jc w:val="left"/>
              <w:rPr>
                <w:rFonts w:ascii="仿宋" w:hAnsi="仿宋" w:eastAsia="仿宋" w:cs="宋体"/>
                <w:color w:val="000000"/>
                <w:kern w:val="0"/>
                <w:sz w:val="22"/>
                <w:szCs w:val="22"/>
              </w:rPr>
            </w:pPr>
          </w:p>
        </w:tc>
        <w:tc>
          <w:tcPr>
            <w:tcW w:w="598" w:type="dxa"/>
            <w:vMerge w:val="continue"/>
            <w:tcBorders>
              <w:left w:val="single" w:color="auto" w:sz="8" w:space="0"/>
              <w:bottom w:val="single" w:color="000000" w:sz="8" w:space="0"/>
              <w:right w:val="single" w:color="auto" w:sz="8" w:space="0"/>
            </w:tcBorders>
            <w:noWrap w:val="0"/>
            <w:vAlign w:val="center"/>
          </w:tcPr>
          <w:p w14:paraId="4072A108">
            <w:pPr>
              <w:widowControl/>
              <w:jc w:val="left"/>
              <w:rPr>
                <w:rFonts w:ascii="仿宋" w:hAnsi="仿宋" w:eastAsia="仿宋" w:cs="宋体"/>
                <w:color w:val="000000"/>
                <w:kern w:val="0"/>
                <w:sz w:val="22"/>
                <w:szCs w:val="22"/>
              </w:rPr>
            </w:pPr>
          </w:p>
        </w:tc>
        <w:tc>
          <w:tcPr>
            <w:tcW w:w="223" w:type="dxa"/>
            <w:tcBorders>
              <w:top w:val="nil"/>
              <w:left w:val="nil"/>
              <w:bottom w:val="nil"/>
              <w:right w:val="nil"/>
            </w:tcBorders>
            <w:noWrap/>
            <w:vAlign w:val="bottom"/>
          </w:tcPr>
          <w:p w14:paraId="2C8E0C16">
            <w:pPr>
              <w:widowControl/>
              <w:jc w:val="center"/>
              <w:rPr>
                <w:rFonts w:hint="eastAsia" w:ascii="仿宋" w:hAnsi="仿宋" w:eastAsia="仿宋" w:cs="宋体"/>
                <w:color w:val="000000"/>
                <w:kern w:val="0"/>
                <w:sz w:val="22"/>
                <w:szCs w:val="22"/>
              </w:rPr>
            </w:pPr>
          </w:p>
        </w:tc>
      </w:tr>
      <w:tr w14:paraId="5930CB01">
        <w:tblPrEx>
          <w:tblCellMar>
            <w:top w:w="0" w:type="dxa"/>
            <w:left w:w="108" w:type="dxa"/>
            <w:bottom w:w="0" w:type="dxa"/>
            <w:right w:w="108" w:type="dxa"/>
          </w:tblCellMar>
        </w:tblPrEx>
        <w:trPr>
          <w:trHeight w:val="923" w:hRule="atLeast"/>
        </w:trPr>
        <w:tc>
          <w:tcPr>
            <w:tcW w:w="8181" w:type="dxa"/>
            <w:gridSpan w:val="8"/>
            <w:tcBorders>
              <w:top w:val="single" w:color="auto" w:sz="8" w:space="0"/>
              <w:left w:val="single" w:color="auto" w:sz="8" w:space="0"/>
              <w:bottom w:val="single" w:color="auto" w:sz="8" w:space="0"/>
              <w:right w:val="single" w:color="000000" w:sz="8" w:space="0"/>
            </w:tcBorders>
            <w:noWrap w:val="0"/>
            <w:vAlign w:val="center"/>
          </w:tcPr>
          <w:p w14:paraId="61827E55">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合  计：               （含税）</w:t>
            </w:r>
          </w:p>
        </w:tc>
        <w:tc>
          <w:tcPr>
            <w:tcW w:w="223" w:type="dxa"/>
            <w:noWrap w:val="0"/>
            <w:vAlign w:val="center"/>
          </w:tcPr>
          <w:p w14:paraId="5228EB84">
            <w:pPr>
              <w:widowControl/>
              <w:jc w:val="left"/>
              <w:rPr>
                <w:rFonts w:eastAsia="Times New Roman"/>
                <w:kern w:val="0"/>
                <w:sz w:val="20"/>
                <w:szCs w:val="20"/>
              </w:rPr>
            </w:pPr>
          </w:p>
        </w:tc>
      </w:tr>
      <w:tr w14:paraId="3A892C65">
        <w:tblPrEx>
          <w:tblCellMar>
            <w:top w:w="0" w:type="dxa"/>
            <w:left w:w="108" w:type="dxa"/>
            <w:bottom w:w="0" w:type="dxa"/>
            <w:right w:w="108" w:type="dxa"/>
          </w:tblCellMar>
        </w:tblPrEx>
        <w:trPr>
          <w:trHeight w:val="932" w:hRule="atLeast"/>
        </w:trPr>
        <w:tc>
          <w:tcPr>
            <w:tcW w:w="8181" w:type="dxa"/>
            <w:gridSpan w:val="8"/>
            <w:tcBorders>
              <w:top w:val="single" w:color="auto" w:sz="8" w:space="0"/>
              <w:left w:val="single" w:color="auto" w:sz="8" w:space="0"/>
              <w:bottom w:val="single" w:color="auto" w:sz="8" w:space="0"/>
              <w:right w:val="single" w:color="000000" w:sz="8" w:space="0"/>
            </w:tcBorders>
            <w:noWrap w:val="0"/>
            <w:vAlign w:val="center"/>
          </w:tcPr>
          <w:p w14:paraId="0C7E0624">
            <w:pPr>
              <w:widowControl/>
              <w:jc w:val="left"/>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投标总价(大写)：</w:t>
            </w:r>
          </w:p>
        </w:tc>
        <w:tc>
          <w:tcPr>
            <w:tcW w:w="223" w:type="dxa"/>
            <w:noWrap w:val="0"/>
            <w:vAlign w:val="center"/>
          </w:tcPr>
          <w:p w14:paraId="72FC3A9C">
            <w:pPr>
              <w:widowControl/>
              <w:jc w:val="left"/>
              <w:rPr>
                <w:rFonts w:eastAsia="Times New Roman"/>
                <w:kern w:val="0"/>
                <w:sz w:val="20"/>
                <w:szCs w:val="20"/>
              </w:rPr>
            </w:pPr>
          </w:p>
        </w:tc>
      </w:tr>
    </w:tbl>
    <w:p w14:paraId="17BE2950"/>
    <w:p w14:paraId="3113CA73">
      <w:pPr>
        <w:rPr>
          <w:rFonts w:hint="eastAsia" w:ascii="仿宋" w:hAnsi="仿宋" w:eastAsia="仿宋"/>
          <w:b/>
          <w:sz w:val="40"/>
          <w:szCs w:val="44"/>
          <w:lang w:val="en-US" w:eastAsia="zh-CN"/>
        </w:rPr>
      </w:pPr>
      <w:r>
        <w:rPr>
          <w:rFonts w:hint="eastAsia" w:ascii="仿宋" w:hAnsi="仿宋" w:eastAsia="仿宋"/>
          <w:b/>
          <w:sz w:val="40"/>
          <w:szCs w:val="44"/>
          <w:lang w:val="en-US" w:eastAsia="zh-CN"/>
        </w:rPr>
        <w:br w:type="page"/>
      </w:r>
    </w:p>
    <w:p w14:paraId="1149FA79">
      <w:pPr>
        <w:adjustRightInd w:val="0"/>
        <w:snapToGrid w:val="0"/>
        <w:spacing w:line="540" w:lineRule="exact"/>
        <w:jc w:val="center"/>
        <w:rPr>
          <w:rFonts w:hint="eastAsia" w:ascii="仿宋" w:hAnsi="仿宋" w:eastAsia="仿宋"/>
          <w:b/>
          <w:sz w:val="40"/>
          <w:szCs w:val="44"/>
          <w:lang w:val="en-US" w:eastAsia="zh-CN"/>
        </w:rPr>
      </w:pPr>
      <w:r>
        <w:rPr>
          <w:rFonts w:hint="eastAsia" w:ascii="仿宋" w:hAnsi="仿宋" w:eastAsia="仿宋"/>
          <w:b/>
          <w:sz w:val="40"/>
          <w:szCs w:val="44"/>
          <w:lang w:val="en-US" w:eastAsia="zh-CN"/>
        </w:rPr>
        <w:t>报价明细表</w:t>
      </w:r>
    </w:p>
    <w:tbl>
      <w:tblPr>
        <w:tblStyle w:val="49"/>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576"/>
        <w:gridCol w:w="1477"/>
        <w:gridCol w:w="1974"/>
        <w:gridCol w:w="756"/>
        <w:gridCol w:w="756"/>
        <w:gridCol w:w="576"/>
        <w:gridCol w:w="1093"/>
        <w:gridCol w:w="1070"/>
        <w:gridCol w:w="1008"/>
      </w:tblGrid>
      <w:tr w14:paraId="36A1D55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60" w:hRule="atLeast"/>
        </w:trPr>
        <w:tc>
          <w:tcPr>
            <w:tcW w:w="3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45C4B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序号</w:t>
            </w:r>
          </w:p>
        </w:tc>
        <w:tc>
          <w:tcPr>
            <w:tcW w:w="7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74683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名称</w:t>
            </w:r>
          </w:p>
        </w:tc>
        <w:tc>
          <w:tcPr>
            <w:tcW w:w="10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12B08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规格型号</w:t>
            </w:r>
          </w:p>
        </w:tc>
        <w:tc>
          <w:tcPr>
            <w:tcW w:w="4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C433B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品牌</w:t>
            </w:r>
          </w:p>
        </w:tc>
        <w:tc>
          <w:tcPr>
            <w:tcW w:w="4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C0F93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单位</w:t>
            </w:r>
          </w:p>
        </w:tc>
        <w:tc>
          <w:tcPr>
            <w:tcW w:w="3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C604B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数量</w:t>
            </w:r>
          </w:p>
        </w:tc>
        <w:tc>
          <w:tcPr>
            <w:tcW w:w="5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69F90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单价（未税）</w:t>
            </w:r>
          </w:p>
        </w:tc>
        <w:tc>
          <w:tcPr>
            <w:tcW w:w="5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79376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合计（未税）</w:t>
            </w:r>
          </w:p>
        </w:tc>
        <w:tc>
          <w:tcPr>
            <w:tcW w:w="5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976BB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合计（含税）</w:t>
            </w:r>
          </w:p>
        </w:tc>
      </w:tr>
      <w:tr w14:paraId="54E8828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0" w:hRule="atLeast"/>
        </w:trPr>
        <w:tc>
          <w:tcPr>
            <w:tcW w:w="3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30842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7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016BD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高楼逃生缓降器</w:t>
            </w:r>
          </w:p>
        </w:tc>
        <w:tc>
          <w:tcPr>
            <w:tcW w:w="10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C7D2C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固定往返式，高强度复合钢丝绳27楼115米，下降速度</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0.16-1.5m/s，承重35kg-150kg</w:t>
            </w:r>
          </w:p>
        </w:tc>
        <w:tc>
          <w:tcPr>
            <w:tcW w:w="4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A5BB1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永吉安</w:t>
            </w:r>
          </w:p>
        </w:tc>
        <w:tc>
          <w:tcPr>
            <w:tcW w:w="4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BA061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3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0D9A5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5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58DF07">
            <w:pPr>
              <w:jc w:val="center"/>
              <w:rPr>
                <w:rFonts w:hint="eastAsia" w:ascii="宋体" w:hAnsi="宋体" w:eastAsia="宋体" w:cs="宋体"/>
                <w:i w:val="0"/>
                <w:iCs w:val="0"/>
                <w:color w:val="000000"/>
                <w:sz w:val="22"/>
                <w:szCs w:val="22"/>
                <w:u w:val="none"/>
              </w:rPr>
            </w:pPr>
          </w:p>
        </w:tc>
        <w:tc>
          <w:tcPr>
            <w:tcW w:w="5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C1924B">
            <w:pPr>
              <w:jc w:val="center"/>
              <w:rPr>
                <w:rFonts w:hint="eastAsia" w:ascii="宋体" w:hAnsi="宋体" w:eastAsia="宋体" w:cs="宋体"/>
                <w:i w:val="0"/>
                <w:iCs w:val="0"/>
                <w:color w:val="000000"/>
                <w:sz w:val="22"/>
                <w:szCs w:val="22"/>
                <w:u w:val="none"/>
              </w:rPr>
            </w:pPr>
          </w:p>
        </w:tc>
        <w:tc>
          <w:tcPr>
            <w:tcW w:w="54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75813B">
            <w:pPr>
              <w:jc w:val="center"/>
              <w:rPr>
                <w:rFonts w:hint="eastAsia" w:ascii="宋体" w:hAnsi="宋体" w:eastAsia="宋体" w:cs="宋体"/>
                <w:i w:val="0"/>
                <w:iCs w:val="0"/>
                <w:color w:val="000000"/>
                <w:sz w:val="22"/>
                <w:szCs w:val="22"/>
                <w:u w:val="none"/>
              </w:rPr>
            </w:pPr>
          </w:p>
        </w:tc>
      </w:tr>
      <w:tr w14:paraId="0637BF3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0" w:hRule="atLeast"/>
        </w:trPr>
        <w:tc>
          <w:tcPr>
            <w:tcW w:w="3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79201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7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E1B19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高楼逃生缓降器</w:t>
            </w:r>
          </w:p>
        </w:tc>
        <w:tc>
          <w:tcPr>
            <w:tcW w:w="10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C8B9D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固定往返式，高强度复合钢丝绳12楼55米，下降速度</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0.16-1.5m/s，承重35kg-150kg</w:t>
            </w:r>
          </w:p>
        </w:tc>
        <w:tc>
          <w:tcPr>
            <w:tcW w:w="4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0E019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永吉安</w:t>
            </w:r>
          </w:p>
        </w:tc>
        <w:tc>
          <w:tcPr>
            <w:tcW w:w="4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76802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3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3A14E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5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483116">
            <w:pPr>
              <w:jc w:val="center"/>
              <w:rPr>
                <w:rFonts w:hint="eastAsia" w:ascii="宋体" w:hAnsi="宋体" w:eastAsia="宋体" w:cs="宋体"/>
                <w:i w:val="0"/>
                <w:iCs w:val="0"/>
                <w:color w:val="000000"/>
                <w:sz w:val="22"/>
                <w:szCs w:val="22"/>
                <w:u w:val="none"/>
              </w:rPr>
            </w:pPr>
          </w:p>
        </w:tc>
        <w:tc>
          <w:tcPr>
            <w:tcW w:w="5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DB1CE1">
            <w:pPr>
              <w:jc w:val="center"/>
              <w:rPr>
                <w:rFonts w:hint="eastAsia" w:ascii="宋体" w:hAnsi="宋体" w:eastAsia="宋体" w:cs="宋体"/>
                <w:i w:val="0"/>
                <w:iCs w:val="0"/>
                <w:color w:val="000000"/>
                <w:sz w:val="22"/>
                <w:szCs w:val="22"/>
                <w:u w:val="none"/>
              </w:rPr>
            </w:pPr>
          </w:p>
        </w:tc>
        <w:tc>
          <w:tcPr>
            <w:tcW w:w="54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AA3494">
            <w:pPr>
              <w:jc w:val="center"/>
              <w:rPr>
                <w:rFonts w:hint="eastAsia" w:ascii="宋体" w:hAnsi="宋体" w:eastAsia="宋体" w:cs="宋体"/>
                <w:i w:val="0"/>
                <w:iCs w:val="0"/>
                <w:color w:val="000000"/>
                <w:sz w:val="22"/>
                <w:szCs w:val="22"/>
                <w:u w:val="none"/>
              </w:rPr>
            </w:pPr>
          </w:p>
        </w:tc>
      </w:tr>
      <w:tr w14:paraId="6EF5D79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0" w:hRule="atLeast"/>
        </w:trPr>
        <w:tc>
          <w:tcPr>
            <w:tcW w:w="3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444E8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7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DC889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高楼逃生缓降器</w:t>
            </w:r>
          </w:p>
        </w:tc>
        <w:tc>
          <w:tcPr>
            <w:tcW w:w="10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A55BE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固定往返式，高强度复合钢丝绳4楼20米，下降速度</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0.16-1.5m/s，承重35kg-150kg</w:t>
            </w:r>
          </w:p>
        </w:tc>
        <w:tc>
          <w:tcPr>
            <w:tcW w:w="4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0D311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永吉安</w:t>
            </w:r>
          </w:p>
        </w:tc>
        <w:tc>
          <w:tcPr>
            <w:tcW w:w="4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9F367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3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D1EFD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5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3F7B22">
            <w:pPr>
              <w:jc w:val="center"/>
              <w:rPr>
                <w:rFonts w:hint="eastAsia" w:ascii="宋体" w:hAnsi="宋体" w:eastAsia="宋体" w:cs="宋体"/>
                <w:i w:val="0"/>
                <w:iCs w:val="0"/>
                <w:color w:val="000000"/>
                <w:sz w:val="22"/>
                <w:szCs w:val="22"/>
                <w:u w:val="none"/>
              </w:rPr>
            </w:pPr>
          </w:p>
        </w:tc>
        <w:tc>
          <w:tcPr>
            <w:tcW w:w="5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859E12">
            <w:pPr>
              <w:jc w:val="center"/>
              <w:rPr>
                <w:rFonts w:hint="eastAsia" w:ascii="宋体" w:hAnsi="宋体" w:eastAsia="宋体" w:cs="宋体"/>
                <w:i w:val="0"/>
                <w:iCs w:val="0"/>
                <w:color w:val="000000"/>
                <w:sz w:val="22"/>
                <w:szCs w:val="22"/>
                <w:u w:val="none"/>
              </w:rPr>
            </w:pPr>
          </w:p>
        </w:tc>
        <w:tc>
          <w:tcPr>
            <w:tcW w:w="54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BA860B">
            <w:pPr>
              <w:jc w:val="center"/>
              <w:rPr>
                <w:rFonts w:hint="eastAsia" w:ascii="宋体" w:hAnsi="宋体" w:eastAsia="宋体" w:cs="宋体"/>
                <w:i w:val="0"/>
                <w:iCs w:val="0"/>
                <w:color w:val="000000"/>
                <w:sz w:val="22"/>
                <w:szCs w:val="22"/>
                <w:u w:val="none"/>
              </w:rPr>
            </w:pPr>
          </w:p>
        </w:tc>
      </w:tr>
      <w:tr w14:paraId="3877CE5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3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DF899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7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B727B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高楼逃生缓降器</w:t>
            </w:r>
          </w:p>
        </w:tc>
        <w:tc>
          <w:tcPr>
            <w:tcW w:w="10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3FC50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固定往返式，高强度复合钢丝绳5楼25米，下降速度</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0.16-1.5m/s，承重35kg-150kg</w:t>
            </w:r>
          </w:p>
        </w:tc>
        <w:tc>
          <w:tcPr>
            <w:tcW w:w="4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CD1EF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永吉安</w:t>
            </w:r>
          </w:p>
        </w:tc>
        <w:tc>
          <w:tcPr>
            <w:tcW w:w="4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DD7A6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3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401A4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5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0869E9">
            <w:pPr>
              <w:jc w:val="center"/>
              <w:rPr>
                <w:rFonts w:hint="eastAsia" w:ascii="宋体" w:hAnsi="宋体" w:eastAsia="宋体" w:cs="宋体"/>
                <w:i w:val="0"/>
                <w:iCs w:val="0"/>
                <w:color w:val="000000"/>
                <w:sz w:val="22"/>
                <w:szCs w:val="22"/>
                <w:u w:val="none"/>
              </w:rPr>
            </w:pPr>
          </w:p>
        </w:tc>
        <w:tc>
          <w:tcPr>
            <w:tcW w:w="5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028531">
            <w:pPr>
              <w:jc w:val="center"/>
              <w:rPr>
                <w:rFonts w:hint="eastAsia" w:ascii="宋体" w:hAnsi="宋体" w:eastAsia="宋体" w:cs="宋体"/>
                <w:i w:val="0"/>
                <w:iCs w:val="0"/>
                <w:color w:val="000000"/>
                <w:sz w:val="22"/>
                <w:szCs w:val="22"/>
                <w:u w:val="none"/>
              </w:rPr>
            </w:pPr>
          </w:p>
        </w:tc>
        <w:tc>
          <w:tcPr>
            <w:tcW w:w="54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E3A75E">
            <w:pPr>
              <w:jc w:val="center"/>
              <w:rPr>
                <w:rFonts w:hint="eastAsia" w:ascii="宋体" w:hAnsi="宋体" w:eastAsia="宋体" w:cs="宋体"/>
                <w:i w:val="0"/>
                <w:iCs w:val="0"/>
                <w:color w:val="000000"/>
                <w:sz w:val="22"/>
                <w:szCs w:val="22"/>
                <w:u w:val="none"/>
              </w:rPr>
            </w:pPr>
          </w:p>
        </w:tc>
      </w:tr>
      <w:tr w14:paraId="3059B30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3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9C985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c>
          <w:tcPr>
            <w:tcW w:w="7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DCA0C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高楼逃生缓降器</w:t>
            </w:r>
          </w:p>
        </w:tc>
        <w:tc>
          <w:tcPr>
            <w:tcW w:w="10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166CE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固定往返式，高强度复合钢丝绳6楼30米，下降速度</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0.16-1.5m/s，承重35kg-150kg</w:t>
            </w:r>
          </w:p>
        </w:tc>
        <w:tc>
          <w:tcPr>
            <w:tcW w:w="4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BF348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永吉安</w:t>
            </w:r>
          </w:p>
        </w:tc>
        <w:tc>
          <w:tcPr>
            <w:tcW w:w="4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FF009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3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B6EB1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5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F129C3">
            <w:pPr>
              <w:jc w:val="center"/>
              <w:rPr>
                <w:rFonts w:hint="eastAsia" w:ascii="宋体" w:hAnsi="宋体" w:eastAsia="宋体" w:cs="宋体"/>
                <w:i w:val="0"/>
                <w:iCs w:val="0"/>
                <w:color w:val="000000"/>
                <w:sz w:val="22"/>
                <w:szCs w:val="22"/>
                <w:u w:val="none"/>
              </w:rPr>
            </w:pPr>
          </w:p>
        </w:tc>
        <w:tc>
          <w:tcPr>
            <w:tcW w:w="5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FAAE63">
            <w:pPr>
              <w:jc w:val="center"/>
              <w:rPr>
                <w:rFonts w:hint="eastAsia" w:ascii="宋体" w:hAnsi="宋体" w:eastAsia="宋体" w:cs="宋体"/>
                <w:i w:val="0"/>
                <w:iCs w:val="0"/>
                <w:color w:val="000000"/>
                <w:sz w:val="22"/>
                <w:szCs w:val="22"/>
                <w:u w:val="none"/>
              </w:rPr>
            </w:pPr>
          </w:p>
        </w:tc>
        <w:tc>
          <w:tcPr>
            <w:tcW w:w="54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DF9291">
            <w:pPr>
              <w:jc w:val="center"/>
              <w:rPr>
                <w:rFonts w:hint="eastAsia" w:ascii="宋体" w:hAnsi="宋体" w:eastAsia="宋体" w:cs="宋体"/>
                <w:i w:val="0"/>
                <w:iCs w:val="0"/>
                <w:color w:val="000000"/>
                <w:sz w:val="22"/>
                <w:szCs w:val="22"/>
                <w:u w:val="none"/>
              </w:rPr>
            </w:pPr>
          </w:p>
        </w:tc>
      </w:tr>
      <w:tr w14:paraId="23F3B6E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3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5437D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w:t>
            </w:r>
          </w:p>
        </w:tc>
        <w:tc>
          <w:tcPr>
            <w:tcW w:w="7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41506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高楼逃生缓降器</w:t>
            </w:r>
          </w:p>
        </w:tc>
        <w:tc>
          <w:tcPr>
            <w:tcW w:w="10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C52EB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固定往返式，高强度复合钢丝绳7楼30米，下降速度</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0.16-1.5m/s，承重35kg-150kg</w:t>
            </w:r>
          </w:p>
        </w:tc>
        <w:tc>
          <w:tcPr>
            <w:tcW w:w="4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9B183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永吉安</w:t>
            </w:r>
          </w:p>
        </w:tc>
        <w:tc>
          <w:tcPr>
            <w:tcW w:w="4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63B15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3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DDEA0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5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58B5B9">
            <w:pPr>
              <w:jc w:val="center"/>
              <w:rPr>
                <w:rFonts w:hint="eastAsia" w:ascii="宋体" w:hAnsi="宋体" w:eastAsia="宋体" w:cs="宋体"/>
                <w:i w:val="0"/>
                <w:iCs w:val="0"/>
                <w:color w:val="000000"/>
                <w:sz w:val="22"/>
                <w:szCs w:val="22"/>
                <w:u w:val="none"/>
              </w:rPr>
            </w:pPr>
          </w:p>
        </w:tc>
        <w:tc>
          <w:tcPr>
            <w:tcW w:w="5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A62E30">
            <w:pPr>
              <w:jc w:val="center"/>
              <w:rPr>
                <w:rFonts w:hint="eastAsia" w:ascii="宋体" w:hAnsi="宋体" w:eastAsia="宋体" w:cs="宋体"/>
                <w:i w:val="0"/>
                <w:iCs w:val="0"/>
                <w:color w:val="000000"/>
                <w:sz w:val="22"/>
                <w:szCs w:val="22"/>
                <w:u w:val="none"/>
              </w:rPr>
            </w:pPr>
          </w:p>
        </w:tc>
        <w:tc>
          <w:tcPr>
            <w:tcW w:w="54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81D0A5">
            <w:pPr>
              <w:jc w:val="center"/>
              <w:rPr>
                <w:rFonts w:hint="eastAsia" w:ascii="宋体" w:hAnsi="宋体" w:eastAsia="宋体" w:cs="宋体"/>
                <w:i w:val="0"/>
                <w:iCs w:val="0"/>
                <w:color w:val="000000"/>
                <w:sz w:val="22"/>
                <w:szCs w:val="22"/>
                <w:u w:val="none"/>
              </w:rPr>
            </w:pPr>
          </w:p>
        </w:tc>
      </w:tr>
      <w:tr w14:paraId="003FFD6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3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3F4D9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w:t>
            </w:r>
          </w:p>
        </w:tc>
        <w:tc>
          <w:tcPr>
            <w:tcW w:w="7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FB8CA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高楼逃生缓降器</w:t>
            </w:r>
          </w:p>
        </w:tc>
        <w:tc>
          <w:tcPr>
            <w:tcW w:w="10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03965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固定往返式，高强度复合钢丝绳8楼35米，下降速度</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0.16-1.5m/s，承重35kg-150kg</w:t>
            </w:r>
          </w:p>
        </w:tc>
        <w:tc>
          <w:tcPr>
            <w:tcW w:w="4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81539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永吉安</w:t>
            </w:r>
          </w:p>
        </w:tc>
        <w:tc>
          <w:tcPr>
            <w:tcW w:w="4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90E95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3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F869A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5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A96746">
            <w:pPr>
              <w:jc w:val="center"/>
              <w:rPr>
                <w:rFonts w:hint="eastAsia" w:ascii="宋体" w:hAnsi="宋体" w:eastAsia="宋体" w:cs="宋体"/>
                <w:i w:val="0"/>
                <w:iCs w:val="0"/>
                <w:color w:val="000000"/>
                <w:sz w:val="22"/>
                <w:szCs w:val="22"/>
                <w:u w:val="none"/>
              </w:rPr>
            </w:pPr>
          </w:p>
        </w:tc>
        <w:tc>
          <w:tcPr>
            <w:tcW w:w="5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246C3A">
            <w:pPr>
              <w:jc w:val="center"/>
              <w:rPr>
                <w:rFonts w:hint="eastAsia" w:ascii="宋体" w:hAnsi="宋体" w:eastAsia="宋体" w:cs="宋体"/>
                <w:i w:val="0"/>
                <w:iCs w:val="0"/>
                <w:color w:val="000000"/>
                <w:sz w:val="22"/>
                <w:szCs w:val="22"/>
                <w:u w:val="none"/>
              </w:rPr>
            </w:pPr>
          </w:p>
        </w:tc>
        <w:tc>
          <w:tcPr>
            <w:tcW w:w="54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BE1A37">
            <w:pPr>
              <w:jc w:val="center"/>
              <w:rPr>
                <w:rFonts w:hint="eastAsia" w:ascii="宋体" w:hAnsi="宋体" w:eastAsia="宋体" w:cs="宋体"/>
                <w:i w:val="0"/>
                <w:iCs w:val="0"/>
                <w:color w:val="000000"/>
                <w:sz w:val="22"/>
                <w:szCs w:val="22"/>
                <w:u w:val="none"/>
              </w:rPr>
            </w:pPr>
          </w:p>
        </w:tc>
      </w:tr>
      <w:tr w14:paraId="6782834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3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ACCF0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w:t>
            </w:r>
          </w:p>
        </w:tc>
        <w:tc>
          <w:tcPr>
            <w:tcW w:w="7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1FAE5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高楼逃生缓降器</w:t>
            </w:r>
          </w:p>
        </w:tc>
        <w:tc>
          <w:tcPr>
            <w:tcW w:w="10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EE306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固定往返式，高强度复合钢丝绳9楼40米，下降速度</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0.16-1.5m/s，承重35kg-150kg</w:t>
            </w:r>
          </w:p>
        </w:tc>
        <w:tc>
          <w:tcPr>
            <w:tcW w:w="4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FC856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永吉安</w:t>
            </w:r>
          </w:p>
        </w:tc>
        <w:tc>
          <w:tcPr>
            <w:tcW w:w="4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83AB8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3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67FEC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5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C7FECD">
            <w:pPr>
              <w:jc w:val="center"/>
              <w:rPr>
                <w:rFonts w:hint="eastAsia" w:ascii="宋体" w:hAnsi="宋体" w:eastAsia="宋体" w:cs="宋体"/>
                <w:i w:val="0"/>
                <w:iCs w:val="0"/>
                <w:color w:val="000000"/>
                <w:sz w:val="22"/>
                <w:szCs w:val="22"/>
                <w:u w:val="none"/>
              </w:rPr>
            </w:pPr>
          </w:p>
        </w:tc>
        <w:tc>
          <w:tcPr>
            <w:tcW w:w="5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4E61ED">
            <w:pPr>
              <w:jc w:val="center"/>
              <w:rPr>
                <w:rFonts w:hint="eastAsia" w:ascii="宋体" w:hAnsi="宋体" w:eastAsia="宋体" w:cs="宋体"/>
                <w:i w:val="0"/>
                <w:iCs w:val="0"/>
                <w:color w:val="000000"/>
                <w:sz w:val="22"/>
                <w:szCs w:val="22"/>
                <w:u w:val="none"/>
              </w:rPr>
            </w:pPr>
          </w:p>
        </w:tc>
        <w:tc>
          <w:tcPr>
            <w:tcW w:w="54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7B051A">
            <w:pPr>
              <w:jc w:val="center"/>
              <w:rPr>
                <w:rFonts w:hint="eastAsia" w:ascii="宋体" w:hAnsi="宋体" w:eastAsia="宋体" w:cs="宋体"/>
                <w:i w:val="0"/>
                <w:iCs w:val="0"/>
                <w:color w:val="000000"/>
                <w:sz w:val="22"/>
                <w:szCs w:val="22"/>
                <w:u w:val="none"/>
              </w:rPr>
            </w:pPr>
          </w:p>
        </w:tc>
      </w:tr>
      <w:tr w14:paraId="65B2A35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3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7B8CE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w:t>
            </w:r>
          </w:p>
        </w:tc>
        <w:tc>
          <w:tcPr>
            <w:tcW w:w="7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80C20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高楼逃生缓降器</w:t>
            </w:r>
          </w:p>
        </w:tc>
        <w:tc>
          <w:tcPr>
            <w:tcW w:w="10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37E0E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固定往返式，高强度复合钢丝绳10楼45米，下降速度</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0.16-1.5m/s，承重35kg-150kg</w:t>
            </w:r>
          </w:p>
        </w:tc>
        <w:tc>
          <w:tcPr>
            <w:tcW w:w="4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BBD7D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永吉安</w:t>
            </w:r>
          </w:p>
        </w:tc>
        <w:tc>
          <w:tcPr>
            <w:tcW w:w="4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3BE81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3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FCD61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5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3BCD8E">
            <w:pPr>
              <w:jc w:val="center"/>
              <w:rPr>
                <w:rFonts w:hint="eastAsia" w:ascii="宋体" w:hAnsi="宋体" w:eastAsia="宋体" w:cs="宋体"/>
                <w:i w:val="0"/>
                <w:iCs w:val="0"/>
                <w:color w:val="000000"/>
                <w:sz w:val="22"/>
                <w:szCs w:val="22"/>
                <w:u w:val="none"/>
              </w:rPr>
            </w:pPr>
          </w:p>
        </w:tc>
        <w:tc>
          <w:tcPr>
            <w:tcW w:w="5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4427AE">
            <w:pPr>
              <w:jc w:val="center"/>
              <w:rPr>
                <w:rFonts w:hint="eastAsia" w:ascii="宋体" w:hAnsi="宋体" w:eastAsia="宋体" w:cs="宋体"/>
                <w:i w:val="0"/>
                <w:iCs w:val="0"/>
                <w:color w:val="000000"/>
                <w:sz w:val="22"/>
                <w:szCs w:val="22"/>
                <w:u w:val="none"/>
              </w:rPr>
            </w:pPr>
          </w:p>
        </w:tc>
        <w:tc>
          <w:tcPr>
            <w:tcW w:w="54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F0FEC0">
            <w:pPr>
              <w:jc w:val="center"/>
              <w:rPr>
                <w:rFonts w:hint="eastAsia" w:ascii="宋体" w:hAnsi="宋体" w:eastAsia="宋体" w:cs="宋体"/>
                <w:i w:val="0"/>
                <w:iCs w:val="0"/>
                <w:color w:val="000000"/>
                <w:sz w:val="22"/>
                <w:szCs w:val="22"/>
                <w:u w:val="none"/>
              </w:rPr>
            </w:pPr>
          </w:p>
        </w:tc>
      </w:tr>
      <w:tr w14:paraId="5AC4CDB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3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A2FDA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p>
        </w:tc>
        <w:tc>
          <w:tcPr>
            <w:tcW w:w="7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2A05A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高楼逃生缓降器</w:t>
            </w:r>
          </w:p>
        </w:tc>
        <w:tc>
          <w:tcPr>
            <w:tcW w:w="10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78C01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固定往返式，高强度复合钢丝绳11楼45米，下降速度</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0.16-1.5m/s，承重35kg-150kg</w:t>
            </w:r>
          </w:p>
        </w:tc>
        <w:tc>
          <w:tcPr>
            <w:tcW w:w="4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76E58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永吉安</w:t>
            </w:r>
          </w:p>
        </w:tc>
        <w:tc>
          <w:tcPr>
            <w:tcW w:w="4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56D41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3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59BCC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5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3AB012">
            <w:pPr>
              <w:jc w:val="center"/>
              <w:rPr>
                <w:rFonts w:hint="eastAsia" w:ascii="宋体" w:hAnsi="宋体" w:eastAsia="宋体" w:cs="宋体"/>
                <w:i w:val="0"/>
                <w:iCs w:val="0"/>
                <w:color w:val="000000"/>
                <w:sz w:val="22"/>
                <w:szCs w:val="22"/>
                <w:u w:val="none"/>
              </w:rPr>
            </w:pPr>
          </w:p>
        </w:tc>
        <w:tc>
          <w:tcPr>
            <w:tcW w:w="5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0F86C3">
            <w:pPr>
              <w:jc w:val="center"/>
              <w:rPr>
                <w:rFonts w:hint="eastAsia" w:ascii="宋体" w:hAnsi="宋体" w:eastAsia="宋体" w:cs="宋体"/>
                <w:i w:val="0"/>
                <w:iCs w:val="0"/>
                <w:color w:val="000000"/>
                <w:sz w:val="22"/>
                <w:szCs w:val="22"/>
                <w:u w:val="none"/>
              </w:rPr>
            </w:pPr>
          </w:p>
        </w:tc>
        <w:tc>
          <w:tcPr>
            <w:tcW w:w="54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BFA0F9">
            <w:pPr>
              <w:jc w:val="center"/>
              <w:rPr>
                <w:rFonts w:hint="eastAsia" w:ascii="宋体" w:hAnsi="宋体" w:eastAsia="宋体" w:cs="宋体"/>
                <w:i w:val="0"/>
                <w:iCs w:val="0"/>
                <w:color w:val="000000"/>
                <w:sz w:val="22"/>
                <w:szCs w:val="22"/>
                <w:u w:val="none"/>
              </w:rPr>
            </w:pPr>
          </w:p>
        </w:tc>
      </w:tr>
      <w:tr w14:paraId="024670B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3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ED62D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w:t>
            </w:r>
          </w:p>
        </w:tc>
        <w:tc>
          <w:tcPr>
            <w:tcW w:w="7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87D24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高楼逃生缓降器</w:t>
            </w:r>
          </w:p>
        </w:tc>
        <w:tc>
          <w:tcPr>
            <w:tcW w:w="10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54842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固定往返式，高强度复合钢丝绳12楼50米，下降速度</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0.16-1.5m/s，承重35kg-150kg</w:t>
            </w:r>
          </w:p>
        </w:tc>
        <w:tc>
          <w:tcPr>
            <w:tcW w:w="4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C3FEB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永吉安</w:t>
            </w:r>
          </w:p>
        </w:tc>
        <w:tc>
          <w:tcPr>
            <w:tcW w:w="4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74B65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3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F80E9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5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B47A92">
            <w:pPr>
              <w:jc w:val="center"/>
              <w:rPr>
                <w:rFonts w:hint="eastAsia" w:ascii="宋体" w:hAnsi="宋体" w:eastAsia="宋体" w:cs="宋体"/>
                <w:i w:val="0"/>
                <w:iCs w:val="0"/>
                <w:color w:val="000000"/>
                <w:sz w:val="22"/>
                <w:szCs w:val="22"/>
                <w:u w:val="none"/>
              </w:rPr>
            </w:pPr>
          </w:p>
        </w:tc>
        <w:tc>
          <w:tcPr>
            <w:tcW w:w="5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A450CD">
            <w:pPr>
              <w:jc w:val="center"/>
              <w:rPr>
                <w:rFonts w:hint="eastAsia" w:ascii="宋体" w:hAnsi="宋体" w:eastAsia="宋体" w:cs="宋体"/>
                <w:i w:val="0"/>
                <w:iCs w:val="0"/>
                <w:color w:val="000000"/>
                <w:sz w:val="22"/>
                <w:szCs w:val="22"/>
                <w:u w:val="none"/>
              </w:rPr>
            </w:pPr>
          </w:p>
        </w:tc>
        <w:tc>
          <w:tcPr>
            <w:tcW w:w="54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AB9476">
            <w:pPr>
              <w:jc w:val="center"/>
              <w:rPr>
                <w:rFonts w:hint="eastAsia" w:ascii="宋体" w:hAnsi="宋体" w:eastAsia="宋体" w:cs="宋体"/>
                <w:i w:val="0"/>
                <w:iCs w:val="0"/>
                <w:color w:val="000000"/>
                <w:sz w:val="22"/>
                <w:szCs w:val="22"/>
                <w:u w:val="none"/>
              </w:rPr>
            </w:pPr>
          </w:p>
        </w:tc>
      </w:tr>
      <w:tr w14:paraId="4E6C790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3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5ADDB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w:t>
            </w:r>
          </w:p>
        </w:tc>
        <w:tc>
          <w:tcPr>
            <w:tcW w:w="7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B6403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高楼逃生缓降器</w:t>
            </w:r>
          </w:p>
        </w:tc>
        <w:tc>
          <w:tcPr>
            <w:tcW w:w="10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E0624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固定往返式，高强度复合钢丝绳13楼55米，下降速度</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0.16-1.5m/s，承重35kg-150kg</w:t>
            </w:r>
          </w:p>
        </w:tc>
        <w:tc>
          <w:tcPr>
            <w:tcW w:w="4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897E8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永吉安</w:t>
            </w:r>
          </w:p>
        </w:tc>
        <w:tc>
          <w:tcPr>
            <w:tcW w:w="4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033ED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3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E4EEF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5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7AE826">
            <w:pPr>
              <w:jc w:val="center"/>
              <w:rPr>
                <w:rFonts w:hint="eastAsia" w:ascii="宋体" w:hAnsi="宋体" w:eastAsia="宋体" w:cs="宋体"/>
                <w:i w:val="0"/>
                <w:iCs w:val="0"/>
                <w:color w:val="000000"/>
                <w:sz w:val="22"/>
                <w:szCs w:val="22"/>
                <w:u w:val="none"/>
              </w:rPr>
            </w:pPr>
          </w:p>
        </w:tc>
        <w:tc>
          <w:tcPr>
            <w:tcW w:w="5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51B841">
            <w:pPr>
              <w:jc w:val="center"/>
              <w:rPr>
                <w:rFonts w:hint="eastAsia" w:ascii="宋体" w:hAnsi="宋体" w:eastAsia="宋体" w:cs="宋体"/>
                <w:i w:val="0"/>
                <w:iCs w:val="0"/>
                <w:color w:val="000000"/>
                <w:sz w:val="22"/>
                <w:szCs w:val="22"/>
                <w:u w:val="none"/>
              </w:rPr>
            </w:pPr>
          </w:p>
        </w:tc>
        <w:tc>
          <w:tcPr>
            <w:tcW w:w="54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114D55">
            <w:pPr>
              <w:jc w:val="center"/>
              <w:rPr>
                <w:rFonts w:hint="eastAsia" w:ascii="宋体" w:hAnsi="宋体" w:eastAsia="宋体" w:cs="宋体"/>
                <w:i w:val="0"/>
                <w:iCs w:val="0"/>
                <w:color w:val="000000"/>
                <w:sz w:val="22"/>
                <w:szCs w:val="22"/>
                <w:u w:val="none"/>
              </w:rPr>
            </w:pPr>
          </w:p>
        </w:tc>
      </w:tr>
      <w:tr w14:paraId="02DFA6A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3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BEA9D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w:t>
            </w:r>
          </w:p>
        </w:tc>
        <w:tc>
          <w:tcPr>
            <w:tcW w:w="7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4FC1D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高楼逃生缓降器</w:t>
            </w:r>
          </w:p>
        </w:tc>
        <w:tc>
          <w:tcPr>
            <w:tcW w:w="10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459E3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固定往返式，高强度复合钢丝绳14楼60米，下降速度</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0.16-1.5m/s，承重35kg-150kg</w:t>
            </w:r>
          </w:p>
        </w:tc>
        <w:tc>
          <w:tcPr>
            <w:tcW w:w="4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5E545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永吉安</w:t>
            </w:r>
          </w:p>
        </w:tc>
        <w:tc>
          <w:tcPr>
            <w:tcW w:w="4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756C8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3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89CA4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5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9D6380">
            <w:pPr>
              <w:jc w:val="center"/>
              <w:rPr>
                <w:rFonts w:hint="eastAsia" w:ascii="宋体" w:hAnsi="宋体" w:eastAsia="宋体" w:cs="宋体"/>
                <w:i w:val="0"/>
                <w:iCs w:val="0"/>
                <w:color w:val="000000"/>
                <w:sz w:val="22"/>
                <w:szCs w:val="22"/>
                <w:u w:val="none"/>
              </w:rPr>
            </w:pPr>
          </w:p>
        </w:tc>
        <w:tc>
          <w:tcPr>
            <w:tcW w:w="5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60900F">
            <w:pPr>
              <w:jc w:val="center"/>
              <w:rPr>
                <w:rFonts w:hint="eastAsia" w:ascii="宋体" w:hAnsi="宋体" w:eastAsia="宋体" w:cs="宋体"/>
                <w:i w:val="0"/>
                <w:iCs w:val="0"/>
                <w:color w:val="000000"/>
                <w:sz w:val="22"/>
                <w:szCs w:val="22"/>
                <w:u w:val="none"/>
              </w:rPr>
            </w:pPr>
          </w:p>
        </w:tc>
        <w:tc>
          <w:tcPr>
            <w:tcW w:w="54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4E8FFD">
            <w:pPr>
              <w:jc w:val="center"/>
              <w:rPr>
                <w:rFonts w:hint="eastAsia" w:ascii="宋体" w:hAnsi="宋体" w:eastAsia="宋体" w:cs="宋体"/>
                <w:i w:val="0"/>
                <w:iCs w:val="0"/>
                <w:color w:val="000000"/>
                <w:sz w:val="22"/>
                <w:szCs w:val="22"/>
                <w:u w:val="none"/>
              </w:rPr>
            </w:pPr>
          </w:p>
        </w:tc>
      </w:tr>
      <w:tr w14:paraId="2A1D479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3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00B82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14</w:t>
            </w:r>
          </w:p>
        </w:tc>
        <w:tc>
          <w:tcPr>
            <w:tcW w:w="7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12FD6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高楼逃生缓降器</w:t>
            </w:r>
          </w:p>
        </w:tc>
        <w:tc>
          <w:tcPr>
            <w:tcW w:w="10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6EA64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固定往返式，高强度复合钢丝绳15楼65米，下降速度</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0.16-1.5m/s，承重35kg-150kg</w:t>
            </w:r>
          </w:p>
        </w:tc>
        <w:tc>
          <w:tcPr>
            <w:tcW w:w="4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BB21A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永吉安</w:t>
            </w:r>
          </w:p>
        </w:tc>
        <w:tc>
          <w:tcPr>
            <w:tcW w:w="4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A67E8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3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F7997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5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CCA419">
            <w:pPr>
              <w:jc w:val="center"/>
              <w:rPr>
                <w:rFonts w:hint="eastAsia" w:ascii="宋体" w:hAnsi="宋体" w:eastAsia="宋体" w:cs="宋体"/>
                <w:i w:val="0"/>
                <w:iCs w:val="0"/>
                <w:color w:val="000000"/>
                <w:sz w:val="22"/>
                <w:szCs w:val="22"/>
                <w:u w:val="none"/>
              </w:rPr>
            </w:pPr>
          </w:p>
        </w:tc>
        <w:tc>
          <w:tcPr>
            <w:tcW w:w="5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5A691B">
            <w:pPr>
              <w:jc w:val="center"/>
              <w:rPr>
                <w:rFonts w:hint="eastAsia" w:ascii="宋体" w:hAnsi="宋体" w:eastAsia="宋体" w:cs="宋体"/>
                <w:i w:val="0"/>
                <w:iCs w:val="0"/>
                <w:color w:val="000000"/>
                <w:sz w:val="22"/>
                <w:szCs w:val="22"/>
                <w:u w:val="none"/>
              </w:rPr>
            </w:pPr>
          </w:p>
        </w:tc>
        <w:tc>
          <w:tcPr>
            <w:tcW w:w="54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942CC5">
            <w:pPr>
              <w:jc w:val="center"/>
              <w:rPr>
                <w:rFonts w:hint="eastAsia" w:ascii="宋体" w:hAnsi="宋体" w:eastAsia="宋体" w:cs="宋体"/>
                <w:i w:val="0"/>
                <w:iCs w:val="0"/>
                <w:color w:val="000000"/>
                <w:sz w:val="22"/>
                <w:szCs w:val="22"/>
                <w:u w:val="none"/>
              </w:rPr>
            </w:pPr>
          </w:p>
        </w:tc>
      </w:tr>
      <w:tr w14:paraId="7AC29F3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3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7FC31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w:t>
            </w:r>
          </w:p>
        </w:tc>
        <w:tc>
          <w:tcPr>
            <w:tcW w:w="7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E8304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高楼逃生缓降器</w:t>
            </w:r>
          </w:p>
        </w:tc>
        <w:tc>
          <w:tcPr>
            <w:tcW w:w="10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D1BFC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固定往返式，高强度复合钢丝绳16楼70米，下降速度</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0.16-1.5m/s，承重35kg-150kg</w:t>
            </w:r>
          </w:p>
        </w:tc>
        <w:tc>
          <w:tcPr>
            <w:tcW w:w="4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5EF24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永吉安</w:t>
            </w:r>
          </w:p>
        </w:tc>
        <w:tc>
          <w:tcPr>
            <w:tcW w:w="4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3B4AD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3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59E15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5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698963">
            <w:pPr>
              <w:jc w:val="center"/>
              <w:rPr>
                <w:rFonts w:hint="eastAsia" w:ascii="宋体" w:hAnsi="宋体" w:eastAsia="宋体" w:cs="宋体"/>
                <w:i w:val="0"/>
                <w:iCs w:val="0"/>
                <w:color w:val="000000"/>
                <w:sz w:val="22"/>
                <w:szCs w:val="22"/>
                <w:u w:val="none"/>
              </w:rPr>
            </w:pPr>
          </w:p>
        </w:tc>
        <w:tc>
          <w:tcPr>
            <w:tcW w:w="5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AF162B">
            <w:pPr>
              <w:jc w:val="center"/>
              <w:rPr>
                <w:rFonts w:hint="eastAsia" w:ascii="宋体" w:hAnsi="宋体" w:eastAsia="宋体" w:cs="宋体"/>
                <w:i w:val="0"/>
                <w:iCs w:val="0"/>
                <w:color w:val="000000"/>
                <w:sz w:val="22"/>
                <w:szCs w:val="22"/>
                <w:u w:val="none"/>
              </w:rPr>
            </w:pPr>
          </w:p>
        </w:tc>
        <w:tc>
          <w:tcPr>
            <w:tcW w:w="54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7DC3F7">
            <w:pPr>
              <w:jc w:val="center"/>
              <w:rPr>
                <w:rFonts w:hint="eastAsia" w:ascii="宋体" w:hAnsi="宋体" w:eastAsia="宋体" w:cs="宋体"/>
                <w:i w:val="0"/>
                <w:iCs w:val="0"/>
                <w:color w:val="000000"/>
                <w:sz w:val="22"/>
                <w:szCs w:val="22"/>
                <w:u w:val="none"/>
              </w:rPr>
            </w:pPr>
          </w:p>
        </w:tc>
      </w:tr>
      <w:tr w14:paraId="57BC97C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3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6E39A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16</w:t>
            </w:r>
          </w:p>
        </w:tc>
        <w:tc>
          <w:tcPr>
            <w:tcW w:w="7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4B4A7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高楼逃生缓降器</w:t>
            </w:r>
          </w:p>
        </w:tc>
        <w:tc>
          <w:tcPr>
            <w:tcW w:w="10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DBF65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固定往返式，高强度复合钢丝绳17楼75米，下降速度</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0.16-1.5m/s，承重35kg-150kg</w:t>
            </w:r>
          </w:p>
        </w:tc>
        <w:tc>
          <w:tcPr>
            <w:tcW w:w="4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B8A7F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永吉安</w:t>
            </w:r>
          </w:p>
        </w:tc>
        <w:tc>
          <w:tcPr>
            <w:tcW w:w="4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DEF23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3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9DB3B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5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3A0026">
            <w:pPr>
              <w:jc w:val="center"/>
              <w:rPr>
                <w:rFonts w:hint="eastAsia" w:ascii="宋体" w:hAnsi="宋体" w:eastAsia="宋体" w:cs="宋体"/>
                <w:i w:val="0"/>
                <w:iCs w:val="0"/>
                <w:color w:val="000000"/>
                <w:sz w:val="22"/>
                <w:szCs w:val="22"/>
                <w:u w:val="none"/>
              </w:rPr>
            </w:pPr>
          </w:p>
        </w:tc>
        <w:tc>
          <w:tcPr>
            <w:tcW w:w="5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92A777">
            <w:pPr>
              <w:jc w:val="center"/>
              <w:rPr>
                <w:rFonts w:hint="eastAsia" w:ascii="宋体" w:hAnsi="宋体" w:eastAsia="宋体" w:cs="宋体"/>
                <w:i w:val="0"/>
                <w:iCs w:val="0"/>
                <w:color w:val="000000"/>
                <w:sz w:val="22"/>
                <w:szCs w:val="22"/>
                <w:u w:val="none"/>
              </w:rPr>
            </w:pPr>
          </w:p>
        </w:tc>
        <w:tc>
          <w:tcPr>
            <w:tcW w:w="54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F1716F">
            <w:pPr>
              <w:jc w:val="center"/>
              <w:rPr>
                <w:rFonts w:hint="eastAsia" w:ascii="宋体" w:hAnsi="宋体" w:eastAsia="宋体" w:cs="宋体"/>
                <w:i w:val="0"/>
                <w:iCs w:val="0"/>
                <w:color w:val="000000"/>
                <w:sz w:val="22"/>
                <w:szCs w:val="22"/>
                <w:u w:val="none"/>
              </w:rPr>
            </w:pPr>
          </w:p>
        </w:tc>
      </w:tr>
      <w:tr w14:paraId="1DFC424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3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E7F18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17</w:t>
            </w:r>
          </w:p>
        </w:tc>
        <w:tc>
          <w:tcPr>
            <w:tcW w:w="7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7F367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高楼逃生缓降器</w:t>
            </w:r>
          </w:p>
        </w:tc>
        <w:tc>
          <w:tcPr>
            <w:tcW w:w="10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5175D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固定往返式，高强度复合钢丝绳18楼80米，下降速度</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0.16-1.5m/s，承重35kg-150kg</w:t>
            </w:r>
          </w:p>
        </w:tc>
        <w:tc>
          <w:tcPr>
            <w:tcW w:w="4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77FD2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永吉安</w:t>
            </w:r>
          </w:p>
        </w:tc>
        <w:tc>
          <w:tcPr>
            <w:tcW w:w="4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38DB4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3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0987B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5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E8C01B">
            <w:pPr>
              <w:jc w:val="center"/>
              <w:rPr>
                <w:rFonts w:hint="eastAsia" w:ascii="宋体" w:hAnsi="宋体" w:eastAsia="宋体" w:cs="宋体"/>
                <w:i w:val="0"/>
                <w:iCs w:val="0"/>
                <w:color w:val="000000"/>
                <w:sz w:val="22"/>
                <w:szCs w:val="22"/>
                <w:u w:val="none"/>
              </w:rPr>
            </w:pPr>
          </w:p>
        </w:tc>
        <w:tc>
          <w:tcPr>
            <w:tcW w:w="5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16C10D">
            <w:pPr>
              <w:jc w:val="center"/>
              <w:rPr>
                <w:rFonts w:hint="eastAsia" w:ascii="宋体" w:hAnsi="宋体" w:eastAsia="宋体" w:cs="宋体"/>
                <w:i w:val="0"/>
                <w:iCs w:val="0"/>
                <w:color w:val="000000"/>
                <w:sz w:val="22"/>
                <w:szCs w:val="22"/>
                <w:u w:val="none"/>
              </w:rPr>
            </w:pPr>
          </w:p>
        </w:tc>
        <w:tc>
          <w:tcPr>
            <w:tcW w:w="54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A6CD9A">
            <w:pPr>
              <w:jc w:val="center"/>
              <w:rPr>
                <w:rFonts w:hint="eastAsia" w:ascii="宋体" w:hAnsi="宋体" w:eastAsia="宋体" w:cs="宋体"/>
                <w:i w:val="0"/>
                <w:iCs w:val="0"/>
                <w:color w:val="000000"/>
                <w:sz w:val="22"/>
                <w:szCs w:val="22"/>
                <w:u w:val="none"/>
              </w:rPr>
            </w:pPr>
          </w:p>
        </w:tc>
      </w:tr>
      <w:tr w14:paraId="444AE22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3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1F796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18</w:t>
            </w:r>
          </w:p>
        </w:tc>
        <w:tc>
          <w:tcPr>
            <w:tcW w:w="7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BA015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开孔做暗箱</w:t>
            </w:r>
          </w:p>
        </w:tc>
        <w:tc>
          <w:tcPr>
            <w:tcW w:w="10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F5979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300*400</w:t>
            </w:r>
          </w:p>
        </w:tc>
        <w:tc>
          <w:tcPr>
            <w:tcW w:w="4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D7688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4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7A1EE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3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4386C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w:t>
            </w:r>
          </w:p>
        </w:tc>
        <w:tc>
          <w:tcPr>
            <w:tcW w:w="5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1CF5EC">
            <w:pPr>
              <w:jc w:val="center"/>
              <w:rPr>
                <w:rFonts w:hint="eastAsia" w:ascii="宋体" w:hAnsi="宋体" w:eastAsia="宋体" w:cs="宋体"/>
                <w:i w:val="0"/>
                <w:iCs w:val="0"/>
                <w:color w:val="000000"/>
                <w:sz w:val="22"/>
                <w:szCs w:val="22"/>
                <w:u w:val="none"/>
              </w:rPr>
            </w:pPr>
          </w:p>
        </w:tc>
        <w:tc>
          <w:tcPr>
            <w:tcW w:w="5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2BED6B">
            <w:pPr>
              <w:jc w:val="center"/>
              <w:rPr>
                <w:rFonts w:hint="eastAsia" w:ascii="宋体" w:hAnsi="宋体" w:eastAsia="宋体" w:cs="宋体"/>
                <w:i w:val="0"/>
                <w:iCs w:val="0"/>
                <w:color w:val="000000"/>
                <w:sz w:val="22"/>
                <w:szCs w:val="22"/>
                <w:u w:val="none"/>
              </w:rPr>
            </w:pPr>
          </w:p>
        </w:tc>
        <w:tc>
          <w:tcPr>
            <w:tcW w:w="54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576D26">
            <w:pPr>
              <w:jc w:val="center"/>
              <w:rPr>
                <w:rFonts w:hint="eastAsia" w:ascii="宋体" w:hAnsi="宋体" w:eastAsia="宋体" w:cs="宋体"/>
                <w:i w:val="0"/>
                <w:iCs w:val="0"/>
                <w:color w:val="000000"/>
                <w:sz w:val="22"/>
                <w:szCs w:val="22"/>
                <w:u w:val="none"/>
              </w:rPr>
            </w:pPr>
          </w:p>
        </w:tc>
      </w:tr>
      <w:tr w14:paraId="738CCA6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3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9085B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19</w:t>
            </w:r>
          </w:p>
        </w:tc>
        <w:tc>
          <w:tcPr>
            <w:tcW w:w="7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58766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膨胀螺栓</w:t>
            </w:r>
          </w:p>
        </w:tc>
        <w:tc>
          <w:tcPr>
            <w:tcW w:w="10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91397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10*12</w:t>
            </w:r>
          </w:p>
        </w:tc>
        <w:tc>
          <w:tcPr>
            <w:tcW w:w="4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64757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劲功</w:t>
            </w:r>
          </w:p>
        </w:tc>
        <w:tc>
          <w:tcPr>
            <w:tcW w:w="4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8A1F9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3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AB4F5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38</w:t>
            </w:r>
          </w:p>
        </w:tc>
        <w:tc>
          <w:tcPr>
            <w:tcW w:w="5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1C2A76">
            <w:pPr>
              <w:jc w:val="center"/>
              <w:rPr>
                <w:rFonts w:hint="eastAsia" w:ascii="宋体" w:hAnsi="宋体" w:eastAsia="宋体" w:cs="宋体"/>
                <w:i w:val="0"/>
                <w:iCs w:val="0"/>
                <w:color w:val="000000"/>
                <w:sz w:val="22"/>
                <w:szCs w:val="22"/>
                <w:u w:val="none"/>
              </w:rPr>
            </w:pPr>
          </w:p>
        </w:tc>
        <w:tc>
          <w:tcPr>
            <w:tcW w:w="5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09B316">
            <w:pPr>
              <w:jc w:val="center"/>
              <w:rPr>
                <w:rFonts w:hint="eastAsia" w:ascii="宋体" w:hAnsi="宋体" w:eastAsia="宋体" w:cs="宋体"/>
                <w:i w:val="0"/>
                <w:iCs w:val="0"/>
                <w:color w:val="000000"/>
                <w:sz w:val="22"/>
                <w:szCs w:val="22"/>
                <w:u w:val="none"/>
              </w:rPr>
            </w:pPr>
          </w:p>
        </w:tc>
        <w:tc>
          <w:tcPr>
            <w:tcW w:w="54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1127E1">
            <w:pPr>
              <w:jc w:val="center"/>
              <w:rPr>
                <w:rFonts w:hint="eastAsia" w:ascii="宋体" w:hAnsi="宋体" w:eastAsia="宋体" w:cs="宋体"/>
                <w:i w:val="0"/>
                <w:iCs w:val="0"/>
                <w:color w:val="000000"/>
                <w:sz w:val="22"/>
                <w:szCs w:val="22"/>
                <w:u w:val="none"/>
              </w:rPr>
            </w:pPr>
          </w:p>
        </w:tc>
      </w:tr>
      <w:tr w14:paraId="30A0055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3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ED374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w:t>
            </w:r>
          </w:p>
        </w:tc>
        <w:tc>
          <w:tcPr>
            <w:tcW w:w="7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F5B38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装饰板</w:t>
            </w:r>
          </w:p>
        </w:tc>
        <w:tc>
          <w:tcPr>
            <w:tcW w:w="10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719BB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300*400 100mm镁合金</w:t>
            </w:r>
          </w:p>
        </w:tc>
        <w:tc>
          <w:tcPr>
            <w:tcW w:w="4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44EF0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冠镁</w:t>
            </w:r>
          </w:p>
        </w:tc>
        <w:tc>
          <w:tcPr>
            <w:tcW w:w="4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9DD9C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平方米</w:t>
            </w:r>
          </w:p>
        </w:tc>
        <w:tc>
          <w:tcPr>
            <w:tcW w:w="3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13BDD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1.8</w:t>
            </w:r>
          </w:p>
        </w:tc>
        <w:tc>
          <w:tcPr>
            <w:tcW w:w="5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7B2EC1">
            <w:pPr>
              <w:jc w:val="center"/>
              <w:rPr>
                <w:rFonts w:hint="eastAsia" w:ascii="宋体" w:hAnsi="宋体" w:eastAsia="宋体" w:cs="宋体"/>
                <w:i w:val="0"/>
                <w:iCs w:val="0"/>
                <w:color w:val="000000"/>
                <w:sz w:val="22"/>
                <w:szCs w:val="22"/>
                <w:u w:val="none"/>
              </w:rPr>
            </w:pPr>
          </w:p>
        </w:tc>
        <w:tc>
          <w:tcPr>
            <w:tcW w:w="5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26E9C3">
            <w:pPr>
              <w:jc w:val="center"/>
              <w:rPr>
                <w:rFonts w:hint="eastAsia" w:ascii="宋体" w:hAnsi="宋体" w:eastAsia="宋体" w:cs="宋体"/>
                <w:i w:val="0"/>
                <w:iCs w:val="0"/>
                <w:color w:val="000000"/>
                <w:sz w:val="22"/>
                <w:szCs w:val="22"/>
                <w:u w:val="none"/>
              </w:rPr>
            </w:pPr>
          </w:p>
        </w:tc>
        <w:tc>
          <w:tcPr>
            <w:tcW w:w="54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CEA116">
            <w:pPr>
              <w:jc w:val="center"/>
              <w:rPr>
                <w:rFonts w:hint="eastAsia" w:ascii="宋体" w:hAnsi="宋体" w:eastAsia="宋体" w:cs="宋体"/>
                <w:i w:val="0"/>
                <w:iCs w:val="0"/>
                <w:color w:val="000000"/>
                <w:sz w:val="22"/>
                <w:szCs w:val="22"/>
                <w:u w:val="none"/>
              </w:rPr>
            </w:pPr>
          </w:p>
        </w:tc>
      </w:tr>
    </w:tbl>
    <w:p w14:paraId="4A6D1A57">
      <w:pPr>
        <w:jc w:val="center"/>
        <w:rPr>
          <w:rFonts w:hint="eastAsia" w:eastAsia="黑体"/>
          <w:b/>
          <w:bCs/>
          <w:sz w:val="28"/>
        </w:rPr>
      </w:pPr>
    </w:p>
    <w:p w14:paraId="1C9AE857">
      <w:pPr>
        <w:rPr>
          <w:rFonts w:hint="eastAsia" w:eastAsia="黑体"/>
          <w:b/>
          <w:bCs/>
          <w:sz w:val="28"/>
        </w:rPr>
      </w:pPr>
      <w:r>
        <w:rPr>
          <w:rFonts w:hint="eastAsia" w:eastAsia="黑体"/>
          <w:b/>
          <w:bCs/>
          <w:sz w:val="28"/>
        </w:rPr>
        <w:br w:type="page"/>
      </w:r>
    </w:p>
    <w:p w14:paraId="6616D12C">
      <w:pPr>
        <w:jc w:val="center"/>
        <w:rPr>
          <w:rFonts w:eastAsia="黑体"/>
          <w:b/>
          <w:bCs/>
          <w:sz w:val="28"/>
        </w:rPr>
      </w:pPr>
      <w:r>
        <w:rPr>
          <w:rFonts w:hint="eastAsia" w:eastAsia="黑体"/>
          <w:b/>
          <w:bCs/>
          <w:sz w:val="28"/>
        </w:rPr>
        <w:t>相关条款偏离表（含商务偏离及技术偏离）</w:t>
      </w:r>
    </w:p>
    <w:tbl>
      <w:tblPr>
        <w:tblStyle w:val="49"/>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1080"/>
        <w:gridCol w:w="3060"/>
        <w:gridCol w:w="3554"/>
      </w:tblGrid>
      <w:tr w14:paraId="62965D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Merge w:val="restart"/>
            <w:vAlign w:val="center"/>
          </w:tcPr>
          <w:p w14:paraId="00AAF023">
            <w:pP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序号</w:t>
            </w:r>
          </w:p>
        </w:tc>
        <w:tc>
          <w:tcPr>
            <w:tcW w:w="4140" w:type="dxa"/>
            <w:gridSpan w:val="2"/>
            <w:vAlign w:val="center"/>
          </w:tcPr>
          <w:p w14:paraId="72CAAA69">
            <w:pP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招标文件条款</w:t>
            </w:r>
          </w:p>
        </w:tc>
        <w:tc>
          <w:tcPr>
            <w:tcW w:w="3554" w:type="dxa"/>
            <w:vMerge w:val="restart"/>
            <w:vAlign w:val="center"/>
          </w:tcPr>
          <w:p w14:paraId="77296F8D">
            <w:pP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偏离内容</w:t>
            </w:r>
          </w:p>
        </w:tc>
      </w:tr>
      <w:tr w14:paraId="013710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Merge w:val="continue"/>
            <w:vAlign w:val="center"/>
          </w:tcPr>
          <w:p w14:paraId="72BCB8BD">
            <w:pPr>
              <w:rPr>
                <w:rFonts w:hint="eastAsia" w:ascii="仿宋_GB2312" w:hAnsi="仿宋_GB2312" w:eastAsia="仿宋_GB2312" w:cs="仿宋_GB2312"/>
                <w:i w:val="0"/>
                <w:iCs w:val="0"/>
                <w:color w:val="000000"/>
                <w:kern w:val="0"/>
                <w:sz w:val="24"/>
                <w:szCs w:val="24"/>
                <w:u w:val="none"/>
                <w:lang w:val="en-US" w:eastAsia="zh-CN" w:bidi="ar"/>
              </w:rPr>
            </w:pPr>
          </w:p>
        </w:tc>
        <w:tc>
          <w:tcPr>
            <w:tcW w:w="1080" w:type="dxa"/>
            <w:vAlign w:val="center"/>
          </w:tcPr>
          <w:p w14:paraId="20962E7C">
            <w:pP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条款号</w:t>
            </w:r>
          </w:p>
        </w:tc>
        <w:tc>
          <w:tcPr>
            <w:tcW w:w="3060" w:type="dxa"/>
            <w:vAlign w:val="center"/>
          </w:tcPr>
          <w:p w14:paraId="38264424">
            <w:pP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条款要求</w:t>
            </w:r>
          </w:p>
        </w:tc>
        <w:tc>
          <w:tcPr>
            <w:tcW w:w="3554" w:type="dxa"/>
            <w:vMerge w:val="continue"/>
            <w:vAlign w:val="center"/>
          </w:tcPr>
          <w:p w14:paraId="696C849D">
            <w:pPr>
              <w:rPr>
                <w:rFonts w:hint="eastAsia" w:ascii="仿宋_GB2312" w:hAnsi="仿宋_GB2312" w:eastAsia="仿宋_GB2312" w:cs="仿宋_GB2312"/>
                <w:i w:val="0"/>
                <w:iCs w:val="0"/>
                <w:color w:val="000000"/>
                <w:kern w:val="0"/>
                <w:sz w:val="24"/>
                <w:szCs w:val="24"/>
                <w:u w:val="none"/>
                <w:lang w:val="en-US" w:eastAsia="zh-CN" w:bidi="ar"/>
              </w:rPr>
            </w:pPr>
          </w:p>
        </w:tc>
      </w:tr>
      <w:tr w14:paraId="038A1B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23EA633C">
            <w:pP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1</w:t>
            </w:r>
          </w:p>
        </w:tc>
        <w:tc>
          <w:tcPr>
            <w:tcW w:w="1080" w:type="dxa"/>
            <w:vAlign w:val="center"/>
          </w:tcPr>
          <w:p w14:paraId="320820E0">
            <w:pPr>
              <w:rPr>
                <w:rFonts w:hint="eastAsia" w:ascii="仿宋_GB2312" w:hAnsi="仿宋_GB2312" w:eastAsia="仿宋_GB2312" w:cs="仿宋_GB2312"/>
                <w:i w:val="0"/>
                <w:iCs w:val="0"/>
                <w:color w:val="000000"/>
                <w:kern w:val="0"/>
                <w:sz w:val="24"/>
                <w:szCs w:val="24"/>
                <w:u w:val="none"/>
                <w:lang w:val="en-US" w:eastAsia="zh-CN" w:bidi="ar"/>
              </w:rPr>
            </w:pPr>
          </w:p>
        </w:tc>
        <w:tc>
          <w:tcPr>
            <w:tcW w:w="3060" w:type="dxa"/>
            <w:vAlign w:val="center"/>
          </w:tcPr>
          <w:p w14:paraId="5F82F0CB">
            <w:pPr>
              <w:rPr>
                <w:rFonts w:hint="eastAsia" w:ascii="仿宋_GB2312" w:hAnsi="仿宋_GB2312" w:eastAsia="仿宋_GB2312" w:cs="仿宋_GB2312"/>
                <w:i w:val="0"/>
                <w:iCs w:val="0"/>
                <w:color w:val="000000"/>
                <w:kern w:val="0"/>
                <w:sz w:val="24"/>
                <w:szCs w:val="24"/>
                <w:u w:val="none"/>
                <w:lang w:val="en-US" w:eastAsia="zh-CN" w:bidi="ar"/>
              </w:rPr>
            </w:pPr>
          </w:p>
        </w:tc>
        <w:tc>
          <w:tcPr>
            <w:tcW w:w="3554" w:type="dxa"/>
            <w:vAlign w:val="center"/>
          </w:tcPr>
          <w:p w14:paraId="382FD772">
            <w:pPr>
              <w:rPr>
                <w:rFonts w:hint="eastAsia" w:ascii="仿宋_GB2312" w:hAnsi="仿宋_GB2312" w:eastAsia="仿宋_GB2312" w:cs="仿宋_GB2312"/>
                <w:i w:val="0"/>
                <w:iCs w:val="0"/>
                <w:color w:val="000000"/>
                <w:kern w:val="0"/>
                <w:sz w:val="24"/>
                <w:szCs w:val="24"/>
                <w:u w:val="none"/>
                <w:lang w:val="en-US" w:eastAsia="zh-CN" w:bidi="ar"/>
              </w:rPr>
            </w:pPr>
          </w:p>
        </w:tc>
      </w:tr>
      <w:tr w14:paraId="0C9FDF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5354ABA6">
            <w:pP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2</w:t>
            </w:r>
          </w:p>
        </w:tc>
        <w:tc>
          <w:tcPr>
            <w:tcW w:w="1080" w:type="dxa"/>
            <w:vAlign w:val="center"/>
          </w:tcPr>
          <w:p w14:paraId="38315D9E">
            <w:pPr>
              <w:rPr>
                <w:rFonts w:hint="eastAsia" w:ascii="仿宋_GB2312" w:hAnsi="仿宋_GB2312" w:eastAsia="仿宋_GB2312" w:cs="仿宋_GB2312"/>
                <w:i w:val="0"/>
                <w:iCs w:val="0"/>
                <w:color w:val="000000"/>
                <w:kern w:val="0"/>
                <w:sz w:val="24"/>
                <w:szCs w:val="24"/>
                <w:u w:val="none"/>
                <w:lang w:val="en-US" w:eastAsia="zh-CN" w:bidi="ar"/>
              </w:rPr>
            </w:pPr>
          </w:p>
        </w:tc>
        <w:tc>
          <w:tcPr>
            <w:tcW w:w="3060" w:type="dxa"/>
            <w:vAlign w:val="center"/>
          </w:tcPr>
          <w:p w14:paraId="5BFE9E5D">
            <w:pPr>
              <w:rPr>
                <w:rFonts w:hint="eastAsia" w:ascii="仿宋_GB2312" w:hAnsi="仿宋_GB2312" w:eastAsia="仿宋_GB2312" w:cs="仿宋_GB2312"/>
                <w:i w:val="0"/>
                <w:iCs w:val="0"/>
                <w:color w:val="000000"/>
                <w:kern w:val="0"/>
                <w:sz w:val="24"/>
                <w:szCs w:val="24"/>
                <w:u w:val="none"/>
                <w:lang w:val="en-US" w:eastAsia="zh-CN" w:bidi="ar"/>
              </w:rPr>
            </w:pPr>
          </w:p>
        </w:tc>
        <w:tc>
          <w:tcPr>
            <w:tcW w:w="3554" w:type="dxa"/>
            <w:vAlign w:val="center"/>
          </w:tcPr>
          <w:p w14:paraId="4A0496EF">
            <w:pPr>
              <w:rPr>
                <w:rFonts w:hint="eastAsia" w:ascii="仿宋_GB2312" w:hAnsi="仿宋_GB2312" w:eastAsia="仿宋_GB2312" w:cs="仿宋_GB2312"/>
                <w:i w:val="0"/>
                <w:iCs w:val="0"/>
                <w:color w:val="000000"/>
                <w:kern w:val="0"/>
                <w:sz w:val="24"/>
                <w:szCs w:val="24"/>
                <w:u w:val="none"/>
                <w:lang w:val="en-US" w:eastAsia="zh-CN" w:bidi="ar"/>
              </w:rPr>
            </w:pPr>
          </w:p>
        </w:tc>
      </w:tr>
      <w:tr w14:paraId="0730CA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4C6A605F">
            <w:pP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3</w:t>
            </w:r>
          </w:p>
        </w:tc>
        <w:tc>
          <w:tcPr>
            <w:tcW w:w="1080" w:type="dxa"/>
            <w:vAlign w:val="center"/>
          </w:tcPr>
          <w:p w14:paraId="23804881">
            <w:pPr>
              <w:rPr>
                <w:rFonts w:hint="eastAsia" w:ascii="仿宋_GB2312" w:hAnsi="仿宋_GB2312" w:eastAsia="仿宋_GB2312" w:cs="仿宋_GB2312"/>
                <w:i w:val="0"/>
                <w:iCs w:val="0"/>
                <w:color w:val="000000"/>
                <w:kern w:val="0"/>
                <w:sz w:val="24"/>
                <w:szCs w:val="24"/>
                <w:u w:val="none"/>
                <w:lang w:val="en-US" w:eastAsia="zh-CN" w:bidi="ar"/>
              </w:rPr>
            </w:pPr>
          </w:p>
        </w:tc>
        <w:tc>
          <w:tcPr>
            <w:tcW w:w="3060" w:type="dxa"/>
            <w:vAlign w:val="center"/>
          </w:tcPr>
          <w:p w14:paraId="736E5DD2">
            <w:pPr>
              <w:rPr>
                <w:rFonts w:hint="eastAsia" w:ascii="仿宋_GB2312" w:hAnsi="仿宋_GB2312" w:eastAsia="仿宋_GB2312" w:cs="仿宋_GB2312"/>
                <w:i w:val="0"/>
                <w:iCs w:val="0"/>
                <w:color w:val="000000"/>
                <w:kern w:val="0"/>
                <w:sz w:val="24"/>
                <w:szCs w:val="24"/>
                <w:u w:val="none"/>
                <w:lang w:val="en-US" w:eastAsia="zh-CN" w:bidi="ar"/>
              </w:rPr>
            </w:pPr>
          </w:p>
        </w:tc>
        <w:tc>
          <w:tcPr>
            <w:tcW w:w="3554" w:type="dxa"/>
            <w:vAlign w:val="center"/>
          </w:tcPr>
          <w:p w14:paraId="2DF1702F">
            <w:pPr>
              <w:rPr>
                <w:rFonts w:hint="eastAsia" w:ascii="仿宋_GB2312" w:hAnsi="仿宋_GB2312" w:eastAsia="仿宋_GB2312" w:cs="仿宋_GB2312"/>
                <w:i w:val="0"/>
                <w:iCs w:val="0"/>
                <w:color w:val="000000"/>
                <w:kern w:val="0"/>
                <w:sz w:val="24"/>
                <w:szCs w:val="24"/>
                <w:u w:val="none"/>
                <w:lang w:val="en-US" w:eastAsia="zh-CN" w:bidi="ar"/>
              </w:rPr>
            </w:pPr>
          </w:p>
        </w:tc>
      </w:tr>
      <w:tr w14:paraId="34A859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6AD4BFDF">
            <w:pP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4</w:t>
            </w:r>
          </w:p>
        </w:tc>
        <w:tc>
          <w:tcPr>
            <w:tcW w:w="1080" w:type="dxa"/>
            <w:vAlign w:val="center"/>
          </w:tcPr>
          <w:p w14:paraId="779D5045">
            <w:pPr>
              <w:rPr>
                <w:rFonts w:hint="eastAsia" w:ascii="仿宋_GB2312" w:hAnsi="仿宋_GB2312" w:eastAsia="仿宋_GB2312" w:cs="仿宋_GB2312"/>
                <w:i w:val="0"/>
                <w:iCs w:val="0"/>
                <w:color w:val="000000"/>
                <w:kern w:val="0"/>
                <w:sz w:val="24"/>
                <w:szCs w:val="24"/>
                <w:u w:val="none"/>
                <w:lang w:val="en-US" w:eastAsia="zh-CN" w:bidi="ar"/>
              </w:rPr>
            </w:pPr>
          </w:p>
        </w:tc>
        <w:tc>
          <w:tcPr>
            <w:tcW w:w="3060" w:type="dxa"/>
            <w:vAlign w:val="center"/>
          </w:tcPr>
          <w:p w14:paraId="49072825">
            <w:pPr>
              <w:rPr>
                <w:rFonts w:hint="eastAsia" w:ascii="仿宋_GB2312" w:hAnsi="仿宋_GB2312" w:eastAsia="仿宋_GB2312" w:cs="仿宋_GB2312"/>
                <w:i w:val="0"/>
                <w:iCs w:val="0"/>
                <w:color w:val="000000"/>
                <w:kern w:val="0"/>
                <w:sz w:val="24"/>
                <w:szCs w:val="24"/>
                <w:u w:val="none"/>
                <w:lang w:val="en-US" w:eastAsia="zh-CN" w:bidi="ar"/>
              </w:rPr>
            </w:pPr>
          </w:p>
        </w:tc>
        <w:tc>
          <w:tcPr>
            <w:tcW w:w="3554" w:type="dxa"/>
            <w:vAlign w:val="center"/>
          </w:tcPr>
          <w:p w14:paraId="24F0080B">
            <w:pPr>
              <w:rPr>
                <w:rFonts w:hint="eastAsia" w:ascii="仿宋_GB2312" w:hAnsi="仿宋_GB2312" w:eastAsia="仿宋_GB2312" w:cs="仿宋_GB2312"/>
                <w:i w:val="0"/>
                <w:iCs w:val="0"/>
                <w:color w:val="000000"/>
                <w:kern w:val="0"/>
                <w:sz w:val="24"/>
                <w:szCs w:val="24"/>
                <w:u w:val="none"/>
                <w:lang w:val="en-US" w:eastAsia="zh-CN" w:bidi="ar"/>
              </w:rPr>
            </w:pPr>
          </w:p>
        </w:tc>
      </w:tr>
      <w:tr w14:paraId="0F29B2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75607EA8">
            <w:pP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5</w:t>
            </w:r>
          </w:p>
        </w:tc>
        <w:tc>
          <w:tcPr>
            <w:tcW w:w="1080" w:type="dxa"/>
            <w:vAlign w:val="center"/>
          </w:tcPr>
          <w:p w14:paraId="75381E2C">
            <w:pPr>
              <w:rPr>
                <w:rFonts w:hint="eastAsia" w:ascii="仿宋_GB2312" w:hAnsi="仿宋_GB2312" w:eastAsia="仿宋_GB2312" w:cs="仿宋_GB2312"/>
                <w:i w:val="0"/>
                <w:iCs w:val="0"/>
                <w:color w:val="000000"/>
                <w:kern w:val="0"/>
                <w:sz w:val="24"/>
                <w:szCs w:val="24"/>
                <w:u w:val="none"/>
                <w:lang w:val="en-US" w:eastAsia="zh-CN" w:bidi="ar"/>
              </w:rPr>
            </w:pPr>
          </w:p>
        </w:tc>
        <w:tc>
          <w:tcPr>
            <w:tcW w:w="3060" w:type="dxa"/>
            <w:vAlign w:val="center"/>
          </w:tcPr>
          <w:p w14:paraId="304AE35A">
            <w:pPr>
              <w:rPr>
                <w:rFonts w:hint="eastAsia" w:ascii="仿宋_GB2312" w:hAnsi="仿宋_GB2312" w:eastAsia="仿宋_GB2312" w:cs="仿宋_GB2312"/>
                <w:i w:val="0"/>
                <w:iCs w:val="0"/>
                <w:color w:val="000000"/>
                <w:kern w:val="0"/>
                <w:sz w:val="24"/>
                <w:szCs w:val="24"/>
                <w:u w:val="none"/>
                <w:lang w:val="en-US" w:eastAsia="zh-CN" w:bidi="ar"/>
              </w:rPr>
            </w:pPr>
          </w:p>
        </w:tc>
        <w:tc>
          <w:tcPr>
            <w:tcW w:w="3554" w:type="dxa"/>
            <w:vAlign w:val="center"/>
          </w:tcPr>
          <w:p w14:paraId="3A23051C">
            <w:pPr>
              <w:rPr>
                <w:rFonts w:hint="eastAsia" w:ascii="仿宋_GB2312" w:hAnsi="仿宋_GB2312" w:eastAsia="仿宋_GB2312" w:cs="仿宋_GB2312"/>
                <w:i w:val="0"/>
                <w:iCs w:val="0"/>
                <w:color w:val="000000"/>
                <w:kern w:val="0"/>
                <w:sz w:val="24"/>
                <w:szCs w:val="24"/>
                <w:u w:val="none"/>
                <w:lang w:val="en-US" w:eastAsia="zh-CN" w:bidi="ar"/>
              </w:rPr>
            </w:pPr>
          </w:p>
        </w:tc>
      </w:tr>
      <w:tr w14:paraId="5B9B4C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2BA15282">
            <w:pP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6</w:t>
            </w:r>
          </w:p>
        </w:tc>
        <w:tc>
          <w:tcPr>
            <w:tcW w:w="1080" w:type="dxa"/>
            <w:vAlign w:val="center"/>
          </w:tcPr>
          <w:p w14:paraId="0A2F0B17">
            <w:pPr>
              <w:rPr>
                <w:rFonts w:hint="eastAsia" w:ascii="仿宋_GB2312" w:hAnsi="仿宋_GB2312" w:eastAsia="仿宋_GB2312" w:cs="仿宋_GB2312"/>
                <w:i w:val="0"/>
                <w:iCs w:val="0"/>
                <w:color w:val="000000"/>
                <w:kern w:val="0"/>
                <w:sz w:val="24"/>
                <w:szCs w:val="24"/>
                <w:u w:val="none"/>
                <w:lang w:val="en-US" w:eastAsia="zh-CN" w:bidi="ar"/>
              </w:rPr>
            </w:pPr>
          </w:p>
        </w:tc>
        <w:tc>
          <w:tcPr>
            <w:tcW w:w="3060" w:type="dxa"/>
            <w:vAlign w:val="center"/>
          </w:tcPr>
          <w:p w14:paraId="456F295B">
            <w:pPr>
              <w:rPr>
                <w:rFonts w:hint="eastAsia" w:ascii="仿宋_GB2312" w:hAnsi="仿宋_GB2312" w:eastAsia="仿宋_GB2312" w:cs="仿宋_GB2312"/>
                <w:i w:val="0"/>
                <w:iCs w:val="0"/>
                <w:color w:val="000000"/>
                <w:kern w:val="0"/>
                <w:sz w:val="24"/>
                <w:szCs w:val="24"/>
                <w:u w:val="none"/>
                <w:lang w:val="en-US" w:eastAsia="zh-CN" w:bidi="ar"/>
              </w:rPr>
            </w:pPr>
          </w:p>
        </w:tc>
        <w:tc>
          <w:tcPr>
            <w:tcW w:w="3554" w:type="dxa"/>
            <w:vAlign w:val="center"/>
          </w:tcPr>
          <w:p w14:paraId="4E79B2E8">
            <w:pPr>
              <w:rPr>
                <w:rFonts w:hint="eastAsia" w:ascii="仿宋_GB2312" w:hAnsi="仿宋_GB2312" w:eastAsia="仿宋_GB2312" w:cs="仿宋_GB2312"/>
                <w:i w:val="0"/>
                <w:iCs w:val="0"/>
                <w:color w:val="000000"/>
                <w:kern w:val="0"/>
                <w:sz w:val="24"/>
                <w:szCs w:val="24"/>
                <w:u w:val="none"/>
                <w:lang w:val="en-US" w:eastAsia="zh-CN" w:bidi="ar"/>
              </w:rPr>
            </w:pPr>
          </w:p>
        </w:tc>
      </w:tr>
      <w:tr w14:paraId="1C5EED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1522C42F">
            <w:pP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7</w:t>
            </w:r>
          </w:p>
        </w:tc>
        <w:tc>
          <w:tcPr>
            <w:tcW w:w="1080" w:type="dxa"/>
            <w:vAlign w:val="center"/>
          </w:tcPr>
          <w:p w14:paraId="06E568F4">
            <w:pPr>
              <w:rPr>
                <w:rFonts w:hint="eastAsia" w:ascii="仿宋_GB2312" w:hAnsi="仿宋_GB2312" w:eastAsia="仿宋_GB2312" w:cs="仿宋_GB2312"/>
                <w:i w:val="0"/>
                <w:iCs w:val="0"/>
                <w:color w:val="000000"/>
                <w:kern w:val="0"/>
                <w:sz w:val="24"/>
                <w:szCs w:val="24"/>
                <w:u w:val="none"/>
                <w:lang w:val="en-US" w:eastAsia="zh-CN" w:bidi="ar"/>
              </w:rPr>
            </w:pPr>
          </w:p>
        </w:tc>
        <w:tc>
          <w:tcPr>
            <w:tcW w:w="3060" w:type="dxa"/>
            <w:vAlign w:val="center"/>
          </w:tcPr>
          <w:p w14:paraId="1B60B3BF">
            <w:pPr>
              <w:rPr>
                <w:rFonts w:hint="eastAsia" w:ascii="仿宋_GB2312" w:hAnsi="仿宋_GB2312" w:eastAsia="仿宋_GB2312" w:cs="仿宋_GB2312"/>
                <w:i w:val="0"/>
                <w:iCs w:val="0"/>
                <w:color w:val="000000"/>
                <w:kern w:val="0"/>
                <w:sz w:val="24"/>
                <w:szCs w:val="24"/>
                <w:u w:val="none"/>
                <w:lang w:val="en-US" w:eastAsia="zh-CN" w:bidi="ar"/>
              </w:rPr>
            </w:pPr>
          </w:p>
        </w:tc>
        <w:tc>
          <w:tcPr>
            <w:tcW w:w="3554" w:type="dxa"/>
            <w:vAlign w:val="center"/>
          </w:tcPr>
          <w:p w14:paraId="3CD61318">
            <w:pPr>
              <w:rPr>
                <w:rFonts w:hint="eastAsia" w:ascii="仿宋_GB2312" w:hAnsi="仿宋_GB2312" w:eastAsia="仿宋_GB2312" w:cs="仿宋_GB2312"/>
                <w:i w:val="0"/>
                <w:iCs w:val="0"/>
                <w:color w:val="000000"/>
                <w:kern w:val="0"/>
                <w:sz w:val="24"/>
                <w:szCs w:val="24"/>
                <w:u w:val="none"/>
                <w:lang w:val="en-US" w:eastAsia="zh-CN" w:bidi="ar"/>
              </w:rPr>
            </w:pPr>
          </w:p>
        </w:tc>
      </w:tr>
      <w:tr w14:paraId="0AB78D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28541696">
            <w:pP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8</w:t>
            </w:r>
          </w:p>
        </w:tc>
        <w:tc>
          <w:tcPr>
            <w:tcW w:w="1080" w:type="dxa"/>
            <w:vAlign w:val="center"/>
          </w:tcPr>
          <w:p w14:paraId="055DA0E5">
            <w:pPr>
              <w:rPr>
                <w:rFonts w:hint="eastAsia" w:ascii="仿宋_GB2312" w:hAnsi="仿宋_GB2312" w:eastAsia="仿宋_GB2312" w:cs="仿宋_GB2312"/>
                <w:i w:val="0"/>
                <w:iCs w:val="0"/>
                <w:color w:val="000000"/>
                <w:kern w:val="0"/>
                <w:sz w:val="24"/>
                <w:szCs w:val="24"/>
                <w:u w:val="none"/>
                <w:lang w:val="en-US" w:eastAsia="zh-CN" w:bidi="ar"/>
              </w:rPr>
            </w:pPr>
          </w:p>
        </w:tc>
        <w:tc>
          <w:tcPr>
            <w:tcW w:w="3060" w:type="dxa"/>
            <w:vAlign w:val="center"/>
          </w:tcPr>
          <w:p w14:paraId="25A945D7">
            <w:pPr>
              <w:rPr>
                <w:rFonts w:hint="eastAsia" w:ascii="仿宋_GB2312" w:hAnsi="仿宋_GB2312" w:eastAsia="仿宋_GB2312" w:cs="仿宋_GB2312"/>
                <w:i w:val="0"/>
                <w:iCs w:val="0"/>
                <w:color w:val="000000"/>
                <w:kern w:val="0"/>
                <w:sz w:val="24"/>
                <w:szCs w:val="24"/>
                <w:u w:val="none"/>
                <w:lang w:val="en-US" w:eastAsia="zh-CN" w:bidi="ar"/>
              </w:rPr>
            </w:pPr>
          </w:p>
        </w:tc>
        <w:tc>
          <w:tcPr>
            <w:tcW w:w="3554" w:type="dxa"/>
            <w:vAlign w:val="center"/>
          </w:tcPr>
          <w:p w14:paraId="46D6A932">
            <w:pPr>
              <w:rPr>
                <w:rFonts w:hint="eastAsia" w:ascii="仿宋_GB2312" w:hAnsi="仿宋_GB2312" w:eastAsia="仿宋_GB2312" w:cs="仿宋_GB2312"/>
                <w:i w:val="0"/>
                <w:iCs w:val="0"/>
                <w:color w:val="000000"/>
                <w:kern w:val="0"/>
                <w:sz w:val="24"/>
                <w:szCs w:val="24"/>
                <w:u w:val="none"/>
                <w:lang w:val="en-US" w:eastAsia="zh-CN" w:bidi="ar"/>
              </w:rPr>
            </w:pPr>
          </w:p>
        </w:tc>
      </w:tr>
      <w:tr w14:paraId="1A224A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239694CE">
            <w:pP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9</w:t>
            </w:r>
          </w:p>
        </w:tc>
        <w:tc>
          <w:tcPr>
            <w:tcW w:w="1080" w:type="dxa"/>
            <w:vAlign w:val="center"/>
          </w:tcPr>
          <w:p w14:paraId="380101BD">
            <w:pPr>
              <w:rPr>
                <w:rFonts w:hint="eastAsia" w:ascii="仿宋_GB2312" w:hAnsi="仿宋_GB2312" w:eastAsia="仿宋_GB2312" w:cs="仿宋_GB2312"/>
                <w:i w:val="0"/>
                <w:iCs w:val="0"/>
                <w:color w:val="000000"/>
                <w:kern w:val="0"/>
                <w:sz w:val="24"/>
                <w:szCs w:val="24"/>
                <w:u w:val="none"/>
                <w:lang w:val="en-US" w:eastAsia="zh-CN" w:bidi="ar"/>
              </w:rPr>
            </w:pPr>
          </w:p>
        </w:tc>
        <w:tc>
          <w:tcPr>
            <w:tcW w:w="3060" w:type="dxa"/>
            <w:vAlign w:val="center"/>
          </w:tcPr>
          <w:p w14:paraId="50358E18">
            <w:pPr>
              <w:rPr>
                <w:rFonts w:hint="eastAsia" w:ascii="仿宋_GB2312" w:hAnsi="仿宋_GB2312" w:eastAsia="仿宋_GB2312" w:cs="仿宋_GB2312"/>
                <w:i w:val="0"/>
                <w:iCs w:val="0"/>
                <w:color w:val="000000"/>
                <w:kern w:val="0"/>
                <w:sz w:val="24"/>
                <w:szCs w:val="24"/>
                <w:u w:val="none"/>
                <w:lang w:val="en-US" w:eastAsia="zh-CN" w:bidi="ar"/>
              </w:rPr>
            </w:pPr>
          </w:p>
        </w:tc>
        <w:tc>
          <w:tcPr>
            <w:tcW w:w="3554" w:type="dxa"/>
            <w:vAlign w:val="center"/>
          </w:tcPr>
          <w:p w14:paraId="6A4B67DF">
            <w:pPr>
              <w:rPr>
                <w:rFonts w:hint="eastAsia" w:ascii="仿宋_GB2312" w:hAnsi="仿宋_GB2312" w:eastAsia="仿宋_GB2312" w:cs="仿宋_GB2312"/>
                <w:i w:val="0"/>
                <w:iCs w:val="0"/>
                <w:color w:val="000000"/>
                <w:kern w:val="0"/>
                <w:sz w:val="24"/>
                <w:szCs w:val="24"/>
                <w:u w:val="none"/>
                <w:lang w:val="en-US" w:eastAsia="zh-CN" w:bidi="ar"/>
              </w:rPr>
            </w:pPr>
          </w:p>
        </w:tc>
      </w:tr>
      <w:tr w14:paraId="5C67F7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2826C2BE">
            <w:pP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10</w:t>
            </w:r>
          </w:p>
        </w:tc>
        <w:tc>
          <w:tcPr>
            <w:tcW w:w="1080" w:type="dxa"/>
            <w:vAlign w:val="center"/>
          </w:tcPr>
          <w:p w14:paraId="45C4E038">
            <w:pPr>
              <w:rPr>
                <w:rFonts w:hint="eastAsia" w:ascii="仿宋_GB2312" w:hAnsi="仿宋_GB2312" w:eastAsia="仿宋_GB2312" w:cs="仿宋_GB2312"/>
                <w:i w:val="0"/>
                <w:iCs w:val="0"/>
                <w:color w:val="000000"/>
                <w:kern w:val="0"/>
                <w:sz w:val="24"/>
                <w:szCs w:val="24"/>
                <w:u w:val="none"/>
                <w:lang w:val="en-US" w:eastAsia="zh-CN" w:bidi="ar"/>
              </w:rPr>
            </w:pPr>
          </w:p>
        </w:tc>
        <w:tc>
          <w:tcPr>
            <w:tcW w:w="3060" w:type="dxa"/>
            <w:vAlign w:val="center"/>
          </w:tcPr>
          <w:p w14:paraId="0F4D4478">
            <w:pPr>
              <w:rPr>
                <w:rFonts w:hint="eastAsia" w:ascii="仿宋_GB2312" w:hAnsi="仿宋_GB2312" w:eastAsia="仿宋_GB2312" w:cs="仿宋_GB2312"/>
                <w:i w:val="0"/>
                <w:iCs w:val="0"/>
                <w:color w:val="000000"/>
                <w:kern w:val="0"/>
                <w:sz w:val="24"/>
                <w:szCs w:val="24"/>
                <w:u w:val="none"/>
                <w:lang w:val="en-US" w:eastAsia="zh-CN" w:bidi="ar"/>
              </w:rPr>
            </w:pPr>
          </w:p>
        </w:tc>
        <w:tc>
          <w:tcPr>
            <w:tcW w:w="3554" w:type="dxa"/>
            <w:vAlign w:val="center"/>
          </w:tcPr>
          <w:p w14:paraId="6D1C68AE">
            <w:pPr>
              <w:rPr>
                <w:rFonts w:hint="eastAsia" w:ascii="仿宋_GB2312" w:hAnsi="仿宋_GB2312" w:eastAsia="仿宋_GB2312" w:cs="仿宋_GB2312"/>
                <w:i w:val="0"/>
                <w:iCs w:val="0"/>
                <w:color w:val="000000"/>
                <w:kern w:val="0"/>
                <w:sz w:val="24"/>
                <w:szCs w:val="24"/>
                <w:u w:val="none"/>
                <w:lang w:val="en-US" w:eastAsia="zh-CN" w:bidi="ar"/>
              </w:rPr>
            </w:pPr>
          </w:p>
        </w:tc>
      </w:tr>
    </w:tbl>
    <w:p w14:paraId="1CA78D45">
      <w:pPr>
        <w:rPr>
          <w:rFonts w:hint="eastAsia" w:ascii="仿宋_GB2312" w:hAnsi="仿宋_GB2312" w:eastAsia="仿宋_GB2312" w:cs="仿宋_GB2312"/>
          <w:i w:val="0"/>
          <w:iCs w:val="0"/>
          <w:color w:val="000000"/>
          <w:kern w:val="0"/>
          <w:sz w:val="24"/>
          <w:szCs w:val="24"/>
          <w:u w:val="none"/>
          <w:lang w:val="en-US" w:eastAsia="zh-CN" w:bidi="ar"/>
        </w:rPr>
      </w:pPr>
    </w:p>
    <w:p w14:paraId="427B7697">
      <w:pP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投标人名称（盖章）：              法定代表人或授权代表签字：</w:t>
      </w:r>
    </w:p>
    <w:p w14:paraId="19B10CE0">
      <w:pPr>
        <w:rPr>
          <w:rFonts w:hint="eastAsia" w:ascii="仿宋_GB2312" w:hAnsi="仿宋_GB2312" w:eastAsia="仿宋_GB2312" w:cs="仿宋_GB2312"/>
          <w:i w:val="0"/>
          <w:iCs w:val="0"/>
          <w:color w:val="000000"/>
          <w:kern w:val="0"/>
          <w:sz w:val="24"/>
          <w:szCs w:val="24"/>
          <w:u w:val="none"/>
          <w:lang w:val="en-US" w:eastAsia="zh-CN" w:bidi="ar"/>
        </w:rPr>
      </w:pPr>
    </w:p>
    <w:p w14:paraId="22EDEB97">
      <w:pPr>
        <w:rPr>
          <w:rFonts w:hint="eastAsia" w:ascii="仿宋_GB2312" w:hAnsi="仿宋_GB2312" w:eastAsia="仿宋_GB2312" w:cs="仿宋_GB2312"/>
          <w:i w:val="0"/>
          <w:iCs w:val="0"/>
          <w:color w:val="000000"/>
          <w:kern w:val="0"/>
          <w:sz w:val="24"/>
          <w:szCs w:val="24"/>
          <w:u w:val="none"/>
          <w:lang w:val="en-US" w:eastAsia="zh-CN" w:bidi="ar"/>
        </w:rPr>
      </w:pPr>
    </w:p>
    <w:p w14:paraId="62BC301B">
      <w:pPr>
        <w:spacing w:line="360" w:lineRule="auto"/>
        <w:rPr>
          <w:rFonts w:hint="eastAsia" w:ascii="宋体" w:hAnsi="宋体"/>
          <w:sz w:val="24"/>
        </w:rPr>
      </w:pPr>
      <w:r>
        <w:rPr>
          <w:rFonts w:hint="eastAsia" w:ascii="仿宋_GB2312" w:hAnsi="仿宋_GB2312" w:eastAsia="仿宋_GB2312" w:cs="仿宋_GB2312"/>
          <w:i w:val="0"/>
          <w:iCs w:val="0"/>
          <w:color w:val="000000"/>
          <w:kern w:val="0"/>
          <w:sz w:val="24"/>
          <w:szCs w:val="24"/>
          <w:u w:val="none"/>
          <w:lang w:val="en-US" w:eastAsia="zh-CN" w:bidi="ar"/>
        </w:rPr>
        <w:t>注：为避免歧义，无偏离也应要提报该表，并注明“无”字。如无该表则即使在其它部分已反映，将也被视为“无偏离”。</w:t>
      </w:r>
    </w:p>
    <w:p w14:paraId="2EC6DF5B">
      <w:pPr>
        <w:rPr>
          <w:rFonts w:hint="eastAsia" w:hAnsi="宋体" w:eastAsia="宋体" w:cs="宋体"/>
          <w:b/>
          <w:bCs/>
          <w:color w:val="000000"/>
          <w:sz w:val="24"/>
          <w:szCs w:val="24"/>
          <w:highlight w:val="none"/>
        </w:rPr>
      </w:pPr>
      <w:r>
        <w:rPr>
          <w:rFonts w:hint="eastAsia" w:hAnsi="宋体" w:eastAsia="宋体" w:cs="宋体"/>
          <w:b/>
          <w:bCs/>
          <w:color w:val="000000"/>
          <w:sz w:val="24"/>
          <w:szCs w:val="24"/>
          <w:highlight w:val="none"/>
        </w:rPr>
        <w:br w:type="page"/>
      </w:r>
    </w:p>
    <w:p w14:paraId="0B13CA40">
      <w:pPr>
        <w:pStyle w:val="26"/>
        <w:outlineLvl w:val="2"/>
        <w:rPr>
          <w:rFonts w:hAnsi="宋体" w:eastAsia="宋体" w:cs="宋体"/>
          <w:b/>
          <w:bCs/>
          <w:color w:val="000000"/>
          <w:sz w:val="24"/>
          <w:szCs w:val="24"/>
        </w:rPr>
      </w:pPr>
      <w:r>
        <w:rPr>
          <w:rFonts w:hint="eastAsia" w:hAnsi="宋体" w:eastAsia="宋体" w:cs="宋体"/>
          <w:b/>
          <w:bCs/>
          <w:color w:val="000000"/>
          <w:sz w:val="24"/>
          <w:szCs w:val="24"/>
          <w:highlight w:val="none"/>
        </w:rPr>
        <w:t>附件</w:t>
      </w:r>
      <w:r>
        <w:rPr>
          <w:rFonts w:hint="eastAsia" w:hAnsi="宋体" w:cs="宋体"/>
          <w:b/>
          <w:bCs/>
          <w:color w:val="000000"/>
          <w:sz w:val="24"/>
          <w:szCs w:val="24"/>
          <w:highlight w:val="none"/>
          <w:lang w:val="en-US" w:eastAsia="zh-CN"/>
        </w:rPr>
        <w:t>一</w:t>
      </w:r>
      <w:r>
        <w:rPr>
          <w:rFonts w:hint="eastAsia" w:hAnsi="宋体" w:eastAsia="宋体" w:cs="宋体"/>
          <w:b/>
          <w:bCs/>
          <w:color w:val="000000"/>
          <w:sz w:val="24"/>
          <w:szCs w:val="24"/>
          <w:highlight w:val="none"/>
        </w:rPr>
        <w:t xml:space="preserve"> </w:t>
      </w:r>
      <w:r>
        <w:rPr>
          <w:rFonts w:hint="eastAsia" w:hAnsi="宋体" w:eastAsia="宋体" w:cs="宋体"/>
          <w:b/>
          <w:bCs/>
          <w:color w:val="000000"/>
          <w:sz w:val="24"/>
          <w:szCs w:val="24"/>
        </w:rPr>
        <w:t>SRM非生产供应商注册操作手册</w:t>
      </w:r>
    </w:p>
    <w:p w14:paraId="1F340AF8">
      <w:pPr>
        <w:adjustRightInd w:val="0"/>
        <w:snapToGrid w:val="0"/>
        <w:jc w:val="left"/>
        <w:rPr>
          <w:rFonts w:ascii="宋体" w:hAnsi="宋体" w:eastAsia="宋体" w:cs="宋体"/>
          <w:sz w:val="24"/>
          <w:szCs w:val="24"/>
        </w:rPr>
      </w:pPr>
    </w:p>
    <w:p w14:paraId="44286618">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浏览器中输入地址;</w:t>
      </w:r>
    </w:p>
    <w:p w14:paraId="53F35A8F">
      <w:pPr>
        <w:adjustRightInd w:val="0"/>
        <w:snapToGrid w:val="0"/>
        <w:spacing w:line="360" w:lineRule="auto"/>
        <w:jc w:val="left"/>
        <w:rPr>
          <w:rFonts w:hint="eastAsia" w:ascii="宋体" w:hAnsi="宋体" w:cs="宋体"/>
          <w:b/>
          <w:bCs/>
          <w:sz w:val="24"/>
          <w:szCs w:val="24"/>
          <w:lang w:val="en-US" w:eastAsia="zh-CN"/>
        </w:rPr>
      </w:pPr>
      <w:r>
        <w:fldChar w:fldCharType="begin"/>
      </w:r>
      <w:r>
        <w:instrText xml:space="preserve"> HYPERLINK "http://ecaitong.sinotruk.com:8012/" \l "/login" \t "dlt" </w:instrText>
      </w:r>
      <w:r>
        <w:fldChar w:fldCharType="separate"/>
      </w:r>
      <w:r>
        <w:rPr>
          <w:rFonts w:ascii="宋体" w:hAnsi="宋体" w:eastAsia="宋体" w:cs="宋体"/>
          <w:sz w:val="24"/>
          <w:szCs w:val="24"/>
        </w:rPr>
        <w:t>http</w:t>
      </w:r>
      <w:r>
        <w:rPr>
          <w:rFonts w:hint="eastAsia" w:ascii="宋体" w:hAnsi="宋体" w:eastAsia="宋体" w:cs="宋体"/>
          <w:sz w:val="24"/>
          <w:szCs w:val="24"/>
          <w:lang w:val="en-US" w:eastAsia="zh-CN"/>
        </w:rPr>
        <w:t>s</w:t>
      </w:r>
      <w:r>
        <w:rPr>
          <w:rFonts w:ascii="宋体" w:hAnsi="宋体" w:eastAsia="宋体" w:cs="宋体"/>
          <w:sz w:val="24"/>
          <w:szCs w:val="24"/>
        </w:rPr>
        <w:t>://ecaitong.sinotruk.com:8012/#/login</w:t>
      </w:r>
      <w:r>
        <w:rPr>
          <w:rFonts w:ascii="宋体" w:hAnsi="宋体" w:eastAsia="宋体" w:cs="宋体"/>
          <w:sz w:val="24"/>
          <w:szCs w:val="24"/>
        </w:rPr>
        <w:fldChar w:fldCharType="end"/>
      </w:r>
      <w:r>
        <w:rPr>
          <w:rFonts w:ascii="宋体" w:hAnsi="宋体" w:eastAsia="宋体" w:cs="宋体"/>
          <w:sz w:val="24"/>
          <w:szCs w:val="24"/>
        </w:rPr>
        <w:br w:type="textWrapping"/>
      </w:r>
      <w:r>
        <w:rPr>
          <w:rFonts w:hint="eastAsia" w:ascii="宋体" w:hAnsi="宋体" w:eastAsia="宋体" w:cs="宋体"/>
          <w:sz w:val="24"/>
          <w:szCs w:val="24"/>
          <w:lang w:val="en-US" w:eastAsia="zh-CN"/>
        </w:rPr>
        <w:t>1.下载《供应商用户手册》</w:t>
      </w:r>
    </w:p>
    <w:p w14:paraId="5FE81A02">
      <w:pPr>
        <w:outlineLvl w:val="9"/>
        <w:rPr>
          <w:rFonts w:hint="default"/>
          <w:lang w:val="en-US" w:eastAsia="zh-CN"/>
        </w:rPr>
      </w:pPr>
      <w:r>
        <w:drawing>
          <wp:inline distT="0" distB="0" distL="114300" distR="114300">
            <wp:extent cx="5758815" cy="2764790"/>
            <wp:effectExtent l="0" t="0" r="6985" b="381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5"/>
                    <a:stretch>
                      <a:fillRect/>
                    </a:stretch>
                  </pic:blipFill>
                  <pic:spPr>
                    <a:xfrm>
                      <a:off x="0" y="0"/>
                      <a:ext cx="5758815" cy="2764790"/>
                    </a:xfrm>
                    <a:prstGeom prst="rect">
                      <a:avLst/>
                    </a:prstGeom>
                    <a:noFill/>
                    <a:ln>
                      <a:noFill/>
                    </a:ln>
                  </pic:spPr>
                </pic:pic>
              </a:graphicData>
            </a:graphic>
          </wp:inline>
        </w:drawing>
      </w:r>
    </w:p>
    <w:p w14:paraId="6B66287E">
      <w:pPr>
        <w:keepNext w:val="0"/>
        <w:keepLines w:val="0"/>
        <w:pageBreakBefore w:val="0"/>
        <w:widowControl w:val="0"/>
        <w:kinsoku/>
        <w:wordWrap/>
        <w:overflowPunct/>
        <w:topLinePunct w:val="0"/>
        <w:autoSpaceDE/>
        <w:autoSpaceDN/>
        <w:bidi w:val="0"/>
        <w:adjustRightInd w:val="0"/>
        <w:snapToGrid w:val="0"/>
        <w:spacing w:before="313" w:beforeLines="100" w:after="157" w:afterLines="50" w:line="440" w:lineRule="exact"/>
        <w:jc w:val="left"/>
        <w:textAlignment w:val="auto"/>
        <w:outlineLvl w:val="3"/>
        <w:rPr>
          <w:rFonts w:hint="default" w:ascii="宋体" w:hAnsi="宋体" w:eastAsia="宋体" w:cs="宋体"/>
          <w:b/>
          <w:bCs/>
          <w:sz w:val="24"/>
          <w:szCs w:val="24"/>
          <w:lang w:val="en-US" w:eastAsia="zh-CN"/>
        </w:rPr>
      </w:pPr>
      <w:r>
        <w:rPr>
          <w:rFonts w:hint="eastAsia" w:ascii="宋体" w:hAnsi="宋体" w:cs="宋体"/>
          <w:b/>
          <w:bCs/>
          <w:sz w:val="24"/>
          <w:szCs w:val="24"/>
          <w:lang w:val="en-US" w:eastAsia="zh-CN"/>
        </w:rPr>
        <w:t>一、首次注册</w:t>
      </w:r>
    </w:p>
    <w:p w14:paraId="06AC02F9">
      <w:pPr>
        <w:adjustRightInd w:val="0"/>
        <w:snapToGrid w:val="0"/>
        <w:spacing w:line="360" w:lineRule="auto"/>
        <w:jc w:val="left"/>
        <w:outlineLvl w:val="9"/>
        <w:rPr>
          <w:rFonts w:ascii="宋体" w:hAnsi="宋体" w:eastAsia="宋体" w:cs="宋体"/>
          <w:sz w:val="24"/>
          <w:szCs w:val="24"/>
        </w:rPr>
      </w:pPr>
      <w:r>
        <w:rPr>
          <w:rFonts w:ascii="宋体" w:hAnsi="宋体" w:eastAsia="宋体" w:cs="宋体"/>
          <w:sz w:val="24"/>
          <w:szCs w:val="24"/>
        </w:rPr>
        <w:t>1.点击立即注册</w:t>
      </w:r>
    </w:p>
    <w:p w14:paraId="43E0CCFD">
      <w:pPr>
        <w:snapToGrid w:val="0"/>
        <w:spacing w:line="312" w:lineRule="auto"/>
      </w:pPr>
      <w:r>
        <w:drawing>
          <wp:inline distT="0" distB="0" distL="0" distR="0">
            <wp:extent cx="5760085" cy="2933065"/>
            <wp:effectExtent l="0" t="0" r="5715" b="635"/>
            <wp:docPr id="3" name="picture" descr="descript"/>
            <wp:cNvGraphicFramePr/>
            <a:graphic xmlns:a="http://schemas.openxmlformats.org/drawingml/2006/main">
              <a:graphicData uri="http://schemas.openxmlformats.org/drawingml/2006/picture">
                <pic:pic xmlns:pic="http://schemas.openxmlformats.org/drawingml/2006/picture">
                  <pic:nvPicPr>
                    <pic:cNvPr id="3" name="picture" descr="descript"/>
                    <pic:cNvPicPr/>
                  </pic:nvPicPr>
                  <pic:blipFill>
                    <a:blip r:embed="rId16" cstate="print"/>
                    <a:srcRect/>
                    <a:stretch>
                      <a:fillRect/>
                    </a:stretch>
                  </pic:blipFill>
                  <pic:spPr>
                    <a:xfrm>
                      <a:off x="0" y="0"/>
                      <a:ext cx="5760085" cy="2933065"/>
                    </a:xfrm>
                    <a:prstGeom prst="rect">
                      <a:avLst/>
                    </a:prstGeom>
                  </pic:spPr>
                </pic:pic>
              </a:graphicData>
            </a:graphic>
          </wp:inline>
        </w:drawing>
      </w:r>
    </w:p>
    <w:p w14:paraId="38147027">
      <w:pPr>
        <w:keepNext w:val="0"/>
        <w:keepLines w:val="0"/>
        <w:widowControl/>
        <w:suppressLineNumbers w:val="0"/>
        <w:jc w:val="left"/>
      </w:pPr>
      <w:r>
        <w:rPr>
          <w:rFonts w:hint="eastAsia" w:ascii="宋体" w:hAnsi="宋体" w:eastAsia="宋体" w:cs="宋体"/>
          <w:color w:val="000000"/>
          <w:sz w:val="24"/>
          <w:szCs w:val="28"/>
        </w:rPr>
        <w:t>2.</w:t>
      </w:r>
      <w:r>
        <w:rPr>
          <w:rFonts w:ascii="宋体" w:hAnsi="宋体" w:eastAsia="宋体" w:cs="宋体"/>
          <w:color w:val="000000"/>
          <w:sz w:val="24"/>
          <w:szCs w:val="28"/>
        </w:rPr>
        <w:t>填写</w:t>
      </w:r>
      <w:r>
        <w:rPr>
          <w:rFonts w:hint="eastAsia" w:ascii="宋体" w:hAnsi="宋体" w:cs="宋体"/>
          <w:color w:val="000000"/>
          <w:sz w:val="24"/>
          <w:szCs w:val="28"/>
          <w:lang w:val="en-US" w:eastAsia="zh-CN"/>
        </w:rPr>
        <w:t>姓名、</w:t>
      </w:r>
      <w:r>
        <w:rPr>
          <w:rFonts w:ascii="宋体" w:hAnsi="宋体" w:eastAsia="宋体" w:cs="宋体"/>
          <w:color w:val="000000"/>
          <w:sz w:val="24"/>
          <w:szCs w:val="28"/>
        </w:rPr>
        <w:t>手机号码（没有注册过的）</w:t>
      </w:r>
      <w:r>
        <w:rPr>
          <w:rFonts w:hint="eastAsia" w:ascii="宋体" w:hAnsi="宋体" w:cs="宋体"/>
          <w:color w:val="000000"/>
          <w:sz w:val="24"/>
          <w:szCs w:val="28"/>
          <w:lang w:eastAsia="zh-CN"/>
        </w:rPr>
        <w:t>，</w:t>
      </w:r>
      <w:r>
        <w:rPr>
          <w:rFonts w:hint="eastAsia" w:ascii="宋体" w:hAnsi="宋体" w:eastAsia="宋体" w:cs="宋体"/>
          <w:color w:val="000000"/>
          <w:sz w:val="24"/>
          <w:szCs w:val="28"/>
          <w:lang w:val="en-US" w:eastAsia="zh-CN"/>
        </w:rPr>
        <w:t>通过手机号接收验证码（区分大小写），点击完成后提示“注册成功，请重新登录”。同时系统自动给手机号发送短信，短信中告知登录账号及初始密码。需要使用此账号密码登录系统，进行供应商信息注册</w:t>
      </w:r>
      <w:r>
        <w:rPr>
          <w:rFonts w:hint="eastAsia" w:ascii="宋体" w:hAnsi="宋体" w:eastAsia="宋体" w:cs="宋体"/>
          <w:color w:val="000000"/>
          <w:kern w:val="0"/>
          <w:sz w:val="20"/>
          <w:szCs w:val="20"/>
          <w:lang w:val="en-US" w:eastAsia="zh-CN" w:bidi="ar"/>
        </w:rPr>
        <w:t>。</w:t>
      </w:r>
    </w:p>
    <w:p w14:paraId="0C3D2B1B">
      <w:pPr>
        <w:spacing w:line="360" w:lineRule="auto"/>
        <w:rPr>
          <w:rFonts w:ascii="宋体" w:hAnsi="宋体" w:eastAsia="宋体" w:cs="宋体"/>
          <w:sz w:val="24"/>
          <w:szCs w:val="28"/>
        </w:rPr>
      </w:pPr>
    </w:p>
    <w:p w14:paraId="73620843">
      <w:pPr>
        <w:snapToGrid w:val="0"/>
        <w:spacing w:line="312" w:lineRule="auto"/>
      </w:pPr>
      <w:r>
        <w:drawing>
          <wp:inline distT="0" distB="0" distL="0" distR="0">
            <wp:extent cx="5760085" cy="2766695"/>
            <wp:effectExtent l="0" t="0" r="5715" b="1905"/>
            <wp:docPr id="4" name="picture" descr="descript"/>
            <wp:cNvGraphicFramePr/>
            <a:graphic xmlns:a="http://schemas.openxmlformats.org/drawingml/2006/main">
              <a:graphicData uri="http://schemas.openxmlformats.org/drawingml/2006/picture">
                <pic:pic xmlns:pic="http://schemas.openxmlformats.org/drawingml/2006/picture">
                  <pic:nvPicPr>
                    <pic:cNvPr id="4" name="picture" descr="descript"/>
                    <pic:cNvPicPr/>
                  </pic:nvPicPr>
                  <pic:blipFill>
                    <a:blip r:embed="rId17" cstate="print"/>
                    <a:srcRect/>
                    <a:stretch>
                      <a:fillRect/>
                    </a:stretch>
                  </pic:blipFill>
                  <pic:spPr>
                    <a:xfrm>
                      <a:off x="0" y="0"/>
                      <a:ext cx="5760085" cy="2766695"/>
                    </a:xfrm>
                    <a:prstGeom prst="rect">
                      <a:avLst/>
                    </a:prstGeom>
                  </pic:spPr>
                </pic:pic>
              </a:graphicData>
            </a:graphic>
          </wp:inline>
        </w:drawing>
      </w:r>
    </w:p>
    <w:p w14:paraId="1DF63456">
      <w:pPr>
        <w:spacing w:line="360" w:lineRule="auto"/>
        <w:rPr>
          <w:rFonts w:ascii="宋体" w:hAnsi="宋体" w:eastAsia="宋体" w:cs="宋体"/>
          <w:sz w:val="24"/>
          <w:szCs w:val="28"/>
        </w:rPr>
      </w:pPr>
      <w:r>
        <w:rPr>
          <w:rFonts w:hint="eastAsia" w:ascii="宋体" w:hAnsi="宋体" w:eastAsia="宋体" w:cs="宋体"/>
          <w:color w:val="000000"/>
          <w:sz w:val="24"/>
          <w:szCs w:val="28"/>
        </w:rPr>
        <w:t>3.</w:t>
      </w:r>
      <w:r>
        <w:rPr>
          <w:rFonts w:ascii="宋体" w:hAnsi="宋体" w:eastAsia="宋体" w:cs="宋体"/>
          <w:color w:val="000000"/>
          <w:sz w:val="24"/>
          <w:szCs w:val="28"/>
        </w:rPr>
        <w:t>注册成功登录这个手机号码的账号进入系统，点击供应商注册</w:t>
      </w:r>
    </w:p>
    <w:p w14:paraId="471D49BE">
      <w:pPr>
        <w:snapToGrid w:val="0"/>
        <w:spacing w:line="312" w:lineRule="auto"/>
      </w:pPr>
      <w:r>
        <w:drawing>
          <wp:inline distT="0" distB="0" distL="0" distR="0">
            <wp:extent cx="5760085" cy="2869565"/>
            <wp:effectExtent l="0" t="0" r="5715" b="635"/>
            <wp:docPr id="5" name="picture" descr="descript"/>
            <wp:cNvGraphicFramePr/>
            <a:graphic xmlns:a="http://schemas.openxmlformats.org/drawingml/2006/main">
              <a:graphicData uri="http://schemas.openxmlformats.org/drawingml/2006/picture">
                <pic:pic xmlns:pic="http://schemas.openxmlformats.org/drawingml/2006/picture">
                  <pic:nvPicPr>
                    <pic:cNvPr id="5" name="picture" descr="descript"/>
                    <pic:cNvPicPr/>
                  </pic:nvPicPr>
                  <pic:blipFill>
                    <a:blip r:embed="rId18" cstate="print"/>
                    <a:srcRect/>
                    <a:stretch>
                      <a:fillRect/>
                    </a:stretch>
                  </pic:blipFill>
                  <pic:spPr>
                    <a:xfrm>
                      <a:off x="0" y="0"/>
                      <a:ext cx="5760085" cy="2869565"/>
                    </a:xfrm>
                    <a:prstGeom prst="rect">
                      <a:avLst/>
                    </a:prstGeom>
                  </pic:spPr>
                </pic:pic>
              </a:graphicData>
            </a:graphic>
          </wp:inline>
        </w:drawing>
      </w:r>
    </w:p>
    <w:p w14:paraId="258F46E5">
      <w:pPr>
        <w:spacing w:line="360" w:lineRule="auto"/>
        <w:rPr>
          <w:rFonts w:ascii="宋体" w:hAnsi="宋体" w:eastAsia="宋体" w:cs="宋体"/>
          <w:sz w:val="24"/>
          <w:szCs w:val="28"/>
        </w:rPr>
      </w:pPr>
      <w:r>
        <w:rPr>
          <w:rFonts w:hint="eastAsia" w:ascii="宋体" w:hAnsi="宋体" w:eastAsia="宋体" w:cs="宋体"/>
          <w:color w:val="000000"/>
          <w:sz w:val="24"/>
          <w:szCs w:val="28"/>
        </w:rPr>
        <w:t>4.</w:t>
      </w:r>
      <w:r>
        <w:rPr>
          <w:rFonts w:ascii="宋体" w:hAnsi="宋体" w:eastAsia="宋体" w:cs="宋体"/>
          <w:color w:val="000000"/>
          <w:sz w:val="24"/>
          <w:szCs w:val="28"/>
        </w:rPr>
        <w:t>点击新增</w:t>
      </w:r>
    </w:p>
    <w:p w14:paraId="7EC3BF17">
      <w:pPr>
        <w:snapToGrid w:val="0"/>
        <w:spacing w:line="312" w:lineRule="auto"/>
      </w:pPr>
      <w:r>
        <w:drawing>
          <wp:inline distT="0" distB="0" distL="0" distR="0">
            <wp:extent cx="5760085" cy="2853055"/>
            <wp:effectExtent l="0" t="0" r="5715" b="4445"/>
            <wp:docPr id="6" name="picture" descr="descript"/>
            <wp:cNvGraphicFramePr/>
            <a:graphic xmlns:a="http://schemas.openxmlformats.org/drawingml/2006/main">
              <a:graphicData uri="http://schemas.openxmlformats.org/drawingml/2006/picture">
                <pic:pic xmlns:pic="http://schemas.openxmlformats.org/drawingml/2006/picture">
                  <pic:nvPicPr>
                    <pic:cNvPr id="6" name="picture" descr="descript"/>
                    <pic:cNvPicPr/>
                  </pic:nvPicPr>
                  <pic:blipFill>
                    <a:blip r:embed="rId19" cstate="print"/>
                    <a:srcRect/>
                    <a:stretch>
                      <a:fillRect/>
                    </a:stretch>
                  </pic:blipFill>
                  <pic:spPr>
                    <a:xfrm>
                      <a:off x="0" y="0"/>
                      <a:ext cx="5760085" cy="2853055"/>
                    </a:xfrm>
                    <a:prstGeom prst="rect">
                      <a:avLst/>
                    </a:prstGeom>
                  </pic:spPr>
                </pic:pic>
              </a:graphicData>
            </a:graphic>
          </wp:inline>
        </w:drawing>
      </w:r>
    </w:p>
    <w:p w14:paraId="619779B8">
      <w:pPr>
        <w:numPr>
          <w:ilvl w:val="0"/>
          <w:numId w:val="9"/>
        </w:numPr>
        <w:spacing w:line="360" w:lineRule="auto"/>
      </w:pPr>
      <w:r>
        <w:rPr>
          <w:rFonts w:ascii="宋体" w:hAnsi="宋体" w:eastAsia="宋体" w:cs="宋体"/>
          <w:color w:val="000000"/>
          <w:sz w:val="24"/>
          <w:szCs w:val="28"/>
        </w:rPr>
        <w:t>按要求填写所有信息，注意非生产类要填写合作单位，最后提交审批</w:t>
      </w:r>
      <w:r>
        <w:drawing>
          <wp:inline distT="0" distB="0" distL="114300" distR="114300">
            <wp:extent cx="5758180" cy="3058795"/>
            <wp:effectExtent l="0" t="0" r="7620" b="190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20"/>
                    <a:stretch>
                      <a:fillRect/>
                    </a:stretch>
                  </pic:blipFill>
                  <pic:spPr>
                    <a:xfrm>
                      <a:off x="0" y="0"/>
                      <a:ext cx="5758180" cy="3058795"/>
                    </a:xfrm>
                    <a:prstGeom prst="rect">
                      <a:avLst/>
                    </a:prstGeom>
                    <a:noFill/>
                    <a:ln>
                      <a:noFill/>
                    </a:ln>
                  </pic:spPr>
                </pic:pic>
              </a:graphicData>
            </a:graphic>
          </wp:inline>
        </w:drawing>
      </w:r>
    </w:p>
    <w:p w14:paraId="23EE8F94">
      <w:pPr>
        <w:numPr>
          <w:ilvl w:val="0"/>
          <w:numId w:val="0"/>
        </w:numPr>
        <w:spacing w:line="360" w:lineRule="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w:t>
      </w:r>
      <w:r>
        <w:rPr>
          <w:rFonts w:hint="eastAsia" w:ascii="宋体" w:hAnsi="宋体" w:eastAsia="宋体" w:cs="宋体"/>
          <w:b/>
          <w:bCs/>
          <w:sz w:val="24"/>
          <w:szCs w:val="24"/>
          <w:lang w:val="en-US" w:eastAsia="zh-CN"/>
        </w:rPr>
        <w:t>非生产-直管-直管</w:t>
      </w:r>
      <w:r>
        <w:rPr>
          <w:rFonts w:hint="eastAsia" w:ascii="宋体" w:hAnsi="宋体" w:eastAsia="宋体" w:cs="宋体"/>
          <w:sz w:val="24"/>
          <w:szCs w:val="24"/>
          <w:lang w:val="en-US" w:eastAsia="zh-CN"/>
        </w:rPr>
        <w:t>）</w:t>
      </w:r>
    </w:p>
    <w:p w14:paraId="3A98D68D">
      <w:r>
        <w:drawing>
          <wp:inline distT="0" distB="0" distL="0" distR="0">
            <wp:extent cx="5760085" cy="2809875"/>
            <wp:effectExtent l="0" t="0" r="5715" b="9525"/>
            <wp:docPr id="8" name="picture" descr="descript"/>
            <wp:cNvGraphicFramePr/>
            <a:graphic xmlns:a="http://schemas.openxmlformats.org/drawingml/2006/main">
              <a:graphicData uri="http://schemas.openxmlformats.org/drawingml/2006/picture">
                <pic:pic xmlns:pic="http://schemas.openxmlformats.org/drawingml/2006/picture">
                  <pic:nvPicPr>
                    <pic:cNvPr id="8" name="picture" descr="descript"/>
                    <pic:cNvPicPr/>
                  </pic:nvPicPr>
                  <pic:blipFill>
                    <a:blip r:embed="rId21" cstate="print"/>
                    <a:srcRect/>
                    <a:stretch>
                      <a:fillRect/>
                    </a:stretch>
                  </pic:blipFill>
                  <pic:spPr>
                    <a:xfrm>
                      <a:off x="0" y="0"/>
                      <a:ext cx="5760085" cy="2809875"/>
                    </a:xfrm>
                    <a:prstGeom prst="rect">
                      <a:avLst/>
                    </a:prstGeom>
                  </pic:spPr>
                </pic:pic>
              </a:graphicData>
            </a:graphic>
          </wp:inline>
        </w:drawing>
      </w:r>
    </w:p>
    <w:p w14:paraId="43BDB6C9">
      <w:pPr>
        <w:keepNext w:val="0"/>
        <w:keepLines w:val="0"/>
        <w:pageBreakBefore w:val="0"/>
        <w:widowControl w:val="0"/>
        <w:kinsoku/>
        <w:wordWrap/>
        <w:overflowPunct/>
        <w:topLinePunct w:val="0"/>
        <w:autoSpaceDE/>
        <w:autoSpaceDN/>
        <w:bidi w:val="0"/>
        <w:adjustRightInd/>
        <w:snapToGrid/>
        <w:spacing w:line="440" w:lineRule="exact"/>
        <w:textAlignment w:val="auto"/>
        <w:rPr>
          <w:rFonts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rPr>
        <w:t>注：</w:t>
      </w:r>
    </w:p>
    <w:p w14:paraId="377A2D12">
      <w:pPr>
        <w:keepNext w:val="0"/>
        <w:keepLines w:val="0"/>
        <w:pageBreakBefore w:val="0"/>
        <w:widowControl w:val="0"/>
        <w:numPr>
          <w:ilvl w:val="0"/>
          <w:numId w:val="10"/>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rPr>
        <w:t>“项目名称”和“采购形式编号”见</w:t>
      </w:r>
      <w:r>
        <w:rPr>
          <w:rFonts w:hint="eastAsia" w:ascii="宋体" w:hAnsi="宋体" w:cs="宋体"/>
          <w:b/>
          <w:bCs/>
          <w:color w:val="000000"/>
          <w:sz w:val="24"/>
          <w:szCs w:val="28"/>
          <w:highlight w:val="none"/>
          <w:lang w:val="en-US" w:eastAsia="zh-CN"/>
        </w:rPr>
        <w:t>第一部分的</w:t>
      </w:r>
      <w:r>
        <w:rPr>
          <w:rFonts w:hint="eastAsia" w:ascii="宋体" w:hAnsi="宋体" w:cs="宋体"/>
          <w:b/>
          <w:bCs/>
          <w:color w:val="000000"/>
          <w:sz w:val="24"/>
          <w:szCs w:val="28"/>
          <w:highlight w:val="none"/>
          <w:lang w:eastAsia="zh-CN"/>
        </w:rPr>
        <w:t>“</w:t>
      </w:r>
      <w:r>
        <w:rPr>
          <w:rFonts w:hint="eastAsia" w:ascii="宋体" w:hAnsi="宋体" w:cs="宋体"/>
          <w:b/>
          <w:bCs/>
          <w:color w:val="000000"/>
          <w:sz w:val="24"/>
          <w:szCs w:val="28"/>
          <w:highlight w:val="none"/>
          <w:lang w:val="en-US" w:eastAsia="zh-CN"/>
        </w:rPr>
        <w:t>项目介绍”</w:t>
      </w:r>
      <w:r>
        <w:rPr>
          <w:rFonts w:hint="eastAsia" w:ascii="宋体" w:hAnsi="宋体" w:eastAsia="宋体" w:cs="宋体"/>
          <w:b/>
          <w:bCs/>
          <w:color w:val="000000"/>
          <w:sz w:val="24"/>
          <w:szCs w:val="28"/>
          <w:highlight w:val="none"/>
        </w:rPr>
        <w:t>；</w:t>
      </w:r>
    </w:p>
    <w:p w14:paraId="665FE416">
      <w:pPr>
        <w:keepNext w:val="0"/>
        <w:keepLines w:val="0"/>
        <w:pageBreakBefore w:val="0"/>
        <w:widowControl w:val="0"/>
        <w:numPr>
          <w:ilvl w:val="0"/>
          <w:numId w:val="10"/>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lang w:val="en-US" w:eastAsia="zh-CN"/>
        </w:rPr>
        <w:t>基本信息</w:t>
      </w:r>
      <w:r>
        <w:rPr>
          <w:rFonts w:hint="eastAsia" w:ascii="宋体" w:hAnsi="宋体" w:cs="宋体"/>
          <w:b/>
          <w:bCs/>
          <w:color w:val="000000"/>
          <w:sz w:val="24"/>
          <w:szCs w:val="28"/>
          <w:highlight w:val="none"/>
          <w:lang w:val="en-US" w:eastAsia="zh-CN"/>
        </w:rPr>
        <w:t>的填写</w:t>
      </w:r>
      <w:r>
        <w:rPr>
          <w:rFonts w:hint="eastAsia" w:ascii="宋体" w:hAnsi="宋体" w:eastAsia="宋体" w:cs="宋体"/>
          <w:b/>
          <w:bCs/>
          <w:color w:val="000000"/>
          <w:sz w:val="24"/>
          <w:szCs w:val="28"/>
          <w:highlight w:val="none"/>
          <w:lang w:val="en-US" w:eastAsia="zh-CN"/>
        </w:rPr>
        <w:t>尽可能完整，原则上要求供应商</w:t>
      </w:r>
      <w:r>
        <w:rPr>
          <w:rFonts w:hint="eastAsia" w:ascii="宋体" w:hAnsi="宋体" w:eastAsia="宋体" w:cs="宋体"/>
          <w:b/>
          <w:bCs/>
          <w:color w:val="000000"/>
          <w:sz w:val="24"/>
          <w:szCs w:val="28"/>
          <w:highlight w:val="yellow"/>
          <w:lang w:val="en-US" w:eastAsia="zh-CN"/>
        </w:rPr>
        <w:t>必须填写近三年财务指标情况</w:t>
      </w:r>
      <w:r>
        <w:rPr>
          <w:rFonts w:hint="eastAsia" w:ascii="宋体" w:hAnsi="宋体" w:eastAsia="宋体" w:cs="宋体"/>
          <w:b/>
          <w:bCs/>
          <w:color w:val="000000"/>
          <w:sz w:val="24"/>
          <w:szCs w:val="28"/>
          <w:highlight w:val="none"/>
          <w:lang w:val="en-US" w:eastAsia="zh-CN"/>
        </w:rPr>
        <w:t>；</w:t>
      </w:r>
    </w:p>
    <w:p w14:paraId="5E34F900">
      <w:pPr>
        <w:keepNext w:val="0"/>
        <w:keepLines w:val="0"/>
        <w:pageBreakBefore w:val="0"/>
        <w:widowControl w:val="0"/>
        <w:numPr>
          <w:ilvl w:val="0"/>
          <w:numId w:val="10"/>
        </w:numPr>
        <w:kinsoku/>
        <w:wordWrap/>
        <w:overflowPunct/>
        <w:topLinePunct w:val="0"/>
        <w:autoSpaceDE/>
        <w:autoSpaceDN/>
        <w:bidi w:val="0"/>
        <w:adjustRightInd/>
        <w:snapToGrid/>
        <w:spacing w:line="440" w:lineRule="exact"/>
        <w:ind w:left="0" w:leftChars="0" w:firstLine="0" w:firstLineChars="0"/>
        <w:textAlignment w:val="auto"/>
      </w:pPr>
      <w:r>
        <w:rPr>
          <w:rFonts w:hint="eastAsia" w:ascii="宋体" w:hAnsi="宋体" w:eastAsia="宋体" w:cs="宋体"/>
          <w:b/>
          <w:bCs/>
          <w:color w:val="000000"/>
          <w:sz w:val="24"/>
          <w:szCs w:val="28"/>
          <w:highlight w:val="none"/>
        </w:rPr>
        <w:t>管理单位选择【直管单位】、意向配套单位选择【直管单位】</w:t>
      </w:r>
      <w:r>
        <w:rPr>
          <w:rFonts w:hint="eastAsia" w:ascii="宋体" w:hAnsi="宋体" w:eastAsia="宋体" w:cs="宋体"/>
          <w:b/>
          <w:bCs/>
          <w:color w:val="000000"/>
          <w:sz w:val="24"/>
          <w:szCs w:val="28"/>
          <w:highlight w:val="none"/>
          <w:lang w:eastAsia="zh-CN"/>
        </w:rPr>
        <w:t>，</w:t>
      </w:r>
      <w:r>
        <w:rPr>
          <w:rFonts w:hint="eastAsia" w:ascii="宋体" w:hAnsi="宋体" w:eastAsia="宋体" w:cs="宋体"/>
          <w:b/>
          <w:bCs/>
          <w:color w:val="000000"/>
          <w:sz w:val="24"/>
          <w:szCs w:val="28"/>
          <w:highlight w:val="none"/>
        </w:rPr>
        <w:t>配套能力“供货类别”填“</w:t>
      </w:r>
      <w:r>
        <w:rPr>
          <w:rFonts w:hint="eastAsia" w:ascii="宋体" w:hAnsi="宋体" w:eastAsia="宋体" w:cs="宋体"/>
          <w:b/>
          <w:bCs/>
          <w:color w:val="000000"/>
          <w:sz w:val="24"/>
          <w:szCs w:val="28"/>
          <w:highlight w:val="yellow"/>
        </w:rPr>
        <w:t>直管单位非生产招标 / 货物 / 安全消防</w:t>
      </w:r>
      <w:r>
        <w:rPr>
          <w:rFonts w:hint="eastAsia" w:ascii="宋体" w:hAnsi="宋体" w:eastAsia="宋体" w:cs="宋体"/>
          <w:b/>
          <w:bCs/>
          <w:color w:val="000000"/>
          <w:sz w:val="24"/>
          <w:szCs w:val="28"/>
          <w:highlight w:val="none"/>
        </w:rPr>
        <w:t>”，业务主管部门选择“</w:t>
      </w:r>
      <w:r>
        <w:rPr>
          <w:rFonts w:hint="eastAsia" w:ascii="宋体" w:hAnsi="宋体" w:eastAsia="宋体" w:cs="宋体"/>
          <w:b/>
          <w:bCs/>
          <w:color w:val="000000"/>
          <w:sz w:val="24"/>
          <w:szCs w:val="28"/>
          <w:highlight w:val="yellow"/>
        </w:rPr>
        <w:t>安全环保部</w:t>
      </w:r>
      <w:r>
        <w:rPr>
          <w:rFonts w:hint="eastAsia" w:ascii="宋体" w:hAnsi="宋体" w:eastAsia="宋体" w:cs="宋体"/>
          <w:b/>
          <w:bCs/>
          <w:color w:val="000000"/>
          <w:sz w:val="24"/>
          <w:szCs w:val="28"/>
          <w:highlight w:val="none"/>
        </w:rPr>
        <w:t>”。</w:t>
      </w:r>
    </w:p>
    <w:p w14:paraId="1D2D9672">
      <w:pPr>
        <w:keepNext w:val="0"/>
        <w:keepLines w:val="0"/>
        <w:pageBreakBefore w:val="0"/>
        <w:widowControl w:val="0"/>
        <w:numPr>
          <w:ilvl w:val="0"/>
          <w:numId w:val="11"/>
        </w:numPr>
        <w:kinsoku/>
        <w:wordWrap/>
        <w:overflowPunct/>
        <w:topLinePunct w:val="0"/>
        <w:autoSpaceDE/>
        <w:autoSpaceDN/>
        <w:bidi w:val="0"/>
        <w:adjustRightInd w:val="0"/>
        <w:snapToGrid w:val="0"/>
        <w:spacing w:before="313" w:beforeLines="100" w:after="157" w:afterLines="50" w:line="440" w:lineRule="exact"/>
        <w:jc w:val="left"/>
        <w:textAlignment w:val="auto"/>
        <w:outlineLvl w:val="3"/>
        <w:rPr>
          <w:rFonts w:hint="default"/>
          <w:sz w:val="24"/>
          <w:szCs w:val="24"/>
          <w:lang w:val="en-US" w:eastAsia="zh-CN"/>
        </w:rPr>
      </w:pPr>
      <w:r>
        <w:rPr>
          <w:rFonts w:hint="eastAsia"/>
          <w:b/>
          <w:bCs/>
          <w:sz w:val="24"/>
          <w:szCs w:val="24"/>
          <w:lang w:val="en-US" w:eastAsia="zh-CN"/>
        </w:rPr>
        <w:t>维护近三年财务指标</w:t>
      </w:r>
    </w:p>
    <w:p w14:paraId="5FE132AC">
      <w:pPr>
        <w:numPr>
          <w:ilvl w:val="0"/>
          <w:numId w:val="0"/>
        </w:numPr>
        <w:spacing w:line="360" w:lineRule="auto"/>
        <w:rPr>
          <w:rFonts w:ascii="宋体" w:hAnsi="宋体" w:eastAsia="宋体" w:cs="宋体"/>
          <w:color w:val="000000"/>
          <w:sz w:val="24"/>
          <w:szCs w:val="28"/>
        </w:rPr>
      </w:pPr>
      <w:r>
        <w:rPr>
          <w:rFonts w:hint="eastAsia" w:ascii="宋体" w:hAnsi="宋体" w:cs="宋体"/>
          <w:color w:val="000000"/>
          <w:sz w:val="24"/>
          <w:szCs w:val="28"/>
          <w:lang w:val="en-US" w:eastAsia="zh-CN"/>
        </w:rPr>
        <w:t>1.</w:t>
      </w:r>
      <w:r>
        <w:rPr>
          <w:rFonts w:hint="eastAsia" w:ascii="宋体" w:hAnsi="宋体" w:eastAsia="宋体" w:cs="宋体"/>
          <w:color w:val="000000"/>
          <w:sz w:val="24"/>
          <w:szCs w:val="28"/>
          <w:lang w:val="en-US" w:eastAsia="zh-CN"/>
        </w:rPr>
        <w:t>供应商使用业务账号登录系统后，通过菜单路径：供应商中心→供应商变更→供应商财务数据变更管理，点击【发起变更】按钮，进入供应商财务数据变更填写界面。</w:t>
      </w:r>
    </w:p>
    <w:p w14:paraId="55121DD0">
      <w:pPr>
        <w:outlineLvl w:val="9"/>
        <w:rPr>
          <w:rFonts w:hint="default"/>
          <w:lang w:val="en-US" w:eastAsia="zh-CN"/>
        </w:rPr>
        <w:sectPr>
          <w:headerReference r:id="rId9" w:type="first"/>
          <w:footerReference r:id="rId11" w:type="first"/>
          <w:headerReference r:id="rId8" w:type="default"/>
          <w:footerReference r:id="rId10" w:type="default"/>
          <w:pgSz w:w="11906" w:h="16838"/>
          <w:pgMar w:top="1588" w:right="1418" w:bottom="1134" w:left="1418" w:header="851" w:footer="992" w:gutter="0"/>
          <w:cols w:space="720" w:num="1"/>
          <w:titlePg/>
          <w:docGrid w:type="lines" w:linePitch="312" w:charSpace="0"/>
        </w:sectPr>
      </w:pPr>
      <w:r>
        <w:rPr>
          <w:rFonts w:hint="default"/>
          <w:lang w:val="en-US" w:eastAsia="zh-CN"/>
        </w:rPr>
        <w:br w:type="textWrapping"/>
      </w:r>
      <w:r>
        <w:drawing>
          <wp:inline distT="0" distB="0" distL="114300" distR="114300">
            <wp:extent cx="5486400" cy="2661285"/>
            <wp:effectExtent l="0" t="0" r="0" b="5715"/>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22"/>
                    <a:stretch>
                      <a:fillRect/>
                    </a:stretch>
                  </pic:blipFill>
                  <pic:spPr>
                    <a:xfrm>
                      <a:off x="0" y="0"/>
                      <a:ext cx="5486400" cy="2661285"/>
                    </a:xfrm>
                    <a:prstGeom prst="rect">
                      <a:avLst/>
                    </a:prstGeom>
                    <a:noFill/>
                    <a:ln>
                      <a:noFill/>
                    </a:ln>
                  </pic:spPr>
                </pic:pic>
              </a:graphicData>
            </a:graphic>
          </wp:inline>
        </w:drawing>
      </w:r>
    </w:p>
    <w:p w14:paraId="1D419B5D">
      <w:pPr>
        <w:pStyle w:val="234"/>
        <w:numPr>
          <w:ilvl w:val="0"/>
          <w:numId w:val="0"/>
        </w:numPr>
        <w:ind w:leftChars="0"/>
        <w:outlineLvl w:val="2"/>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附件二 SRM系统供应商用户手册</w:t>
      </w:r>
    </w:p>
    <w:p w14:paraId="4014C854">
      <w:pPr>
        <w:spacing w:line="360" w:lineRule="auto"/>
        <w:rPr>
          <w:rFonts w:ascii="宋体" w:hAnsi="宋体" w:eastAsia="宋体" w:cs="宋体"/>
          <w:sz w:val="24"/>
          <w:szCs w:val="24"/>
        </w:rPr>
      </w:pPr>
      <w:r>
        <w:rPr>
          <w:rFonts w:hint="eastAsia" w:ascii="宋体" w:hAnsi="宋体" w:eastAsia="宋体" w:cs="宋体"/>
          <w:color w:val="000000"/>
          <w:sz w:val="24"/>
          <w:szCs w:val="24"/>
        </w:rPr>
        <w:t>系统网址：</w:t>
      </w:r>
      <w:r>
        <w:fldChar w:fldCharType="begin"/>
      </w:r>
      <w:r>
        <w:instrText xml:space="preserve"> HYPERLINK "http://ecaitong.sinotruk.com:8012/" \t "dlt" </w:instrText>
      </w:r>
      <w:r>
        <w:fldChar w:fldCharType="separate"/>
      </w:r>
      <w:r>
        <w:rPr>
          <w:rStyle w:val="55"/>
          <w:rFonts w:hint="eastAsia" w:ascii="宋体" w:hAnsi="宋体" w:eastAsia="宋体" w:cs="宋体"/>
          <w:sz w:val="24"/>
          <w:szCs w:val="24"/>
        </w:rPr>
        <w:t>http</w:t>
      </w:r>
      <w:r>
        <w:rPr>
          <w:rStyle w:val="55"/>
          <w:rFonts w:hint="eastAsia" w:ascii="宋体" w:hAnsi="宋体" w:eastAsia="宋体" w:cs="宋体"/>
          <w:sz w:val="24"/>
          <w:szCs w:val="24"/>
          <w:lang w:val="en-US" w:eastAsia="zh-CN"/>
        </w:rPr>
        <w:t>s</w:t>
      </w:r>
      <w:r>
        <w:rPr>
          <w:rStyle w:val="55"/>
          <w:rFonts w:hint="eastAsia" w:ascii="宋体" w:hAnsi="宋体" w:eastAsia="宋体" w:cs="宋体"/>
          <w:sz w:val="24"/>
          <w:szCs w:val="24"/>
        </w:rPr>
        <w:t>://ecaitong.sinotruk.com:8012/</w:t>
      </w:r>
      <w:r>
        <w:rPr>
          <w:rStyle w:val="55"/>
          <w:rFonts w:hint="eastAsia" w:ascii="宋体" w:hAnsi="宋体" w:eastAsia="宋体" w:cs="宋体"/>
          <w:sz w:val="24"/>
          <w:szCs w:val="24"/>
        </w:rPr>
        <w:fldChar w:fldCharType="end"/>
      </w:r>
    </w:p>
    <w:p w14:paraId="0224AABE">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14:paraId="160FE9C3">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供应商应标</w:t>
      </w:r>
    </w:p>
    <w:p w14:paraId="39D800F0">
      <w:pPr>
        <w:spacing w:line="360" w:lineRule="auto"/>
        <w:rPr>
          <w:rFonts w:ascii="宋体" w:hAnsi="宋体" w:eastAsia="宋体" w:cs="宋体"/>
          <w:color w:val="000000"/>
          <w:sz w:val="24"/>
          <w:szCs w:val="24"/>
        </w:rPr>
      </w:pPr>
      <w:r>
        <w:rPr>
          <w:rFonts w:ascii="宋体" w:hAnsi="宋体" w:eastAsia="宋体" w:cs="宋体"/>
          <w:color w:val="000000"/>
          <w:sz w:val="24"/>
          <w:szCs w:val="24"/>
        </w:rPr>
        <w:t>点击应标，上传文件之后点击提交。</w:t>
      </w:r>
    </w:p>
    <w:p w14:paraId="192809BF">
      <w:r>
        <w:drawing>
          <wp:inline distT="0" distB="0" distL="0" distR="0">
            <wp:extent cx="5760085" cy="2269490"/>
            <wp:effectExtent l="0" t="0" r="5715" b="3810"/>
            <wp:docPr id="12" name="picture" descr="descript"/>
            <wp:cNvGraphicFramePr/>
            <a:graphic xmlns:a="http://schemas.openxmlformats.org/drawingml/2006/main">
              <a:graphicData uri="http://schemas.openxmlformats.org/drawingml/2006/picture">
                <pic:pic xmlns:pic="http://schemas.openxmlformats.org/drawingml/2006/picture">
                  <pic:nvPicPr>
                    <pic:cNvPr id="12" name="picture" descr="descript"/>
                    <pic:cNvPicPr/>
                  </pic:nvPicPr>
                  <pic:blipFill>
                    <a:blip r:embed="rId23" cstate="print"/>
                    <a:srcRect/>
                    <a:stretch>
                      <a:fillRect/>
                    </a:stretch>
                  </pic:blipFill>
                  <pic:spPr>
                    <a:xfrm>
                      <a:off x="0" y="0"/>
                      <a:ext cx="5760085" cy="2269490"/>
                    </a:xfrm>
                    <a:prstGeom prst="rect">
                      <a:avLst/>
                    </a:prstGeom>
                  </pic:spPr>
                </pic:pic>
              </a:graphicData>
            </a:graphic>
          </wp:inline>
        </w:drawing>
      </w:r>
    </w:p>
    <w:p w14:paraId="7F5F97E1">
      <w:pPr>
        <w:pStyle w:val="26"/>
      </w:pPr>
    </w:p>
    <w:p w14:paraId="44F04E35">
      <w:pPr>
        <w:pStyle w:val="26"/>
      </w:pPr>
      <w:r>
        <w:rPr>
          <w:rFonts w:hint="eastAsia" w:cs="Times New Roman"/>
          <w:b/>
          <w:bCs/>
          <w:highlight w:val="none"/>
          <w:lang w:val="en-US" w:eastAsia="zh-CN"/>
        </w:rPr>
        <w:t>2、应标页面否为代理商请如实选择，若为代理商应标，请在应标后联系商务联系人</w:t>
      </w:r>
    </w:p>
    <w:p w14:paraId="253C2BE3"/>
    <w:p w14:paraId="4049123D">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14:paraId="7A173815">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供应商投标</w:t>
      </w:r>
    </w:p>
    <w:p w14:paraId="2833D22F">
      <w:pPr>
        <w:rPr>
          <w:rFonts w:ascii="宋体" w:hAnsi="宋体" w:eastAsia="宋体" w:cs="宋体"/>
          <w:color w:val="000000"/>
        </w:rPr>
      </w:pPr>
      <w:r>
        <w:rPr>
          <w:rFonts w:ascii="宋体" w:hAnsi="宋体" w:eastAsia="宋体" w:cs="宋体"/>
          <w:color w:val="000000"/>
        </w:rPr>
        <w:drawing>
          <wp:inline distT="0" distB="0" distL="0" distR="0">
            <wp:extent cx="5760085" cy="2125345"/>
            <wp:effectExtent l="0" t="0" r="5715" b="8255"/>
            <wp:docPr id="1033" name="picture" descr="descript"/>
            <wp:cNvGraphicFramePr/>
            <a:graphic xmlns:a="http://schemas.openxmlformats.org/drawingml/2006/main">
              <a:graphicData uri="http://schemas.openxmlformats.org/drawingml/2006/picture">
                <pic:pic xmlns:pic="http://schemas.openxmlformats.org/drawingml/2006/picture">
                  <pic:nvPicPr>
                    <pic:cNvPr id="1033" name="picture" descr="descript"/>
                    <pic:cNvPicPr/>
                  </pic:nvPicPr>
                  <pic:blipFill>
                    <a:blip r:embed="rId24" cstate="print"/>
                    <a:srcRect/>
                    <a:stretch>
                      <a:fillRect/>
                    </a:stretch>
                  </pic:blipFill>
                  <pic:spPr>
                    <a:xfrm>
                      <a:off x="0" y="0"/>
                      <a:ext cx="5760085" cy="2125345"/>
                    </a:xfrm>
                    <a:prstGeom prst="rect">
                      <a:avLst/>
                    </a:prstGeom>
                  </pic:spPr>
                </pic:pic>
              </a:graphicData>
            </a:graphic>
          </wp:inline>
        </w:drawing>
      </w:r>
    </w:p>
    <w:p w14:paraId="6B3098E6">
      <w:pPr>
        <w:spacing w:line="360" w:lineRule="auto"/>
        <w:rPr>
          <w:rFonts w:ascii="宋体" w:hAnsi="宋体" w:eastAsia="宋体" w:cs="宋体"/>
          <w:color w:val="000000"/>
          <w:sz w:val="24"/>
          <w:szCs w:val="28"/>
        </w:rPr>
      </w:pPr>
      <w:r>
        <w:rPr>
          <w:rFonts w:ascii="宋体" w:hAnsi="宋体" w:eastAsia="宋体" w:cs="宋体"/>
          <w:color w:val="000000"/>
          <w:sz w:val="24"/>
          <w:szCs w:val="28"/>
        </w:rPr>
        <w:t>点击投标按钮，进入详情页，输入投标报价并上传相应的附件。</w:t>
      </w:r>
    </w:p>
    <w:p w14:paraId="4AE5A03E">
      <w:pPr>
        <w:pStyle w:val="26"/>
        <w:rPr>
          <w:rFonts w:hint="eastAsia" w:eastAsia="宋体"/>
          <w:lang w:eastAsia="zh-CN"/>
        </w:rPr>
      </w:pPr>
      <w:r>
        <w:rPr>
          <w:rFonts w:hint="eastAsia" w:hAnsi="宋体" w:eastAsia="宋体" w:cs="宋体"/>
          <w:b/>
          <w:bCs/>
          <w:color w:val="000000"/>
          <w:sz w:val="24"/>
          <w:szCs w:val="28"/>
          <w:highlight w:val="yellow"/>
        </w:rPr>
        <w:t>注意：系统内的投标报价单位为“万元”，如开标现场发现填错报价，即直接淘汰</w:t>
      </w:r>
      <w:r>
        <w:rPr>
          <w:rFonts w:hint="eastAsia" w:hAnsi="宋体" w:eastAsia="宋体" w:cs="宋体"/>
          <w:b/>
          <w:bCs/>
          <w:color w:val="000000"/>
          <w:sz w:val="24"/>
          <w:szCs w:val="28"/>
          <w:highlight w:val="yellow"/>
          <w:lang w:eastAsia="zh-CN"/>
        </w:rPr>
        <w:t>。</w:t>
      </w:r>
    </w:p>
    <w:p w14:paraId="2D8BBF64">
      <w:pPr>
        <w:ind w:left="425" w:hanging="425"/>
        <w:outlineLvl w:val="9"/>
        <w:rPr>
          <w:rFonts w:eastAsia="Arial" w:cs="Arial"/>
          <w:color w:val="000000"/>
        </w:rPr>
      </w:pPr>
      <w:r>
        <w:rPr>
          <w:rFonts w:eastAsia="Arial" w:cs="Arial"/>
          <w:color w:val="000000"/>
        </w:rPr>
        <w:drawing>
          <wp:inline distT="0" distB="0" distL="0" distR="0">
            <wp:extent cx="5490210" cy="2668905"/>
            <wp:effectExtent l="0" t="0" r="8890" b="10795"/>
            <wp:docPr id="1034" name="picture" descr="descript"/>
            <wp:cNvGraphicFramePr/>
            <a:graphic xmlns:a="http://schemas.openxmlformats.org/drawingml/2006/main">
              <a:graphicData uri="http://schemas.openxmlformats.org/drawingml/2006/picture">
                <pic:pic xmlns:pic="http://schemas.openxmlformats.org/drawingml/2006/picture">
                  <pic:nvPicPr>
                    <pic:cNvPr id="1034" name="picture" descr="descript"/>
                    <pic:cNvPicPr/>
                  </pic:nvPicPr>
                  <pic:blipFill>
                    <a:blip r:embed="rId25" cstate="print"/>
                    <a:srcRect/>
                    <a:stretch>
                      <a:fillRect/>
                    </a:stretch>
                  </pic:blipFill>
                  <pic:spPr>
                    <a:xfrm>
                      <a:off x="0" y="0"/>
                      <a:ext cx="5490210" cy="2668905"/>
                    </a:xfrm>
                    <a:prstGeom prst="rect">
                      <a:avLst/>
                    </a:prstGeom>
                  </pic:spPr>
                </pic:pic>
              </a:graphicData>
            </a:graphic>
          </wp:inline>
        </w:drawing>
      </w:r>
    </w:p>
    <w:p w14:paraId="5FC6BCBB">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14:paraId="7260FDDB">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供应商技术标澄清函</w:t>
      </w:r>
    </w:p>
    <w:p w14:paraId="684113DA">
      <w:pPr>
        <w:spacing w:line="360" w:lineRule="auto"/>
        <w:rPr>
          <w:rFonts w:ascii="宋体" w:hAnsi="宋体" w:eastAsia="宋体" w:cs="宋体"/>
          <w:sz w:val="24"/>
          <w:szCs w:val="24"/>
        </w:rPr>
      </w:pPr>
      <w:r>
        <w:rPr>
          <w:rFonts w:ascii="宋体" w:hAnsi="宋体" w:eastAsia="宋体" w:cs="宋体"/>
          <w:color w:val="000000"/>
          <w:sz w:val="24"/>
          <w:szCs w:val="24"/>
        </w:rPr>
        <w:t>点击编辑按钮进入系统，上传技术标澄清函。</w:t>
      </w:r>
    </w:p>
    <w:p w14:paraId="5B91C314">
      <w:pPr>
        <w:spacing w:line="360" w:lineRule="auto"/>
        <w:rPr>
          <w:rFonts w:ascii="Arial" w:hAnsi="Arial" w:eastAsia="Arial" w:cs="Arial"/>
          <w:color w:val="000000"/>
          <w:sz w:val="28"/>
        </w:rPr>
      </w:pPr>
      <w:r>
        <w:rPr>
          <w:rFonts w:ascii="宋体" w:hAnsi="宋体" w:eastAsia="宋体" w:cs="宋体"/>
          <w:color w:val="000000"/>
          <w:sz w:val="24"/>
          <w:szCs w:val="24"/>
        </w:rPr>
        <w:t>开标之后所有投标的供应商都可编辑提交，技术标入围之后</w:t>
      </w:r>
      <w:r>
        <w:rPr>
          <w:rFonts w:hint="eastAsia" w:ascii="宋体" w:hAnsi="宋体" w:eastAsia="宋体" w:cs="宋体"/>
          <w:color w:val="000000"/>
          <w:sz w:val="24"/>
          <w:szCs w:val="24"/>
        </w:rPr>
        <w:t xml:space="preserve"> </w:t>
      </w:r>
      <w:r>
        <w:rPr>
          <w:rFonts w:ascii="宋体" w:hAnsi="宋体" w:eastAsia="宋体" w:cs="宋体"/>
          <w:color w:val="000000"/>
          <w:sz w:val="24"/>
          <w:szCs w:val="24"/>
        </w:rPr>
        <w:t>都不可编辑</w:t>
      </w:r>
      <w:r>
        <w:rPr>
          <w:rFonts w:ascii="Arial" w:hAnsi="Arial" w:eastAsia="Arial" w:cs="Arial"/>
          <w:color w:val="000000"/>
          <w:sz w:val="28"/>
        </w:rPr>
        <w:drawing>
          <wp:inline distT="0" distB="0" distL="0" distR="0">
            <wp:extent cx="5490210" cy="1991995"/>
            <wp:effectExtent l="0" t="0" r="8890" b="1905"/>
            <wp:docPr id="1035" name="picture" descr="descript"/>
            <wp:cNvGraphicFramePr/>
            <a:graphic xmlns:a="http://schemas.openxmlformats.org/drawingml/2006/main">
              <a:graphicData uri="http://schemas.openxmlformats.org/drawingml/2006/picture">
                <pic:pic xmlns:pic="http://schemas.openxmlformats.org/drawingml/2006/picture">
                  <pic:nvPicPr>
                    <pic:cNvPr id="1035" name="picture" descr="descript"/>
                    <pic:cNvPicPr/>
                  </pic:nvPicPr>
                  <pic:blipFill>
                    <a:blip r:embed="rId26" cstate="print"/>
                    <a:srcRect/>
                    <a:stretch>
                      <a:fillRect/>
                    </a:stretch>
                  </pic:blipFill>
                  <pic:spPr>
                    <a:xfrm>
                      <a:off x="0" y="0"/>
                      <a:ext cx="5490210" cy="1992629"/>
                    </a:xfrm>
                    <a:prstGeom prst="rect">
                      <a:avLst/>
                    </a:prstGeom>
                  </pic:spPr>
                </pic:pic>
              </a:graphicData>
            </a:graphic>
          </wp:inline>
        </w:drawing>
      </w:r>
    </w:p>
    <w:p w14:paraId="626AAE05">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14:paraId="21B0F8D9">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供应商报价</w:t>
      </w:r>
    </w:p>
    <w:p w14:paraId="1028E20B">
      <w:pPr>
        <w:spacing w:line="360" w:lineRule="auto"/>
        <w:rPr>
          <w:rFonts w:ascii="宋体" w:hAnsi="宋体" w:eastAsia="宋体" w:cs="宋体"/>
          <w:sz w:val="24"/>
          <w:szCs w:val="24"/>
        </w:rPr>
      </w:pPr>
      <w:r>
        <w:rPr>
          <w:rFonts w:ascii="宋体" w:hAnsi="宋体" w:eastAsia="宋体" w:cs="宋体"/>
          <w:color w:val="000000"/>
          <w:sz w:val="24"/>
          <w:szCs w:val="24"/>
        </w:rPr>
        <w:t>点击报价按钮进入报价详情界面，请在此轮报价起止时间内报价，否则无法报价。</w:t>
      </w:r>
    </w:p>
    <w:p w14:paraId="09445834">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14:paraId="6C35D624">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供应商澄清报价</w:t>
      </w:r>
    </w:p>
    <w:p w14:paraId="124B52E9">
      <w:pPr>
        <w:spacing w:line="360" w:lineRule="auto"/>
        <w:rPr>
          <w:rFonts w:ascii="宋体" w:hAnsi="宋体" w:eastAsia="宋体" w:cs="宋体"/>
          <w:sz w:val="24"/>
          <w:szCs w:val="24"/>
        </w:rPr>
      </w:pPr>
      <w:r>
        <w:rPr>
          <w:rFonts w:ascii="宋体" w:hAnsi="宋体" w:eastAsia="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14:paraId="01529799">
      <w:pPr>
        <w:ind w:left="425" w:hanging="425"/>
        <w:outlineLvl w:val="9"/>
        <w:rPr>
          <w:rFonts w:eastAsia="Arial" w:cs="Arial"/>
          <w:color w:val="000000"/>
        </w:rPr>
      </w:pPr>
      <w:r>
        <w:rPr>
          <w:rFonts w:eastAsia="Arial" w:cs="Arial"/>
          <w:color w:val="000000"/>
        </w:rPr>
        <w:drawing>
          <wp:inline distT="0" distB="0" distL="0" distR="0">
            <wp:extent cx="5490210" cy="2544445"/>
            <wp:effectExtent l="0" t="0" r="8890" b="8255"/>
            <wp:docPr id="1036" name="picture" descr="descript"/>
            <wp:cNvGraphicFramePr/>
            <a:graphic xmlns:a="http://schemas.openxmlformats.org/drawingml/2006/main">
              <a:graphicData uri="http://schemas.openxmlformats.org/drawingml/2006/picture">
                <pic:pic xmlns:pic="http://schemas.openxmlformats.org/drawingml/2006/picture">
                  <pic:nvPicPr>
                    <pic:cNvPr id="1036" name="picture" descr="descript"/>
                    <pic:cNvPicPr/>
                  </pic:nvPicPr>
                  <pic:blipFill>
                    <a:blip r:embed="rId27" cstate="print"/>
                    <a:srcRect/>
                    <a:stretch>
                      <a:fillRect/>
                    </a:stretch>
                  </pic:blipFill>
                  <pic:spPr>
                    <a:xfrm>
                      <a:off x="0" y="0"/>
                      <a:ext cx="5490210" cy="2544445"/>
                    </a:xfrm>
                    <a:prstGeom prst="rect">
                      <a:avLst/>
                    </a:prstGeom>
                  </pic:spPr>
                </pic:pic>
              </a:graphicData>
            </a:graphic>
          </wp:inline>
        </w:drawing>
      </w:r>
    </w:p>
    <w:p w14:paraId="352E2EEF">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14:paraId="0845FFE3">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中标项目</w:t>
      </w:r>
    </w:p>
    <w:p w14:paraId="6902E253">
      <w:pPr>
        <w:spacing w:line="360" w:lineRule="auto"/>
        <w:rPr>
          <w:rFonts w:ascii="宋体" w:hAnsi="宋体" w:eastAsia="宋体" w:cs="宋体"/>
          <w:sz w:val="24"/>
          <w:szCs w:val="24"/>
        </w:rPr>
      </w:pPr>
      <w:r>
        <w:rPr>
          <w:rFonts w:ascii="宋体" w:hAnsi="宋体" w:eastAsia="宋体" w:cs="宋体"/>
          <w:color w:val="000000"/>
          <w:sz w:val="24"/>
          <w:szCs w:val="24"/>
        </w:rPr>
        <w:t>点击查看进入查看中标项目详情</w:t>
      </w:r>
    </w:p>
    <w:p w14:paraId="3DF53F64">
      <w:r>
        <w:drawing>
          <wp:inline distT="0" distB="0" distL="0" distR="0">
            <wp:extent cx="5760085" cy="1956435"/>
            <wp:effectExtent l="0" t="0" r="5715" b="12065"/>
            <wp:docPr id="1037" name="picture" descr="descript"/>
            <wp:cNvGraphicFramePr/>
            <a:graphic xmlns:a="http://schemas.openxmlformats.org/drawingml/2006/main">
              <a:graphicData uri="http://schemas.openxmlformats.org/drawingml/2006/picture">
                <pic:pic xmlns:pic="http://schemas.openxmlformats.org/drawingml/2006/picture">
                  <pic:nvPicPr>
                    <pic:cNvPr id="1037" name="picture" descr="descript"/>
                    <pic:cNvPicPr/>
                  </pic:nvPicPr>
                  <pic:blipFill>
                    <a:blip r:embed="rId28" cstate="print"/>
                    <a:srcRect/>
                    <a:stretch>
                      <a:fillRect/>
                    </a:stretch>
                  </pic:blipFill>
                  <pic:spPr>
                    <a:xfrm>
                      <a:off x="0" y="0"/>
                      <a:ext cx="5760085" cy="1956435"/>
                    </a:xfrm>
                    <a:prstGeom prst="rect">
                      <a:avLst/>
                    </a:prstGeom>
                  </pic:spPr>
                </pic:pic>
              </a:graphicData>
            </a:graphic>
          </wp:inline>
        </w:drawing>
      </w:r>
    </w:p>
    <w:p w14:paraId="3FF7DF5D">
      <w:pPr>
        <w:pStyle w:val="26"/>
        <w:rPr>
          <w:rFonts w:hAnsi="宋体" w:eastAsia="宋体" w:cs="Times New Roman"/>
          <w:b/>
          <w:color w:val="000000"/>
          <w:sz w:val="24"/>
          <w:szCs w:val="24"/>
        </w:rPr>
      </w:pPr>
    </w:p>
    <w:p w14:paraId="3CEE3B78">
      <w:pPr>
        <w:pStyle w:val="26"/>
        <w:rPr>
          <w:rFonts w:hAnsi="宋体" w:eastAsia="宋体" w:cs="Times New Roman"/>
          <w:b/>
          <w:color w:val="000000"/>
          <w:sz w:val="24"/>
          <w:szCs w:val="24"/>
        </w:rPr>
      </w:pPr>
    </w:p>
    <w:p w14:paraId="67DF5B41">
      <w:pPr>
        <w:rPr>
          <w:rFonts w:hint="default" w:ascii="宋体" w:hAnsi="宋体" w:eastAsia="宋体" w:cs="宋体"/>
          <w:sz w:val="24"/>
          <w:szCs w:val="24"/>
          <w:lang w:val="en-US"/>
        </w:rPr>
      </w:pPr>
    </w:p>
    <w:p w14:paraId="3A5EB836">
      <w:pPr>
        <w:pStyle w:val="223"/>
        <w:ind w:left="0" w:leftChars="0" w:right="960" w:firstLine="0" w:firstLineChars="0"/>
        <w:jc w:val="both"/>
        <w:rPr>
          <w:rFonts w:hint="eastAsia" w:asciiTheme="minorEastAsia" w:hAnsiTheme="minorEastAsia" w:eastAsiaTheme="minorEastAsia" w:cstheme="minorEastAsia"/>
        </w:rPr>
      </w:pPr>
    </w:p>
    <w:sectPr>
      <w:headerReference r:id="rId12" w:type="default"/>
      <w:footerReference r:id="rId13" w:type="default"/>
      <w:pgSz w:w="11906" w:h="16838"/>
      <w:pgMar w:top="1134" w:right="1134" w:bottom="1134" w:left="1134" w:header="737" w:footer="573" w:gutter="0"/>
      <w:pgNumType w:fmt="decimal"/>
      <w:cols w:space="0" w:num="1"/>
      <w:rtlGutter w:val="0"/>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roma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_GB2312">
    <w:panose1 w:val="02010609030101010101"/>
    <w:charset w:val="86"/>
    <w:family w:val="modern"/>
    <w:pitch w:val="default"/>
    <w:sig w:usb0="00000001" w:usb1="080E0000" w:usb2="00000000" w:usb3="00000000" w:csb0="00040000" w:csb1="00000000"/>
  </w:font>
  <w:font w:name="??">
    <w:altName w:val="等线"/>
    <w:panose1 w:val="00000000000000000000"/>
    <w:charset w:val="86"/>
    <w:family w:val="auto"/>
    <w:pitch w:val="default"/>
    <w:sig w:usb0="00000000" w:usb1="00000000" w:usb2="00000010" w:usb3="00000000" w:csb0="00040000" w:csb1="00000000"/>
  </w:font>
  <w:font w:name="等线">
    <w:panose1 w:val="02010600030101010101"/>
    <w:charset w:val="86"/>
    <w:family w:val="auto"/>
    <w:pitch w:val="default"/>
    <w:sig w:usb0="A00002BF" w:usb1="38CF7CFA" w:usb2="00000016" w:usb3="00000000" w:csb0="0004000F" w:csb1="00000000"/>
  </w:font>
  <w:font w:name="楷体_GB2312">
    <w:panose1 w:val="02010609030101010101"/>
    <w:charset w:val="86"/>
    <w:family w:val="modern"/>
    <w:pitch w:val="default"/>
    <w:sig w:usb0="00000001" w:usb1="080E0000" w:usb2="00000000" w:usb3="00000000" w:csb0="00040000" w:csb1="00000000"/>
  </w:font>
  <w:font w:name="MingLiU">
    <w:altName w:val="PMingLiU-ExtB"/>
    <w:panose1 w:val="02010609000101010101"/>
    <w:charset w:val="88"/>
    <w:family w:val="modern"/>
    <w:pitch w:val="default"/>
    <w:sig w:usb0="00000000" w:usb1="00000000" w:usb2="00000010" w:usb3="00000000" w:csb0="00100000" w:csb1="00000000"/>
  </w:font>
  <w:font w:name="PMingLiU-ExtB">
    <w:panose1 w:val="02020500000000000000"/>
    <w:charset w:val="88"/>
    <w:family w:val="auto"/>
    <w:pitch w:val="default"/>
    <w:sig w:usb0="8000002F" w:usb1="02000008" w:usb2="00000000" w:usb3="00000000" w:csb0="00100001" w:csb1="00000000"/>
  </w:font>
  <w:font w:name="Tahoma">
    <w:panose1 w:val="020B0604030504040204"/>
    <w:charset w:val="00"/>
    <w:family w:val="swiss"/>
    <w:pitch w:val="default"/>
    <w:sig w:usb0="E1002EFF" w:usb1="C000605B" w:usb2="00000029" w:usb3="00000000" w:csb0="200101FF" w:csb1="20280000"/>
  </w:font>
  <w:font w:name="CG Times (W1)">
    <w:altName w:val="Times New Roman"/>
    <w:panose1 w:val="00000000000000000000"/>
    <w:charset w:val="00"/>
    <w:family w:val="roman"/>
    <w:pitch w:val="default"/>
    <w:sig w:usb0="00000000" w:usb1="00000000" w:usb2="00000000" w:usb3="00000000" w:csb0="00000001" w:csb1="00000000"/>
  </w:font>
  <w:font w:name="Batang">
    <w:altName w:val="Malgun Gothic"/>
    <w:panose1 w:val="02030600000101010101"/>
    <w:charset w:val="81"/>
    <w:family w:val="auto"/>
    <w:pitch w:val="default"/>
    <w:sig w:usb0="00000000" w:usb1="00000000" w:usb2="00000010" w:usb3="00000000" w:csb0="00080000" w:csb1="00000000"/>
  </w:font>
  <w:font w:name="Malgun Gothic">
    <w:panose1 w:val="020B0503020000020004"/>
    <w:charset w:val="81"/>
    <w:family w:val="auto"/>
    <w:pitch w:val="default"/>
    <w:sig w:usb0="9000002F" w:usb1="29D77CFB" w:usb2="00000012" w:usb3="00000000" w:csb0="00080001" w:csb1="00000000"/>
  </w:font>
  <w:font w:name="Tms Rmn">
    <w:altName w:val="Segoe Print"/>
    <w:panose1 w:val="02020603040505020304"/>
    <w:charset w:val="00"/>
    <w:family w:val="roman"/>
    <w:pitch w:val="default"/>
    <w:sig w:usb0="00000000" w:usb1="00000000" w:usb2="00000000" w:usb3="00000000" w:csb0="00000001" w:csb1="00000000"/>
  </w:font>
  <w:font w:name="Segoe Print">
    <w:panose1 w:val="02000600000000000000"/>
    <w:charset w:val="00"/>
    <w:family w:val="auto"/>
    <w:pitch w:val="default"/>
    <w:sig w:usb0="0000028F" w:usb1="00000000" w:usb2="00000000" w:usb3="00000000" w:csb0="2000009F" w:csb1="47010000"/>
  </w:font>
  <w:font w:name="MS Gothic">
    <w:panose1 w:val="020B0609070205080204"/>
    <w:charset w:val="80"/>
    <w:family w:val="modern"/>
    <w:pitch w:val="default"/>
    <w:sig w:usb0="E00002FF" w:usb1="6AC7FDFB" w:usb2="08000012" w:usb3="00000000" w:csb0="4002009F" w:csb1="DFD70000"/>
  </w:font>
  <w:font w:name="CG Times (WN)">
    <w:altName w:val="Segoe Print"/>
    <w:panose1 w:val="00000000000000000000"/>
    <w:charset w:val="00"/>
    <w:family w:val="roman"/>
    <w:pitch w:val="default"/>
    <w:sig w:usb0="00000000" w:usb1="00000000" w:usb2="00000000" w:usb3="00000000" w:csb0="00000001" w:csb1="00000000"/>
  </w:font>
  <w:font w:name="微软雅黑">
    <w:panose1 w:val="020B0503020204020204"/>
    <w:charset w:val="86"/>
    <w:family w:val="auto"/>
    <w:pitch w:val="default"/>
    <w:sig w:usb0="80000287" w:usb1="2ACF3C50" w:usb2="00000016" w:usb3="00000000" w:csb0="0004001F" w:csb1="00000000"/>
  </w:font>
  <w:font w:name="仿宋">
    <w:panose1 w:val="02010609060101010101"/>
    <w:charset w:val="86"/>
    <w:family w:val="auto"/>
    <w:pitch w:val="default"/>
    <w:sig w:usb0="800002BF" w:usb1="38CF7CFA" w:usb2="00000016" w:usb3="00000000" w:csb0="00040001" w:csb1="00000000"/>
  </w:font>
  <w:font w:name="Wingdings 2">
    <w:panose1 w:val="05020102010507070707"/>
    <w:charset w:val="02"/>
    <w:family w:val="roman"/>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7ED90B">
    <w:pPr>
      <w:pStyle w:val="32"/>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72" name="文本框 100"/>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7C13F392">
                          <w:pPr>
                            <w:pStyle w:val="32"/>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00"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uXW5UtAAAAAFAQAADwAAAAAAAAABACAAAAAiAAAAZHJzL2Rvd25yZXYu&#10;eG1sUEsBAhQAFAAAAAgAh07iQNo3hVjKAQAAlAMAAA4AAAAAAAAAAQAgAAAAHwEAAGRycy9lMm9E&#10;b2MueG1sUEsFBgAAAAAGAAYAWQEAAFsFAAAAAA==&#10;">
              <v:fill on="f" focussize="0,0"/>
              <v:stroke on="f"/>
              <v:imagedata o:title=""/>
              <o:lock v:ext="edit" aspectratio="f"/>
              <v:textbox inset="0mm,0mm,0mm,0mm" style="mso-fit-shape-to-text:t;">
                <w:txbxContent>
                  <w:p w14:paraId="7C13F392">
                    <w:pPr>
                      <w:pStyle w:val="32"/>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C7EFE1">
    <w:pPr>
      <w:pStyle w:val="32"/>
      <w:jc w:val="center"/>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73" name="文本框 101"/>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6EA18FA4">
                          <w:pPr>
                            <w:pStyle w:val="32"/>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01"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5dblS0AAAAAUBAAAPAAAAAAAAAAEAIAAAACIAAABkcnMvZG93bnJl&#10;di54bWxQSwECFAAUAAAACACHTuJAOQo78MwBAACUAwAADgAAAAAAAAABACAAAAAfAQAAZHJzL2Uy&#10;b0RvYy54bWxQSwUGAAAAAAYABgBZAQAAXQUAAAAA&#10;">
              <v:fill on="f" focussize="0,0"/>
              <v:stroke on="f"/>
              <v:imagedata o:title=""/>
              <o:lock v:ext="edit" aspectratio="f"/>
              <v:textbox inset="0mm,0mm,0mm,0mm" style="mso-fit-shape-to-text:t;">
                <w:txbxContent>
                  <w:p w14:paraId="6EA18FA4">
                    <w:pPr>
                      <w:pStyle w:val="32"/>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E84C72">
    <w:pPr>
      <w:pStyle w:val="32"/>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74" name="文本框 102"/>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0F383292">
                          <w:pPr>
                            <w:pStyle w:val="32"/>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02"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5dblS0AAAAAUBAAAPAAAAAAAAAAEAIAAAACIAAABkcnMvZG93bnJl&#10;di54bWxQSwECFAAUAAAACACHTuJAd0knKMwBAACUAwAADgAAAAAAAAABACAAAAAfAQAAZHJzL2Uy&#10;b0RvYy54bWxQSwUGAAAAAAYABgBZAQAAXQUAAAAA&#10;">
              <v:fill on="f" focussize="0,0"/>
              <v:stroke on="f"/>
              <v:imagedata o:title=""/>
              <o:lock v:ext="edit" aspectratio="f"/>
              <v:textbox inset="0mm,0mm,0mm,0mm" style="mso-fit-shape-to-text:t;">
                <w:txbxContent>
                  <w:p w14:paraId="0F383292">
                    <w:pPr>
                      <w:pStyle w:val="32"/>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94BB72">
    <w:pPr>
      <w:pStyle w:val="32"/>
      <w:jc w:val="center"/>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75" name="文本框 103"/>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42C7F0CB">
                          <w:pPr>
                            <w:pStyle w:val="32"/>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03"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5dblS0AAAAAUBAAAPAAAAAAAAAAEAIAAAACIAAABkcnMvZG93bnJl&#10;di54bWxQSwECFAAUAAAACACHTuJAlHSZgMwBAACUAwAADgAAAAAAAAABACAAAAAfAQAAZHJzL2Uy&#10;b0RvYy54bWxQSwUGAAAAAAYABgBZAQAAXQUAAAAA&#10;">
              <v:fill on="f" focussize="0,0"/>
              <v:stroke on="f"/>
              <v:imagedata o:title=""/>
              <o:lock v:ext="edit" aspectratio="f"/>
              <v:textbox inset="0mm,0mm,0mm,0mm" style="mso-fit-shape-to-text:t;">
                <w:txbxContent>
                  <w:p w14:paraId="42C7F0CB">
                    <w:pPr>
                      <w:pStyle w:val="32"/>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E9290C">
    <w:pPr>
      <w:spacing w:line="194" w:lineRule="auto"/>
      <w:rPr>
        <w:rFonts w:ascii="等线" w:hAnsi="等线" w:eastAsia="等线" w:cs="等线"/>
        <w:sz w:val="17"/>
        <w:szCs w:val="17"/>
      </w:rPr>
    </w:pPr>
    <w:r>
      <w:rPr>
        <w:sz w:val="17"/>
      </w:rP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16"/>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486C9511">
                          <w:pPr>
                            <w:pStyle w:val="32"/>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16"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C5dblS0AAAAAUBAAAPAAAAAAAAAAEAIAAAACIAAABkcnMvZG93bnJldi54&#10;bWxQSwECFAAUAAAACACHTuJARfMYb8kBAACSAwAADgAAAAAAAAABACAAAAAfAQAAZHJzL2Uyb0Rv&#10;Yy54bWxQSwUGAAAAAAYABgBZAQAAWgUAAAAA&#10;">
              <v:fill on="f" focussize="0,0"/>
              <v:stroke on="f"/>
              <v:imagedata o:title=""/>
              <o:lock v:ext="edit" aspectratio="f"/>
              <v:textbox inset="0mm,0mm,0mm,0mm" style="mso-fit-shape-to-text:t;">
                <w:txbxContent>
                  <w:p w14:paraId="486C9511">
                    <w:pPr>
                      <w:pStyle w:val="32"/>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35DE4B">
    <w:pPr>
      <w:pStyle w:val="32"/>
      <w:jc w:val="center"/>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17"/>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25F8E294">
                          <w:pPr>
                            <w:pStyle w:val="32"/>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17"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uXW5UtAAAAAFAQAADwAAAAAAAAABACAAAAAiAAAAZHJzL2Rvd25yZXYu&#10;eG1sUEsBAhQAFAAAAAgAh07iQBlMXkDKAQAAkgMAAA4AAAAAAAAAAQAgAAAAHwEAAGRycy9lMm9E&#10;b2MueG1sUEsFBgAAAAAGAAYAWQEAAFsFAAAAAA==&#10;">
              <v:fill on="f" focussize="0,0"/>
              <v:stroke on="f"/>
              <v:imagedata o:title=""/>
              <o:lock v:ext="edit" aspectratio="f"/>
              <v:textbox inset="0mm,0mm,0mm,0mm" style="mso-fit-shape-to-text:t;">
                <w:txbxContent>
                  <w:p w14:paraId="25F8E294">
                    <w:pPr>
                      <w:pStyle w:val="32"/>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C80EE6">
    <w:r>
      <w:rPr>
        <w:sz w:val="21"/>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BA8C882">
                          <w:pPr>
                            <w:pStyle w:val="32"/>
                          </w:pPr>
                          <w:r>
                            <w:t xml:space="preserve">第 </w:t>
                          </w:r>
                          <w:r>
                            <w:fldChar w:fldCharType="begin"/>
                          </w:r>
                          <w:r>
                            <w:instrText xml:space="preserve"> PAGE  \* MERGEFORMAT </w:instrText>
                          </w:r>
                          <w:r>
                            <w:fldChar w:fldCharType="separate"/>
                          </w:r>
                          <w:r>
                            <w:t>40</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7BA8C882">
                    <w:pPr>
                      <w:pStyle w:val="32"/>
                    </w:pPr>
                    <w:r>
                      <w:t xml:space="preserve">第 </w:t>
                    </w:r>
                    <w:r>
                      <w:fldChar w:fldCharType="begin"/>
                    </w:r>
                    <w:r>
                      <w:instrText xml:space="preserve"> PAGE  \* MERGEFORMAT </w:instrText>
                    </w:r>
                    <w:r>
                      <w:fldChar w:fldCharType="separate"/>
                    </w:r>
                    <w:r>
                      <w:t>40</w:t>
                    </w:r>
                    <w:r>
                      <w:fldChar w:fldCharType="end"/>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B29C55">
    <w:pPr>
      <w:pStyle w:val="33"/>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B82FD6">
    <w:pPr>
      <w:pStyle w:val="33"/>
    </w:pPr>
  </w:p>
  <w:p w14:paraId="75DC59E1">
    <w:pPr>
      <w:pStyle w:val="33"/>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D39094">
    <w:pPr>
      <w:pStyle w:val="33"/>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DB7FDD">
    <w:pPr>
      <w:pStyle w:val="33"/>
      <w:pBdr>
        <w:bottom w:val="single" w:color="auto" w:sz="6" w:space="0"/>
      </w:pBdr>
      <w:jc w:val="both"/>
      <w:rPr>
        <w:rFonts w:hint="eastAsia" w:eastAsia="宋体"/>
        <w:sz w:val="16"/>
        <w:lang w:val="en-US" w:eastAsia="zh-C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54BF83F"/>
    <w:multiLevelType w:val="singleLevel"/>
    <w:tmpl w:val="F54BF83F"/>
    <w:lvl w:ilvl="0" w:tentative="0">
      <w:start w:val="1"/>
      <w:numFmt w:val="decimal"/>
      <w:suff w:val="space"/>
      <w:lvlText w:val="%1."/>
      <w:lvlJc w:val="left"/>
      <w:pPr>
        <w:ind w:left="0" w:firstLine="0"/>
      </w:pPr>
    </w:lvl>
  </w:abstractNum>
  <w:abstractNum w:abstractNumId="1">
    <w:nsid w:val="00000003"/>
    <w:multiLevelType w:val="singleLevel"/>
    <w:tmpl w:val="00000003"/>
    <w:lvl w:ilvl="0" w:tentative="0">
      <w:start w:val="5"/>
      <w:numFmt w:val="decimal"/>
      <w:lvlText w:val="%1."/>
      <w:lvlJc w:val="left"/>
      <w:pPr>
        <w:tabs>
          <w:tab w:val="left" w:pos="312"/>
        </w:tabs>
      </w:pPr>
    </w:lvl>
  </w:abstractNum>
  <w:abstractNum w:abstractNumId="2">
    <w:nsid w:val="06882CE3"/>
    <w:multiLevelType w:val="multilevel"/>
    <w:tmpl w:val="06882CE3"/>
    <w:lvl w:ilvl="0" w:tentative="0">
      <w:start w:val="1"/>
      <w:numFmt w:val="decimal"/>
      <w:pStyle w:val="230"/>
      <w:suff w:val="nothing"/>
      <w:lvlText w:val="（%1）"/>
      <w:lvlJc w:val="left"/>
      <w:pPr>
        <w:ind w:left="1270" w:hanging="420"/>
      </w:pPr>
      <w:rPr>
        <w:b w:val="0"/>
        <w:bCs w:val="0"/>
        <w:i w:val="0"/>
        <w:iCs w:val="0"/>
        <w:caps w:val="0"/>
        <w:smallCaps w:val="0"/>
        <w:strike w:val="0"/>
        <w:dstrike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1" w:tentative="0">
      <w:start w:val="1"/>
      <w:numFmt w:val="lowerLetter"/>
      <w:lvlText w:val="%2)"/>
      <w:lvlJc w:val="left"/>
      <w:pPr>
        <w:ind w:left="1254" w:hanging="420"/>
      </w:pPr>
    </w:lvl>
    <w:lvl w:ilvl="2" w:tentative="0">
      <w:start w:val="1"/>
      <w:numFmt w:val="lowerRoman"/>
      <w:lvlText w:val="%3."/>
      <w:lvlJc w:val="right"/>
      <w:pPr>
        <w:ind w:left="1674" w:hanging="420"/>
      </w:pPr>
    </w:lvl>
    <w:lvl w:ilvl="3" w:tentative="0">
      <w:start w:val="1"/>
      <w:numFmt w:val="decimal"/>
      <w:lvlText w:val="%4."/>
      <w:lvlJc w:val="left"/>
      <w:pPr>
        <w:ind w:left="2094" w:hanging="420"/>
      </w:pPr>
    </w:lvl>
    <w:lvl w:ilvl="4" w:tentative="0">
      <w:start w:val="1"/>
      <w:numFmt w:val="lowerLetter"/>
      <w:lvlText w:val="%5)"/>
      <w:lvlJc w:val="left"/>
      <w:pPr>
        <w:ind w:left="2514" w:hanging="420"/>
      </w:pPr>
    </w:lvl>
    <w:lvl w:ilvl="5" w:tentative="0">
      <w:start w:val="1"/>
      <w:numFmt w:val="lowerRoman"/>
      <w:lvlText w:val="%6."/>
      <w:lvlJc w:val="right"/>
      <w:pPr>
        <w:ind w:left="2934" w:hanging="420"/>
      </w:pPr>
    </w:lvl>
    <w:lvl w:ilvl="6" w:tentative="0">
      <w:start w:val="1"/>
      <w:numFmt w:val="decimal"/>
      <w:lvlText w:val="%7."/>
      <w:lvlJc w:val="left"/>
      <w:pPr>
        <w:ind w:left="3354" w:hanging="420"/>
      </w:pPr>
    </w:lvl>
    <w:lvl w:ilvl="7" w:tentative="0">
      <w:start w:val="1"/>
      <w:numFmt w:val="lowerLetter"/>
      <w:lvlText w:val="%8)"/>
      <w:lvlJc w:val="left"/>
      <w:pPr>
        <w:ind w:left="3774" w:hanging="420"/>
      </w:pPr>
    </w:lvl>
    <w:lvl w:ilvl="8" w:tentative="0">
      <w:start w:val="1"/>
      <w:numFmt w:val="lowerRoman"/>
      <w:lvlText w:val="%9."/>
      <w:lvlJc w:val="right"/>
      <w:pPr>
        <w:ind w:left="4194" w:hanging="420"/>
      </w:pPr>
    </w:lvl>
  </w:abstractNum>
  <w:abstractNum w:abstractNumId="3">
    <w:nsid w:val="16DF253D"/>
    <w:multiLevelType w:val="multilevel"/>
    <w:tmpl w:val="16DF253D"/>
    <w:lvl w:ilvl="0" w:tentative="0">
      <w:start w:val="1"/>
      <w:numFmt w:val="decimal"/>
      <w:lvlText w:val="(%1)"/>
      <w:lvlJc w:val="left"/>
      <w:pPr>
        <w:ind w:left="420" w:hanging="420"/>
      </w:pPr>
      <w:rPr>
        <w:rFonts w:hint="eastAsia"/>
      </w:rPr>
    </w:lvl>
    <w:lvl w:ilvl="1" w:tentative="0">
      <w:start w:val="1"/>
      <w:numFmt w:val="decimalEnclosedCircle"/>
      <w:lvlText w:val="%2"/>
      <w:lvlJc w:val="left"/>
      <w:pPr>
        <w:ind w:left="780" w:hanging="360"/>
      </w:pPr>
      <w:rPr>
        <w:rFonts w:hint="default"/>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36C7309A"/>
    <w:multiLevelType w:val="multilevel"/>
    <w:tmpl w:val="36C7309A"/>
    <w:lvl w:ilvl="0" w:tentative="0">
      <w:start w:val="1"/>
      <w:numFmt w:val="decimal"/>
      <w:lvlText w:val="%1."/>
      <w:lvlJc w:val="left"/>
      <w:pPr>
        <w:ind w:left="420" w:hanging="420"/>
      </w:pPr>
      <w:rPr>
        <w:rFonts w:hint="eastAsia"/>
      </w:rPr>
    </w:lvl>
    <w:lvl w:ilvl="1" w:tentative="0">
      <w:start w:val="1"/>
      <w:numFmt w:val="decimalEnclosedCircle"/>
      <w:lvlText w:val="%2"/>
      <w:lvlJc w:val="left"/>
      <w:pPr>
        <w:ind w:left="780" w:hanging="360"/>
      </w:pPr>
      <w:rPr>
        <w:rFonts w:hint="default"/>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4AF0723E"/>
    <w:multiLevelType w:val="singleLevel"/>
    <w:tmpl w:val="4AF0723E"/>
    <w:lvl w:ilvl="0" w:tentative="0">
      <w:start w:val="2"/>
      <w:numFmt w:val="chineseCounting"/>
      <w:suff w:val="nothing"/>
      <w:lvlText w:val="%1、"/>
      <w:lvlJc w:val="left"/>
      <w:rPr>
        <w:rFonts w:hint="eastAsia"/>
      </w:rPr>
    </w:lvl>
  </w:abstractNum>
  <w:abstractNum w:abstractNumId="6">
    <w:nsid w:val="56D20133"/>
    <w:multiLevelType w:val="multilevel"/>
    <w:tmpl w:val="56D20133"/>
    <w:lvl w:ilvl="0" w:tentative="0">
      <w:start w:val="1"/>
      <w:numFmt w:val="chineseCountingThousand"/>
      <w:pStyle w:val="228"/>
      <w:lvlText w:val="(%1)"/>
      <w:lvlJc w:val="left"/>
      <w:pPr>
        <w:ind w:left="1130" w:hanging="420"/>
      </w:pPr>
      <w:rPr>
        <w:rFonts w:hint="eastAsia"/>
        <w:b/>
      </w:rPr>
    </w:lvl>
    <w:lvl w:ilvl="1" w:tentative="0">
      <w:start w:val="1"/>
      <w:numFmt w:val="decimal"/>
      <w:lvlText w:val="%2."/>
      <w:lvlJc w:val="left"/>
      <w:pPr>
        <w:ind w:left="1200" w:hanging="360"/>
      </w:pPr>
      <w:rPr>
        <w:rFonts w:hint="default"/>
        <w:b w:val="0"/>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400" w:hanging="720"/>
      </w:pPr>
      <w:rPr>
        <w:rFonts w:hint="default"/>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abstractNum w:abstractNumId="7">
    <w:nsid w:val="5901D2D1"/>
    <w:multiLevelType w:val="singleLevel"/>
    <w:tmpl w:val="5901D2D1"/>
    <w:lvl w:ilvl="0" w:tentative="0">
      <w:start w:val="3"/>
      <w:numFmt w:val="decimal"/>
      <w:suff w:val="nothing"/>
      <w:lvlText w:val="%1、"/>
      <w:lvlJc w:val="left"/>
    </w:lvl>
  </w:abstractNum>
  <w:abstractNum w:abstractNumId="8">
    <w:nsid w:val="656A6EAE"/>
    <w:multiLevelType w:val="multilevel"/>
    <w:tmpl w:val="656A6EAE"/>
    <w:lvl w:ilvl="0" w:tentative="0">
      <w:start w:val="1"/>
      <w:numFmt w:val="chineseCountingThousand"/>
      <w:pStyle w:val="234"/>
      <w:suff w:val="nothing"/>
      <w:lvlText w:val="%1、"/>
      <w:lvlJc w:val="left"/>
      <w:pPr>
        <w:ind w:left="2972" w:hanging="420"/>
      </w:pPr>
      <w:rPr>
        <w:rFonts w:hint="eastAsia" w:ascii="黑体" w:hAnsi="黑体" w:eastAsia="黑体"/>
        <w:sz w:val="28"/>
        <w:szCs w:val="28"/>
        <w:highlight w:val="none"/>
        <w:lang w:val="en-US"/>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9">
    <w:nsid w:val="7623664E"/>
    <w:multiLevelType w:val="multilevel"/>
    <w:tmpl w:val="7623664E"/>
    <w:lvl w:ilvl="0" w:tentative="0">
      <w:start w:val="1"/>
      <w:numFmt w:val="decimal"/>
      <w:lvlText w:val="%1."/>
      <w:lvlJc w:val="left"/>
      <w:pPr>
        <w:ind w:left="900" w:hanging="420"/>
      </w:pPr>
      <w:rPr>
        <w:rFonts w:hint="default"/>
        <w:b w:val="0"/>
        <w:bCs w:val="0"/>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0">
    <w:nsid w:val="77315800"/>
    <w:multiLevelType w:val="multilevel"/>
    <w:tmpl w:val="77315800"/>
    <w:lvl w:ilvl="0" w:tentative="0">
      <w:start w:val="1"/>
      <w:numFmt w:val="decimal"/>
      <w:lvlText w:val="%1."/>
      <w:lvlJc w:val="left"/>
      <w:pPr>
        <w:ind w:left="900" w:hanging="420"/>
      </w:pPr>
      <w:rPr>
        <w:rFonts w:hint="eastAsia"/>
      </w:rPr>
    </w:lvl>
    <w:lvl w:ilvl="1" w:tentative="0">
      <w:start w:val="1"/>
      <w:numFmt w:val="decimal"/>
      <w:lvlText w:val="（%2）"/>
      <w:lvlJc w:val="left"/>
      <w:pPr>
        <w:ind w:left="1620" w:hanging="720"/>
      </w:pPr>
      <w:rPr>
        <w:rFonts w:hint="default"/>
      </w:r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num w:numId="1">
    <w:abstractNumId w:val="6"/>
  </w:num>
  <w:num w:numId="2">
    <w:abstractNumId w:val="2"/>
  </w:num>
  <w:num w:numId="3">
    <w:abstractNumId w:val="8"/>
  </w:num>
  <w:num w:numId="4">
    <w:abstractNumId w:val="10"/>
  </w:num>
  <w:num w:numId="5">
    <w:abstractNumId w:val="4"/>
  </w:num>
  <w:num w:numId="6">
    <w:abstractNumId w:val="3"/>
  </w:num>
  <w:num w:numId="7">
    <w:abstractNumId w:val="9"/>
  </w:num>
  <w:num w:numId="8">
    <w:abstractNumId w:val="7"/>
  </w:num>
  <w:num w:numId="9">
    <w:abstractNumId w:val="1"/>
  </w:num>
  <w:num w:numId="10">
    <w:abstractNumId w:val="0"/>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0"/>
  <w:bordersDoNotSurroundFooter w:val="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720"/>
  <w:drawingGridHorizontalSpacing w:val="100"/>
  <w:drawingGridVerticalSpacing w:val="156"/>
  <w:displayHorizontalDrawingGridEvery w:val="1"/>
  <w:displayVerticalDrawingGridEvery w:val="1"/>
  <w:noPunctuationKerning w:val="1"/>
  <w:characterSpacingControl w:val="doNotCompress"/>
  <w:doNotValidateAgainstSchema/>
  <w:doNotDemarcateInvalidXml/>
  <w:compat>
    <w:spaceForUL/>
    <w:doNotLeaveBackslashAlone/>
    <w:doNotExpandShiftReturn/>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DNhYmM5YTljOTRlZTk3ZmFmNWUyODJhYWQ3OWU2M2UifQ=="/>
  </w:docVars>
  <w:rsids>
    <w:rsidRoot w:val="00172A27"/>
    <w:rsid w:val="0000183C"/>
    <w:rsid w:val="000034D1"/>
    <w:rsid w:val="000035EA"/>
    <w:rsid w:val="000051AC"/>
    <w:rsid w:val="000057B7"/>
    <w:rsid w:val="00005EF2"/>
    <w:rsid w:val="00006E7C"/>
    <w:rsid w:val="0001216B"/>
    <w:rsid w:val="00012DD9"/>
    <w:rsid w:val="0001356E"/>
    <w:rsid w:val="000154DC"/>
    <w:rsid w:val="00016105"/>
    <w:rsid w:val="00016EBC"/>
    <w:rsid w:val="000208C0"/>
    <w:rsid w:val="00020D9D"/>
    <w:rsid w:val="000221BA"/>
    <w:rsid w:val="000229A8"/>
    <w:rsid w:val="00022C4A"/>
    <w:rsid w:val="00023AF8"/>
    <w:rsid w:val="00024807"/>
    <w:rsid w:val="00024C03"/>
    <w:rsid w:val="0002506A"/>
    <w:rsid w:val="00026E24"/>
    <w:rsid w:val="000300AB"/>
    <w:rsid w:val="00030E46"/>
    <w:rsid w:val="00031697"/>
    <w:rsid w:val="0003328B"/>
    <w:rsid w:val="00033873"/>
    <w:rsid w:val="00034C6D"/>
    <w:rsid w:val="00037FCD"/>
    <w:rsid w:val="000400D6"/>
    <w:rsid w:val="00040F60"/>
    <w:rsid w:val="00041C94"/>
    <w:rsid w:val="00044CB4"/>
    <w:rsid w:val="000473F7"/>
    <w:rsid w:val="000506BD"/>
    <w:rsid w:val="000508B3"/>
    <w:rsid w:val="000518BB"/>
    <w:rsid w:val="00052BAB"/>
    <w:rsid w:val="00052FFD"/>
    <w:rsid w:val="00054F55"/>
    <w:rsid w:val="00056C4B"/>
    <w:rsid w:val="00061356"/>
    <w:rsid w:val="0006371E"/>
    <w:rsid w:val="00064255"/>
    <w:rsid w:val="0006582E"/>
    <w:rsid w:val="000709BD"/>
    <w:rsid w:val="00071413"/>
    <w:rsid w:val="000719F0"/>
    <w:rsid w:val="00074606"/>
    <w:rsid w:val="00074F21"/>
    <w:rsid w:val="00076878"/>
    <w:rsid w:val="00076B92"/>
    <w:rsid w:val="00080790"/>
    <w:rsid w:val="000810CD"/>
    <w:rsid w:val="00081348"/>
    <w:rsid w:val="000813EA"/>
    <w:rsid w:val="00081EEF"/>
    <w:rsid w:val="0008416F"/>
    <w:rsid w:val="000855A4"/>
    <w:rsid w:val="00085731"/>
    <w:rsid w:val="00086335"/>
    <w:rsid w:val="0008717F"/>
    <w:rsid w:val="00090E18"/>
    <w:rsid w:val="00090EEF"/>
    <w:rsid w:val="00090FE6"/>
    <w:rsid w:val="0009439B"/>
    <w:rsid w:val="000956AD"/>
    <w:rsid w:val="000A0AD7"/>
    <w:rsid w:val="000A2AE6"/>
    <w:rsid w:val="000A2DB9"/>
    <w:rsid w:val="000A3E5C"/>
    <w:rsid w:val="000A7434"/>
    <w:rsid w:val="000A7B57"/>
    <w:rsid w:val="000B0B7C"/>
    <w:rsid w:val="000B2DE5"/>
    <w:rsid w:val="000B4F69"/>
    <w:rsid w:val="000B55C9"/>
    <w:rsid w:val="000D0CD1"/>
    <w:rsid w:val="000D1A07"/>
    <w:rsid w:val="000D2025"/>
    <w:rsid w:val="000D4041"/>
    <w:rsid w:val="000D4B6A"/>
    <w:rsid w:val="000D4D7E"/>
    <w:rsid w:val="000D516A"/>
    <w:rsid w:val="000D5B76"/>
    <w:rsid w:val="000E0745"/>
    <w:rsid w:val="000E2E8D"/>
    <w:rsid w:val="000E36C0"/>
    <w:rsid w:val="000E41D9"/>
    <w:rsid w:val="000E4609"/>
    <w:rsid w:val="000E511C"/>
    <w:rsid w:val="000E5161"/>
    <w:rsid w:val="000E6470"/>
    <w:rsid w:val="000E793B"/>
    <w:rsid w:val="000F0B85"/>
    <w:rsid w:val="000F1F00"/>
    <w:rsid w:val="000F2444"/>
    <w:rsid w:val="000F24FD"/>
    <w:rsid w:val="000F39B7"/>
    <w:rsid w:val="000F39CC"/>
    <w:rsid w:val="000F4892"/>
    <w:rsid w:val="000F6612"/>
    <w:rsid w:val="000F6BB5"/>
    <w:rsid w:val="000F722B"/>
    <w:rsid w:val="001009E0"/>
    <w:rsid w:val="00101369"/>
    <w:rsid w:val="00103A1D"/>
    <w:rsid w:val="001041F0"/>
    <w:rsid w:val="00105EBB"/>
    <w:rsid w:val="0010751C"/>
    <w:rsid w:val="00107E3B"/>
    <w:rsid w:val="001114FF"/>
    <w:rsid w:val="00111C06"/>
    <w:rsid w:val="0011258E"/>
    <w:rsid w:val="001141C7"/>
    <w:rsid w:val="00114BBB"/>
    <w:rsid w:val="0011501D"/>
    <w:rsid w:val="001178E9"/>
    <w:rsid w:val="00120AA5"/>
    <w:rsid w:val="001211E6"/>
    <w:rsid w:val="00121397"/>
    <w:rsid w:val="00121F17"/>
    <w:rsid w:val="001222B8"/>
    <w:rsid w:val="001231A7"/>
    <w:rsid w:val="00124D44"/>
    <w:rsid w:val="00127BD4"/>
    <w:rsid w:val="0013029A"/>
    <w:rsid w:val="00131D9A"/>
    <w:rsid w:val="00133BEC"/>
    <w:rsid w:val="001341AB"/>
    <w:rsid w:val="00134C4E"/>
    <w:rsid w:val="0013763B"/>
    <w:rsid w:val="00137FE1"/>
    <w:rsid w:val="00140F66"/>
    <w:rsid w:val="0014272A"/>
    <w:rsid w:val="001439A4"/>
    <w:rsid w:val="00144987"/>
    <w:rsid w:val="0014520D"/>
    <w:rsid w:val="0014669E"/>
    <w:rsid w:val="00147CD9"/>
    <w:rsid w:val="00154B2B"/>
    <w:rsid w:val="00155123"/>
    <w:rsid w:val="00157E21"/>
    <w:rsid w:val="0016528E"/>
    <w:rsid w:val="00170873"/>
    <w:rsid w:val="0017217F"/>
    <w:rsid w:val="00172A27"/>
    <w:rsid w:val="00172F05"/>
    <w:rsid w:val="0017342A"/>
    <w:rsid w:val="00173865"/>
    <w:rsid w:val="001738BE"/>
    <w:rsid w:val="001744A8"/>
    <w:rsid w:val="00174A12"/>
    <w:rsid w:val="00174E52"/>
    <w:rsid w:val="0017511C"/>
    <w:rsid w:val="00175CC4"/>
    <w:rsid w:val="00176DD3"/>
    <w:rsid w:val="0017790F"/>
    <w:rsid w:val="00180708"/>
    <w:rsid w:val="00183225"/>
    <w:rsid w:val="00185FA0"/>
    <w:rsid w:val="001871ED"/>
    <w:rsid w:val="001876B0"/>
    <w:rsid w:val="00193C83"/>
    <w:rsid w:val="00194697"/>
    <w:rsid w:val="0019620A"/>
    <w:rsid w:val="001962F4"/>
    <w:rsid w:val="00197BC5"/>
    <w:rsid w:val="00197FC6"/>
    <w:rsid w:val="001A01C2"/>
    <w:rsid w:val="001A0A5C"/>
    <w:rsid w:val="001A1078"/>
    <w:rsid w:val="001A1FC4"/>
    <w:rsid w:val="001A3453"/>
    <w:rsid w:val="001A382C"/>
    <w:rsid w:val="001A4258"/>
    <w:rsid w:val="001A514B"/>
    <w:rsid w:val="001A5A78"/>
    <w:rsid w:val="001A6A83"/>
    <w:rsid w:val="001A6D0F"/>
    <w:rsid w:val="001A71ED"/>
    <w:rsid w:val="001A776E"/>
    <w:rsid w:val="001B020A"/>
    <w:rsid w:val="001B0810"/>
    <w:rsid w:val="001B2C24"/>
    <w:rsid w:val="001B37BA"/>
    <w:rsid w:val="001B469B"/>
    <w:rsid w:val="001B5339"/>
    <w:rsid w:val="001C0478"/>
    <w:rsid w:val="001C1AF1"/>
    <w:rsid w:val="001C23F2"/>
    <w:rsid w:val="001C2D80"/>
    <w:rsid w:val="001C37EB"/>
    <w:rsid w:val="001C3C7E"/>
    <w:rsid w:val="001C4A93"/>
    <w:rsid w:val="001C7654"/>
    <w:rsid w:val="001D02D4"/>
    <w:rsid w:val="001D06E0"/>
    <w:rsid w:val="001D0EEF"/>
    <w:rsid w:val="001D1CCB"/>
    <w:rsid w:val="001D35B3"/>
    <w:rsid w:val="001D3EB8"/>
    <w:rsid w:val="001D6245"/>
    <w:rsid w:val="001D719D"/>
    <w:rsid w:val="001E0118"/>
    <w:rsid w:val="001E0FE8"/>
    <w:rsid w:val="001E22B6"/>
    <w:rsid w:val="001E2B36"/>
    <w:rsid w:val="001E43E9"/>
    <w:rsid w:val="001E5110"/>
    <w:rsid w:val="001E64F1"/>
    <w:rsid w:val="001E7757"/>
    <w:rsid w:val="001E79E2"/>
    <w:rsid w:val="001E7CE9"/>
    <w:rsid w:val="001F1EF8"/>
    <w:rsid w:val="001F3DB4"/>
    <w:rsid w:val="001F4637"/>
    <w:rsid w:val="001F56A5"/>
    <w:rsid w:val="001F6038"/>
    <w:rsid w:val="001F767C"/>
    <w:rsid w:val="001F780E"/>
    <w:rsid w:val="001F7A8B"/>
    <w:rsid w:val="00200474"/>
    <w:rsid w:val="00204094"/>
    <w:rsid w:val="002056DC"/>
    <w:rsid w:val="00205FBA"/>
    <w:rsid w:val="00206209"/>
    <w:rsid w:val="00206845"/>
    <w:rsid w:val="00207BA9"/>
    <w:rsid w:val="00207C4C"/>
    <w:rsid w:val="00212288"/>
    <w:rsid w:val="002126A3"/>
    <w:rsid w:val="00215A7F"/>
    <w:rsid w:val="00215FE2"/>
    <w:rsid w:val="00216F63"/>
    <w:rsid w:val="00221300"/>
    <w:rsid w:val="00221D58"/>
    <w:rsid w:val="00222929"/>
    <w:rsid w:val="00223427"/>
    <w:rsid w:val="00225284"/>
    <w:rsid w:val="002253AD"/>
    <w:rsid w:val="002257DF"/>
    <w:rsid w:val="00226053"/>
    <w:rsid w:val="00226302"/>
    <w:rsid w:val="00226BA1"/>
    <w:rsid w:val="002273AE"/>
    <w:rsid w:val="002307D0"/>
    <w:rsid w:val="00230F26"/>
    <w:rsid w:val="00233392"/>
    <w:rsid w:val="00236155"/>
    <w:rsid w:val="002373F7"/>
    <w:rsid w:val="00240826"/>
    <w:rsid w:val="00240C91"/>
    <w:rsid w:val="002420A4"/>
    <w:rsid w:val="00244D60"/>
    <w:rsid w:val="0025035D"/>
    <w:rsid w:val="0025114F"/>
    <w:rsid w:val="00253A72"/>
    <w:rsid w:val="00254DCB"/>
    <w:rsid w:val="002556BE"/>
    <w:rsid w:val="00257753"/>
    <w:rsid w:val="00260850"/>
    <w:rsid w:val="00260B68"/>
    <w:rsid w:val="002610B2"/>
    <w:rsid w:val="00262747"/>
    <w:rsid w:val="002629AD"/>
    <w:rsid w:val="00262F57"/>
    <w:rsid w:val="0026364D"/>
    <w:rsid w:val="0026538D"/>
    <w:rsid w:val="00266D11"/>
    <w:rsid w:val="002701A6"/>
    <w:rsid w:val="00270935"/>
    <w:rsid w:val="00273669"/>
    <w:rsid w:val="0027397B"/>
    <w:rsid w:val="002742F4"/>
    <w:rsid w:val="002765F0"/>
    <w:rsid w:val="00280578"/>
    <w:rsid w:val="00280D1A"/>
    <w:rsid w:val="0028178C"/>
    <w:rsid w:val="00281B3E"/>
    <w:rsid w:val="0028405F"/>
    <w:rsid w:val="002844AC"/>
    <w:rsid w:val="00284EFF"/>
    <w:rsid w:val="002854BD"/>
    <w:rsid w:val="00285B17"/>
    <w:rsid w:val="00285F28"/>
    <w:rsid w:val="0028791A"/>
    <w:rsid w:val="00287E7D"/>
    <w:rsid w:val="002901F0"/>
    <w:rsid w:val="00291C5E"/>
    <w:rsid w:val="00293D1A"/>
    <w:rsid w:val="002940F2"/>
    <w:rsid w:val="00294513"/>
    <w:rsid w:val="0029713B"/>
    <w:rsid w:val="002A1089"/>
    <w:rsid w:val="002A2A13"/>
    <w:rsid w:val="002A499F"/>
    <w:rsid w:val="002A580F"/>
    <w:rsid w:val="002A7A04"/>
    <w:rsid w:val="002A7D01"/>
    <w:rsid w:val="002A7D64"/>
    <w:rsid w:val="002B0589"/>
    <w:rsid w:val="002B0603"/>
    <w:rsid w:val="002B0848"/>
    <w:rsid w:val="002B3414"/>
    <w:rsid w:val="002B54AE"/>
    <w:rsid w:val="002B6D24"/>
    <w:rsid w:val="002B6E0F"/>
    <w:rsid w:val="002B7724"/>
    <w:rsid w:val="002C05DB"/>
    <w:rsid w:val="002C14BF"/>
    <w:rsid w:val="002C1583"/>
    <w:rsid w:val="002C1A8C"/>
    <w:rsid w:val="002C27CC"/>
    <w:rsid w:val="002C2DB1"/>
    <w:rsid w:val="002C4908"/>
    <w:rsid w:val="002C6753"/>
    <w:rsid w:val="002D16E1"/>
    <w:rsid w:val="002D1A3B"/>
    <w:rsid w:val="002D24CF"/>
    <w:rsid w:val="002D5046"/>
    <w:rsid w:val="002D6DD2"/>
    <w:rsid w:val="002D7971"/>
    <w:rsid w:val="002E0178"/>
    <w:rsid w:val="002E02E6"/>
    <w:rsid w:val="002E140F"/>
    <w:rsid w:val="002E365E"/>
    <w:rsid w:val="002E4BCE"/>
    <w:rsid w:val="002E7019"/>
    <w:rsid w:val="002F1905"/>
    <w:rsid w:val="002F3CC6"/>
    <w:rsid w:val="002F4F2E"/>
    <w:rsid w:val="002F7DBB"/>
    <w:rsid w:val="003004BA"/>
    <w:rsid w:val="00302015"/>
    <w:rsid w:val="00302335"/>
    <w:rsid w:val="00302614"/>
    <w:rsid w:val="00303641"/>
    <w:rsid w:val="00306283"/>
    <w:rsid w:val="00310532"/>
    <w:rsid w:val="00311044"/>
    <w:rsid w:val="003112D9"/>
    <w:rsid w:val="0031445C"/>
    <w:rsid w:val="003147C5"/>
    <w:rsid w:val="00314AD0"/>
    <w:rsid w:val="00316504"/>
    <w:rsid w:val="00317723"/>
    <w:rsid w:val="00317E9C"/>
    <w:rsid w:val="00317EEA"/>
    <w:rsid w:val="003224D2"/>
    <w:rsid w:val="00322F94"/>
    <w:rsid w:val="0032565B"/>
    <w:rsid w:val="00327187"/>
    <w:rsid w:val="003303FF"/>
    <w:rsid w:val="003314C7"/>
    <w:rsid w:val="00333652"/>
    <w:rsid w:val="00335FB7"/>
    <w:rsid w:val="0034003A"/>
    <w:rsid w:val="00340370"/>
    <w:rsid w:val="00340AC2"/>
    <w:rsid w:val="00341B8B"/>
    <w:rsid w:val="00342361"/>
    <w:rsid w:val="003430C6"/>
    <w:rsid w:val="00343DD7"/>
    <w:rsid w:val="00343FE7"/>
    <w:rsid w:val="00344082"/>
    <w:rsid w:val="00344FF9"/>
    <w:rsid w:val="00345A38"/>
    <w:rsid w:val="003460FA"/>
    <w:rsid w:val="003469AD"/>
    <w:rsid w:val="003479BD"/>
    <w:rsid w:val="00347F92"/>
    <w:rsid w:val="0035334C"/>
    <w:rsid w:val="00355A7C"/>
    <w:rsid w:val="00357548"/>
    <w:rsid w:val="003619C5"/>
    <w:rsid w:val="00363122"/>
    <w:rsid w:val="003659FE"/>
    <w:rsid w:val="00367455"/>
    <w:rsid w:val="00372AE8"/>
    <w:rsid w:val="00372C72"/>
    <w:rsid w:val="003778D8"/>
    <w:rsid w:val="003800EE"/>
    <w:rsid w:val="003810C2"/>
    <w:rsid w:val="0038339D"/>
    <w:rsid w:val="003845C4"/>
    <w:rsid w:val="00384B94"/>
    <w:rsid w:val="0038583D"/>
    <w:rsid w:val="00385E69"/>
    <w:rsid w:val="00386767"/>
    <w:rsid w:val="00387488"/>
    <w:rsid w:val="003875BA"/>
    <w:rsid w:val="0038788C"/>
    <w:rsid w:val="0039370F"/>
    <w:rsid w:val="00393FCE"/>
    <w:rsid w:val="003946A1"/>
    <w:rsid w:val="00394AAD"/>
    <w:rsid w:val="00396025"/>
    <w:rsid w:val="0039605B"/>
    <w:rsid w:val="003A0F9F"/>
    <w:rsid w:val="003A15C2"/>
    <w:rsid w:val="003A304A"/>
    <w:rsid w:val="003A3D36"/>
    <w:rsid w:val="003A46FF"/>
    <w:rsid w:val="003A49B8"/>
    <w:rsid w:val="003A4E10"/>
    <w:rsid w:val="003A5BE8"/>
    <w:rsid w:val="003A6586"/>
    <w:rsid w:val="003A6CA2"/>
    <w:rsid w:val="003B2AC4"/>
    <w:rsid w:val="003B792C"/>
    <w:rsid w:val="003C05FB"/>
    <w:rsid w:val="003C3F8F"/>
    <w:rsid w:val="003C511F"/>
    <w:rsid w:val="003C6427"/>
    <w:rsid w:val="003C6695"/>
    <w:rsid w:val="003C674D"/>
    <w:rsid w:val="003C71AC"/>
    <w:rsid w:val="003C754D"/>
    <w:rsid w:val="003C7C44"/>
    <w:rsid w:val="003D0365"/>
    <w:rsid w:val="003D2235"/>
    <w:rsid w:val="003D343B"/>
    <w:rsid w:val="003D3F7A"/>
    <w:rsid w:val="003D5147"/>
    <w:rsid w:val="003D6DE2"/>
    <w:rsid w:val="003D6E42"/>
    <w:rsid w:val="003E2E79"/>
    <w:rsid w:val="003E4195"/>
    <w:rsid w:val="003E4811"/>
    <w:rsid w:val="003E4EC6"/>
    <w:rsid w:val="003E658A"/>
    <w:rsid w:val="003F12A0"/>
    <w:rsid w:val="003F12DE"/>
    <w:rsid w:val="003F34AF"/>
    <w:rsid w:val="003F3957"/>
    <w:rsid w:val="003F3A3C"/>
    <w:rsid w:val="003F3A49"/>
    <w:rsid w:val="003F743B"/>
    <w:rsid w:val="00400244"/>
    <w:rsid w:val="00400532"/>
    <w:rsid w:val="0040099D"/>
    <w:rsid w:val="00400A31"/>
    <w:rsid w:val="00401E95"/>
    <w:rsid w:val="00404ADD"/>
    <w:rsid w:val="004061D7"/>
    <w:rsid w:val="00407D78"/>
    <w:rsid w:val="00411603"/>
    <w:rsid w:val="004119D0"/>
    <w:rsid w:val="00412546"/>
    <w:rsid w:val="0041266B"/>
    <w:rsid w:val="00412A74"/>
    <w:rsid w:val="00412FF8"/>
    <w:rsid w:val="0041385C"/>
    <w:rsid w:val="00413BB2"/>
    <w:rsid w:val="00413F5B"/>
    <w:rsid w:val="00415F3E"/>
    <w:rsid w:val="004165F6"/>
    <w:rsid w:val="004168F3"/>
    <w:rsid w:val="00417A9A"/>
    <w:rsid w:val="004213DF"/>
    <w:rsid w:val="004225D7"/>
    <w:rsid w:val="004229AA"/>
    <w:rsid w:val="00425CEA"/>
    <w:rsid w:val="00426B8C"/>
    <w:rsid w:val="00432229"/>
    <w:rsid w:val="004327FF"/>
    <w:rsid w:val="0043403A"/>
    <w:rsid w:val="00442430"/>
    <w:rsid w:val="00442705"/>
    <w:rsid w:val="004437DE"/>
    <w:rsid w:val="00443906"/>
    <w:rsid w:val="00443F93"/>
    <w:rsid w:val="00444238"/>
    <w:rsid w:val="00445272"/>
    <w:rsid w:val="00446B68"/>
    <w:rsid w:val="00447BFC"/>
    <w:rsid w:val="00447C1D"/>
    <w:rsid w:val="00451C64"/>
    <w:rsid w:val="004526DA"/>
    <w:rsid w:val="004534DD"/>
    <w:rsid w:val="00453788"/>
    <w:rsid w:val="004658A3"/>
    <w:rsid w:val="00467AF4"/>
    <w:rsid w:val="00470DD6"/>
    <w:rsid w:val="004714BE"/>
    <w:rsid w:val="0047179D"/>
    <w:rsid w:val="004725DE"/>
    <w:rsid w:val="004729F0"/>
    <w:rsid w:val="00472B3D"/>
    <w:rsid w:val="0047324B"/>
    <w:rsid w:val="0047473E"/>
    <w:rsid w:val="00475B28"/>
    <w:rsid w:val="00475C12"/>
    <w:rsid w:val="00476DB4"/>
    <w:rsid w:val="0047730E"/>
    <w:rsid w:val="00480089"/>
    <w:rsid w:val="0048095C"/>
    <w:rsid w:val="00480F87"/>
    <w:rsid w:val="0048108B"/>
    <w:rsid w:val="0048182C"/>
    <w:rsid w:val="00482DFB"/>
    <w:rsid w:val="00487150"/>
    <w:rsid w:val="004906A8"/>
    <w:rsid w:val="004912FB"/>
    <w:rsid w:val="00492C35"/>
    <w:rsid w:val="00494E20"/>
    <w:rsid w:val="00496276"/>
    <w:rsid w:val="0049670E"/>
    <w:rsid w:val="00497CF2"/>
    <w:rsid w:val="00497DD7"/>
    <w:rsid w:val="004A3844"/>
    <w:rsid w:val="004A3EC9"/>
    <w:rsid w:val="004A4EEB"/>
    <w:rsid w:val="004A4EFC"/>
    <w:rsid w:val="004A75A1"/>
    <w:rsid w:val="004B07AB"/>
    <w:rsid w:val="004B09ED"/>
    <w:rsid w:val="004B1C37"/>
    <w:rsid w:val="004B3FAC"/>
    <w:rsid w:val="004B4C51"/>
    <w:rsid w:val="004B4CBA"/>
    <w:rsid w:val="004B6053"/>
    <w:rsid w:val="004C05CD"/>
    <w:rsid w:val="004C0F70"/>
    <w:rsid w:val="004C104F"/>
    <w:rsid w:val="004C1B1E"/>
    <w:rsid w:val="004C30BF"/>
    <w:rsid w:val="004C37DB"/>
    <w:rsid w:val="004C561A"/>
    <w:rsid w:val="004C7F81"/>
    <w:rsid w:val="004D1B2F"/>
    <w:rsid w:val="004D1DF4"/>
    <w:rsid w:val="004D2F9C"/>
    <w:rsid w:val="004D33B4"/>
    <w:rsid w:val="004D3986"/>
    <w:rsid w:val="004D45BB"/>
    <w:rsid w:val="004D69B7"/>
    <w:rsid w:val="004D6BC1"/>
    <w:rsid w:val="004D78D0"/>
    <w:rsid w:val="004D7B65"/>
    <w:rsid w:val="004E27D0"/>
    <w:rsid w:val="004E4252"/>
    <w:rsid w:val="004E45AC"/>
    <w:rsid w:val="004E4D8C"/>
    <w:rsid w:val="004E6388"/>
    <w:rsid w:val="004F05CB"/>
    <w:rsid w:val="004F39EF"/>
    <w:rsid w:val="004F4063"/>
    <w:rsid w:val="004F55EE"/>
    <w:rsid w:val="004F5A7E"/>
    <w:rsid w:val="004F5CDB"/>
    <w:rsid w:val="004F6E85"/>
    <w:rsid w:val="004F70E8"/>
    <w:rsid w:val="00502DA9"/>
    <w:rsid w:val="00504EB4"/>
    <w:rsid w:val="005058E6"/>
    <w:rsid w:val="00505E3E"/>
    <w:rsid w:val="005069FA"/>
    <w:rsid w:val="005079E6"/>
    <w:rsid w:val="00507D24"/>
    <w:rsid w:val="00510196"/>
    <w:rsid w:val="00513C5E"/>
    <w:rsid w:val="005147ED"/>
    <w:rsid w:val="00514D8E"/>
    <w:rsid w:val="005158A0"/>
    <w:rsid w:val="00517318"/>
    <w:rsid w:val="00517634"/>
    <w:rsid w:val="00520AD6"/>
    <w:rsid w:val="00520FB1"/>
    <w:rsid w:val="005220FB"/>
    <w:rsid w:val="005228D9"/>
    <w:rsid w:val="00523E76"/>
    <w:rsid w:val="00524362"/>
    <w:rsid w:val="00525C45"/>
    <w:rsid w:val="005274AD"/>
    <w:rsid w:val="0053171B"/>
    <w:rsid w:val="0053235C"/>
    <w:rsid w:val="005333AD"/>
    <w:rsid w:val="00541AEA"/>
    <w:rsid w:val="00543E63"/>
    <w:rsid w:val="00550BB8"/>
    <w:rsid w:val="0055162C"/>
    <w:rsid w:val="005532A7"/>
    <w:rsid w:val="0056056C"/>
    <w:rsid w:val="00560C52"/>
    <w:rsid w:val="0056148B"/>
    <w:rsid w:val="005626C3"/>
    <w:rsid w:val="005630EA"/>
    <w:rsid w:val="00563DFC"/>
    <w:rsid w:val="0056438D"/>
    <w:rsid w:val="0056666A"/>
    <w:rsid w:val="00567322"/>
    <w:rsid w:val="00567874"/>
    <w:rsid w:val="00572C39"/>
    <w:rsid w:val="00573EFB"/>
    <w:rsid w:val="0057432F"/>
    <w:rsid w:val="0057452B"/>
    <w:rsid w:val="00576A79"/>
    <w:rsid w:val="00577A20"/>
    <w:rsid w:val="0058117D"/>
    <w:rsid w:val="0058185E"/>
    <w:rsid w:val="0058271C"/>
    <w:rsid w:val="0058395D"/>
    <w:rsid w:val="00583F48"/>
    <w:rsid w:val="00584944"/>
    <w:rsid w:val="005859B1"/>
    <w:rsid w:val="00585B13"/>
    <w:rsid w:val="005869A3"/>
    <w:rsid w:val="00590CAC"/>
    <w:rsid w:val="00593852"/>
    <w:rsid w:val="005948E1"/>
    <w:rsid w:val="00596B83"/>
    <w:rsid w:val="0059763B"/>
    <w:rsid w:val="00597661"/>
    <w:rsid w:val="005A0976"/>
    <w:rsid w:val="005A65C2"/>
    <w:rsid w:val="005A677E"/>
    <w:rsid w:val="005A7FE7"/>
    <w:rsid w:val="005B0CF4"/>
    <w:rsid w:val="005B129B"/>
    <w:rsid w:val="005B2EDB"/>
    <w:rsid w:val="005B43A0"/>
    <w:rsid w:val="005B704C"/>
    <w:rsid w:val="005C00A6"/>
    <w:rsid w:val="005C0DAD"/>
    <w:rsid w:val="005C2EF0"/>
    <w:rsid w:val="005C77C6"/>
    <w:rsid w:val="005D1312"/>
    <w:rsid w:val="005D2299"/>
    <w:rsid w:val="005D3286"/>
    <w:rsid w:val="005D3B93"/>
    <w:rsid w:val="005E2DC6"/>
    <w:rsid w:val="005E5313"/>
    <w:rsid w:val="005E7349"/>
    <w:rsid w:val="005E77B4"/>
    <w:rsid w:val="005F2A3C"/>
    <w:rsid w:val="005F2CB4"/>
    <w:rsid w:val="005F3148"/>
    <w:rsid w:val="005F36D4"/>
    <w:rsid w:val="005F49FC"/>
    <w:rsid w:val="005F4CA1"/>
    <w:rsid w:val="005F684D"/>
    <w:rsid w:val="005F723B"/>
    <w:rsid w:val="006023F6"/>
    <w:rsid w:val="00602728"/>
    <w:rsid w:val="006042BC"/>
    <w:rsid w:val="00606076"/>
    <w:rsid w:val="00607030"/>
    <w:rsid w:val="00611928"/>
    <w:rsid w:val="00613AB6"/>
    <w:rsid w:val="006144F7"/>
    <w:rsid w:val="00617FB9"/>
    <w:rsid w:val="006206E7"/>
    <w:rsid w:val="00620E56"/>
    <w:rsid w:val="0062271D"/>
    <w:rsid w:val="00622DA6"/>
    <w:rsid w:val="00623625"/>
    <w:rsid w:val="0062401E"/>
    <w:rsid w:val="00624849"/>
    <w:rsid w:val="00626341"/>
    <w:rsid w:val="0062681C"/>
    <w:rsid w:val="006315E8"/>
    <w:rsid w:val="00635D34"/>
    <w:rsid w:val="006365EA"/>
    <w:rsid w:val="006402A2"/>
    <w:rsid w:val="0064204D"/>
    <w:rsid w:val="006425DF"/>
    <w:rsid w:val="00642CD0"/>
    <w:rsid w:val="00643ED4"/>
    <w:rsid w:val="0064748F"/>
    <w:rsid w:val="006519E0"/>
    <w:rsid w:val="00651B5F"/>
    <w:rsid w:val="00654EB5"/>
    <w:rsid w:val="006552D1"/>
    <w:rsid w:val="00656AD1"/>
    <w:rsid w:val="00657070"/>
    <w:rsid w:val="00657653"/>
    <w:rsid w:val="00657E3E"/>
    <w:rsid w:val="0066019C"/>
    <w:rsid w:val="0066077E"/>
    <w:rsid w:val="00660851"/>
    <w:rsid w:val="0066232A"/>
    <w:rsid w:val="006623D7"/>
    <w:rsid w:val="0066251A"/>
    <w:rsid w:val="0066278C"/>
    <w:rsid w:val="00663166"/>
    <w:rsid w:val="006634B0"/>
    <w:rsid w:val="006702A4"/>
    <w:rsid w:val="00672113"/>
    <w:rsid w:val="0067340D"/>
    <w:rsid w:val="00675972"/>
    <w:rsid w:val="006769A5"/>
    <w:rsid w:val="006803BE"/>
    <w:rsid w:val="00680525"/>
    <w:rsid w:val="00680BB0"/>
    <w:rsid w:val="00682959"/>
    <w:rsid w:val="0068374A"/>
    <w:rsid w:val="00683915"/>
    <w:rsid w:val="0068450D"/>
    <w:rsid w:val="00687A6C"/>
    <w:rsid w:val="0069014B"/>
    <w:rsid w:val="0069251C"/>
    <w:rsid w:val="0069264F"/>
    <w:rsid w:val="00694843"/>
    <w:rsid w:val="0069489E"/>
    <w:rsid w:val="0069495C"/>
    <w:rsid w:val="00696CEB"/>
    <w:rsid w:val="0069726A"/>
    <w:rsid w:val="006978A6"/>
    <w:rsid w:val="00697BEF"/>
    <w:rsid w:val="006A0788"/>
    <w:rsid w:val="006A1DB5"/>
    <w:rsid w:val="006A37F3"/>
    <w:rsid w:val="006B255B"/>
    <w:rsid w:val="006B27F0"/>
    <w:rsid w:val="006B2D1B"/>
    <w:rsid w:val="006B5530"/>
    <w:rsid w:val="006B5614"/>
    <w:rsid w:val="006B5D63"/>
    <w:rsid w:val="006B5F7C"/>
    <w:rsid w:val="006B6F8F"/>
    <w:rsid w:val="006B745E"/>
    <w:rsid w:val="006B75A8"/>
    <w:rsid w:val="006C1436"/>
    <w:rsid w:val="006C14BF"/>
    <w:rsid w:val="006C18C7"/>
    <w:rsid w:val="006C2985"/>
    <w:rsid w:val="006C4791"/>
    <w:rsid w:val="006C4AE9"/>
    <w:rsid w:val="006C6EDE"/>
    <w:rsid w:val="006C7347"/>
    <w:rsid w:val="006D1CEA"/>
    <w:rsid w:val="006D224F"/>
    <w:rsid w:val="006D43F2"/>
    <w:rsid w:val="006D4A6D"/>
    <w:rsid w:val="006D55BF"/>
    <w:rsid w:val="006D6420"/>
    <w:rsid w:val="006D6678"/>
    <w:rsid w:val="006D7746"/>
    <w:rsid w:val="006E01FF"/>
    <w:rsid w:val="006E0641"/>
    <w:rsid w:val="006E6C8F"/>
    <w:rsid w:val="006E720D"/>
    <w:rsid w:val="006F0694"/>
    <w:rsid w:val="006F08E3"/>
    <w:rsid w:val="006F133C"/>
    <w:rsid w:val="006F2E2A"/>
    <w:rsid w:val="006F41F3"/>
    <w:rsid w:val="006F500C"/>
    <w:rsid w:val="006F7F31"/>
    <w:rsid w:val="00700394"/>
    <w:rsid w:val="00701B9D"/>
    <w:rsid w:val="00702A07"/>
    <w:rsid w:val="007036E1"/>
    <w:rsid w:val="007048CC"/>
    <w:rsid w:val="00704AF6"/>
    <w:rsid w:val="00711650"/>
    <w:rsid w:val="00711E11"/>
    <w:rsid w:val="0071249B"/>
    <w:rsid w:val="00712F1B"/>
    <w:rsid w:val="0071516B"/>
    <w:rsid w:val="007166DF"/>
    <w:rsid w:val="00720BDE"/>
    <w:rsid w:val="00725008"/>
    <w:rsid w:val="00725A54"/>
    <w:rsid w:val="00727DDA"/>
    <w:rsid w:val="00730156"/>
    <w:rsid w:val="007311BA"/>
    <w:rsid w:val="00733117"/>
    <w:rsid w:val="007332E2"/>
    <w:rsid w:val="00734CA8"/>
    <w:rsid w:val="0074067C"/>
    <w:rsid w:val="0074267D"/>
    <w:rsid w:val="0074279F"/>
    <w:rsid w:val="0074375D"/>
    <w:rsid w:val="00743905"/>
    <w:rsid w:val="00744A71"/>
    <w:rsid w:val="007451B9"/>
    <w:rsid w:val="00745DE0"/>
    <w:rsid w:val="007462F0"/>
    <w:rsid w:val="0074676E"/>
    <w:rsid w:val="00747073"/>
    <w:rsid w:val="007474BC"/>
    <w:rsid w:val="00747BD7"/>
    <w:rsid w:val="00747EB4"/>
    <w:rsid w:val="007517C1"/>
    <w:rsid w:val="00752ABE"/>
    <w:rsid w:val="00753086"/>
    <w:rsid w:val="00753184"/>
    <w:rsid w:val="00753188"/>
    <w:rsid w:val="00755ECE"/>
    <w:rsid w:val="00756B65"/>
    <w:rsid w:val="00756F7F"/>
    <w:rsid w:val="00757C5F"/>
    <w:rsid w:val="0076264D"/>
    <w:rsid w:val="00762BA1"/>
    <w:rsid w:val="00763AA3"/>
    <w:rsid w:val="00764418"/>
    <w:rsid w:val="007651A0"/>
    <w:rsid w:val="007672ED"/>
    <w:rsid w:val="00767A39"/>
    <w:rsid w:val="0077038F"/>
    <w:rsid w:val="00770408"/>
    <w:rsid w:val="00770D3F"/>
    <w:rsid w:val="0077119B"/>
    <w:rsid w:val="0077155D"/>
    <w:rsid w:val="00772D8D"/>
    <w:rsid w:val="00774491"/>
    <w:rsid w:val="007747F5"/>
    <w:rsid w:val="00774B8D"/>
    <w:rsid w:val="00781E07"/>
    <w:rsid w:val="007833AD"/>
    <w:rsid w:val="0078409F"/>
    <w:rsid w:val="00791029"/>
    <w:rsid w:val="00792262"/>
    <w:rsid w:val="00792435"/>
    <w:rsid w:val="00792744"/>
    <w:rsid w:val="00793AE3"/>
    <w:rsid w:val="00794A7C"/>
    <w:rsid w:val="00795266"/>
    <w:rsid w:val="00795481"/>
    <w:rsid w:val="0079687C"/>
    <w:rsid w:val="007975DD"/>
    <w:rsid w:val="00797F7D"/>
    <w:rsid w:val="007A2C62"/>
    <w:rsid w:val="007A406E"/>
    <w:rsid w:val="007A40A2"/>
    <w:rsid w:val="007A742F"/>
    <w:rsid w:val="007B0E5E"/>
    <w:rsid w:val="007B0F4D"/>
    <w:rsid w:val="007B3A42"/>
    <w:rsid w:val="007B3E41"/>
    <w:rsid w:val="007B4D52"/>
    <w:rsid w:val="007B6063"/>
    <w:rsid w:val="007C02A0"/>
    <w:rsid w:val="007C0A6A"/>
    <w:rsid w:val="007C36B1"/>
    <w:rsid w:val="007C47BB"/>
    <w:rsid w:val="007C4D1C"/>
    <w:rsid w:val="007C5446"/>
    <w:rsid w:val="007C5B0F"/>
    <w:rsid w:val="007C6584"/>
    <w:rsid w:val="007C692B"/>
    <w:rsid w:val="007C6E59"/>
    <w:rsid w:val="007D0C14"/>
    <w:rsid w:val="007D0FFC"/>
    <w:rsid w:val="007D1DBD"/>
    <w:rsid w:val="007D371F"/>
    <w:rsid w:val="007D4642"/>
    <w:rsid w:val="007D46EC"/>
    <w:rsid w:val="007D5F95"/>
    <w:rsid w:val="007E079B"/>
    <w:rsid w:val="007E1C48"/>
    <w:rsid w:val="007E2352"/>
    <w:rsid w:val="007E2418"/>
    <w:rsid w:val="007E2BCD"/>
    <w:rsid w:val="007E33CA"/>
    <w:rsid w:val="007E4F10"/>
    <w:rsid w:val="007E5590"/>
    <w:rsid w:val="007E63C5"/>
    <w:rsid w:val="007F0682"/>
    <w:rsid w:val="007F094F"/>
    <w:rsid w:val="007F0C59"/>
    <w:rsid w:val="007F47EB"/>
    <w:rsid w:val="007F5452"/>
    <w:rsid w:val="007F59DC"/>
    <w:rsid w:val="007F5DCC"/>
    <w:rsid w:val="007F7EC4"/>
    <w:rsid w:val="00800BED"/>
    <w:rsid w:val="00801291"/>
    <w:rsid w:val="0080241F"/>
    <w:rsid w:val="008025D4"/>
    <w:rsid w:val="00802B05"/>
    <w:rsid w:val="00802BDE"/>
    <w:rsid w:val="00802D07"/>
    <w:rsid w:val="00802E50"/>
    <w:rsid w:val="00802FB2"/>
    <w:rsid w:val="00804E29"/>
    <w:rsid w:val="00804E2F"/>
    <w:rsid w:val="00804FFE"/>
    <w:rsid w:val="00807920"/>
    <w:rsid w:val="00807B4E"/>
    <w:rsid w:val="00810EDF"/>
    <w:rsid w:val="0081139D"/>
    <w:rsid w:val="00811AB9"/>
    <w:rsid w:val="00811CA5"/>
    <w:rsid w:val="008120EF"/>
    <w:rsid w:val="0081361E"/>
    <w:rsid w:val="00813B59"/>
    <w:rsid w:val="00815FA8"/>
    <w:rsid w:val="00816184"/>
    <w:rsid w:val="008171E7"/>
    <w:rsid w:val="008220E6"/>
    <w:rsid w:val="00823763"/>
    <w:rsid w:val="00823A3C"/>
    <w:rsid w:val="00824406"/>
    <w:rsid w:val="00824B7E"/>
    <w:rsid w:val="0082747B"/>
    <w:rsid w:val="00831A3A"/>
    <w:rsid w:val="008323A4"/>
    <w:rsid w:val="008341C8"/>
    <w:rsid w:val="008354C5"/>
    <w:rsid w:val="00841CDA"/>
    <w:rsid w:val="008422B0"/>
    <w:rsid w:val="0084495A"/>
    <w:rsid w:val="00845B9F"/>
    <w:rsid w:val="00845DE3"/>
    <w:rsid w:val="008466FD"/>
    <w:rsid w:val="00851165"/>
    <w:rsid w:val="00852922"/>
    <w:rsid w:val="00853C68"/>
    <w:rsid w:val="0085467E"/>
    <w:rsid w:val="0085618A"/>
    <w:rsid w:val="008563D6"/>
    <w:rsid w:val="00856C46"/>
    <w:rsid w:val="00857DB3"/>
    <w:rsid w:val="00860102"/>
    <w:rsid w:val="0086364A"/>
    <w:rsid w:val="00863897"/>
    <w:rsid w:val="00864195"/>
    <w:rsid w:val="0086444F"/>
    <w:rsid w:val="00864706"/>
    <w:rsid w:val="008653B6"/>
    <w:rsid w:val="00865828"/>
    <w:rsid w:val="008711BD"/>
    <w:rsid w:val="00871A34"/>
    <w:rsid w:val="00873B3E"/>
    <w:rsid w:val="00873CFB"/>
    <w:rsid w:val="00874455"/>
    <w:rsid w:val="00874E73"/>
    <w:rsid w:val="008763EA"/>
    <w:rsid w:val="0088035D"/>
    <w:rsid w:val="00880FDE"/>
    <w:rsid w:val="0088260A"/>
    <w:rsid w:val="00883462"/>
    <w:rsid w:val="00883698"/>
    <w:rsid w:val="00883904"/>
    <w:rsid w:val="008843EE"/>
    <w:rsid w:val="00884CC7"/>
    <w:rsid w:val="00884CDA"/>
    <w:rsid w:val="00884DB9"/>
    <w:rsid w:val="0088518B"/>
    <w:rsid w:val="008857C4"/>
    <w:rsid w:val="00885954"/>
    <w:rsid w:val="00885B77"/>
    <w:rsid w:val="00886508"/>
    <w:rsid w:val="00886A7D"/>
    <w:rsid w:val="00886AB9"/>
    <w:rsid w:val="00890B92"/>
    <w:rsid w:val="00890D01"/>
    <w:rsid w:val="0089336A"/>
    <w:rsid w:val="00893F29"/>
    <w:rsid w:val="008958AF"/>
    <w:rsid w:val="008964B8"/>
    <w:rsid w:val="00897C76"/>
    <w:rsid w:val="008A34BE"/>
    <w:rsid w:val="008A5010"/>
    <w:rsid w:val="008B01EC"/>
    <w:rsid w:val="008B0477"/>
    <w:rsid w:val="008B04A9"/>
    <w:rsid w:val="008B10EE"/>
    <w:rsid w:val="008B1B0D"/>
    <w:rsid w:val="008B3259"/>
    <w:rsid w:val="008B3DDA"/>
    <w:rsid w:val="008B3EFC"/>
    <w:rsid w:val="008B54B3"/>
    <w:rsid w:val="008B5650"/>
    <w:rsid w:val="008B571D"/>
    <w:rsid w:val="008B6630"/>
    <w:rsid w:val="008B6E95"/>
    <w:rsid w:val="008B7474"/>
    <w:rsid w:val="008C11A0"/>
    <w:rsid w:val="008C26AF"/>
    <w:rsid w:val="008C45E0"/>
    <w:rsid w:val="008C5E75"/>
    <w:rsid w:val="008C68B7"/>
    <w:rsid w:val="008D00D0"/>
    <w:rsid w:val="008D14D0"/>
    <w:rsid w:val="008D3C59"/>
    <w:rsid w:val="008D5B99"/>
    <w:rsid w:val="008D67A2"/>
    <w:rsid w:val="008D6906"/>
    <w:rsid w:val="008E0578"/>
    <w:rsid w:val="008E0C83"/>
    <w:rsid w:val="008E1077"/>
    <w:rsid w:val="008E20EB"/>
    <w:rsid w:val="008E3AE7"/>
    <w:rsid w:val="008E44C0"/>
    <w:rsid w:val="008E7F80"/>
    <w:rsid w:val="008F0665"/>
    <w:rsid w:val="008F0701"/>
    <w:rsid w:val="008F43FD"/>
    <w:rsid w:val="008F68C9"/>
    <w:rsid w:val="00900424"/>
    <w:rsid w:val="0090307D"/>
    <w:rsid w:val="00903D21"/>
    <w:rsid w:val="009048A7"/>
    <w:rsid w:val="009057A8"/>
    <w:rsid w:val="00905B6E"/>
    <w:rsid w:val="0090734A"/>
    <w:rsid w:val="00907476"/>
    <w:rsid w:val="009074EE"/>
    <w:rsid w:val="009078D8"/>
    <w:rsid w:val="00910DEF"/>
    <w:rsid w:val="00911884"/>
    <w:rsid w:val="00911E93"/>
    <w:rsid w:val="00911FAD"/>
    <w:rsid w:val="00917973"/>
    <w:rsid w:val="00917C32"/>
    <w:rsid w:val="00922ABC"/>
    <w:rsid w:val="009234D2"/>
    <w:rsid w:val="009239F8"/>
    <w:rsid w:val="00923E11"/>
    <w:rsid w:val="00924A72"/>
    <w:rsid w:val="00924C69"/>
    <w:rsid w:val="00925880"/>
    <w:rsid w:val="00930070"/>
    <w:rsid w:val="00930E20"/>
    <w:rsid w:val="0093319B"/>
    <w:rsid w:val="00934D1D"/>
    <w:rsid w:val="00934D8D"/>
    <w:rsid w:val="00937864"/>
    <w:rsid w:val="00937A57"/>
    <w:rsid w:val="00937D20"/>
    <w:rsid w:val="0094263A"/>
    <w:rsid w:val="00942F53"/>
    <w:rsid w:val="00943311"/>
    <w:rsid w:val="00945229"/>
    <w:rsid w:val="009455EC"/>
    <w:rsid w:val="009517FA"/>
    <w:rsid w:val="00951EA8"/>
    <w:rsid w:val="0095344D"/>
    <w:rsid w:val="009543EE"/>
    <w:rsid w:val="00954E5F"/>
    <w:rsid w:val="00955ACB"/>
    <w:rsid w:val="0095643B"/>
    <w:rsid w:val="009626F6"/>
    <w:rsid w:val="009654B2"/>
    <w:rsid w:val="00966DE1"/>
    <w:rsid w:val="009675F5"/>
    <w:rsid w:val="00970E30"/>
    <w:rsid w:val="00971DC1"/>
    <w:rsid w:val="00972244"/>
    <w:rsid w:val="00973D5B"/>
    <w:rsid w:val="00974638"/>
    <w:rsid w:val="00981286"/>
    <w:rsid w:val="00982A91"/>
    <w:rsid w:val="0098399D"/>
    <w:rsid w:val="00983B20"/>
    <w:rsid w:val="00984190"/>
    <w:rsid w:val="00985302"/>
    <w:rsid w:val="0098556B"/>
    <w:rsid w:val="00985AB1"/>
    <w:rsid w:val="009928AE"/>
    <w:rsid w:val="0099392D"/>
    <w:rsid w:val="00994108"/>
    <w:rsid w:val="009960A8"/>
    <w:rsid w:val="009965BE"/>
    <w:rsid w:val="0099700E"/>
    <w:rsid w:val="009975FF"/>
    <w:rsid w:val="009A0C60"/>
    <w:rsid w:val="009A0D13"/>
    <w:rsid w:val="009A1867"/>
    <w:rsid w:val="009A1A8E"/>
    <w:rsid w:val="009A26D1"/>
    <w:rsid w:val="009A2F94"/>
    <w:rsid w:val="009A3BE6"/>
    <w:rsid w:val="009A4175"/>
    <w:rsid w:val="009A4459"/>
    <w:rsid w:val="009A5807"/>
    <w:rsid w:val="009A596E"/>
    <w:rsid w:val="009A64A8"/>
    <w:rsid w:val="009A764F"/>
    <w:rsid w:val="009B0F74"/>
    <w:rsid w:val="009B11D7"/>
    <w:rsid w:val="009B2E6C"/>
    <w:rsid w:val="009B35C9"/>
    <w:rsid w:val="009B6873"/>
    <w:rsid w:val="009B6C49"/>
    <w:rsid w:val="009C0C1C"/>
    <w:rsid w:val="009C0E2F"/>
    <w:rsid w:val="009C508B"/>
    <w:rsid w:val="009D016B"/>
    <w:rsid w:val="009D1C73"/>
    <w:rsid w:val="009D287F"/>
    <w:rsid w:val="009D3ABA"/>
    <w:rsid w:val="009D5E72"/>
    <w:rsid w:val="009D7B5C"/>
    <w:rsid w:val="009E069E"/>
    <w:rsid w:val="009E25DC"/>
    <w:rsid w:val="009E2808"/>
    <w:rsid w:val="009E3188"/>
    <w:rsid w:val="009E42D1"/>
    <w:rsid w:val="009E44A7"/>
    <w:rsid w:val="009E5847"/>
    <w:rsid w:val="009E759C"/>
    <w:rsid w:val="009F0EC0"/>
    <w:rsid w:val="009F132F"/>
    <w:rsid w:val="009F1546"/>
    <w:rsid w:val="009F1AB6"/>
    <w:rsid w:val="009F1D3B"/>
    <w:rsid w:val="009F24DB"/>
    <w:rsid w:val="009F530E"/>
    <w:rsid w:val="009F6077"/>
    <w:rsid w:val="009F788A"/>
    <w:rsid w:val="00A034D9"/>
    <w:rsid w:val="00A036B2"/>
    <w:rsid w:val="00A038CC"/>
    <w:rsid w:val="00A04840"/>
    <w:rsid w:val="00A0636D"/>
    <w:rsid w:val="00A06A25"/>
    <w:rsid w:val="00A07211"/>
    <w:rsid w:val="00A10652"/>
    <w:rsid w:val="00A14FF0"/>
    <w:rsid w:val="00A17B89"/>
    <w:rsid w:val="00A24FC4"/>
    <w:rsid w:val="00A270B7"/>
    <w:rsid w:val="00A27775"/>
    <w:rsid w:val="00A3119A"/>
    <w:rsid w:val="00A32671"/>
    <w:rsid w:val="00A32DEB"/>
    <w:rsid w:val="00A3359F"/>
    <w:rsid w:val="00A34418"/>
    <w:rsid w:val="00A3600F"/>
    <w:rsid w:val="00A40BAA"/>
    <w:rsid w:val="00A41002"/>
    <w:rsid w:val="00A4186B"/>
    <w:rsid w:val="00A42333"/>
    <w:rsid w:val="00A42A3F"/>
    <w:rsid w:val="00A43AC9"/>
    <w:rsid w:val="00A444A8"/>
    <w:rsid w:val="00A44E87"/>
    <w:rsid w:val="00A45D04"/>
    <w:rsid w:val="00A50402"/>
    <w:rsid w:val="00A50AB2"/>
    <w:rsid w:val="00A50DF8"/>
    <w:rsid w:val="00A51478"/>
    <w:rsid w:val="00A53860"/>
    <w:rsid w:val="00A56E4F"/>
    <w:rsid w:val="00A56F18"/>
    <w:rsid w:val="00A56FEE"/>
    <w:rsid w:val="00A57500"/>
    <w:rsid w:val="00A57CD5"/>
    <w:rsid w:val="00A604C6"/>
    <w:rsid w:val="00A60872"/>
    <w:rsid w:val="00A63DB9"/>
    <w:rsid w:val="00A641B4"/>
    <w:rsid w:val="00A6498E"/>
    <w:rsid w:val="00A649DA"/>
    <w:rsid w:val="00A65CE7"/>
    <w:rsid w:val="00A675A8"/>
    <w:rsid w:val="00A67A9E"/>
    <w:rsid w:val="00A71009"/>
    <w:rsid w:val="00A73517"/>
    <w:rsid w:val="00A73A01"/>
    <w:rsid w:val="00A74CDD"/>
    <w:rsid w:val="00A75578"/>
    <w:rsid w:val="00A75593"/>
    <w:rsid w:val="00A8119F"/>
    <w:rsid w:val="00A85BCA"/>
    <w:rsid w:val="00A85E73"/>
    <w:rsid w:val="00A873DE"/>
    <w:rsid w:val="00A87A35"/>
    <w:rsid w:val="00A91104"/>
    <w:rsid w:val="00A91D21"/>
    <w:rsid w:val="00A924F8"/>
    <w:rsid w:val="00A92D41"/>
    <w:rsid w:val="00A932B3"/>
    <w:rsid w:val="00A9430C"/>
    <w:rsid w:val="00A9438E"/>
    <w:rsid w:val="00A968B8"/>
    <w:rsid w:val="00A97483"/>
    <w:rsid w:val="00AA024E"/>
    <w:rsid w:val="00AA1438"/>
    <w:rsid w:val="00AA23F7"/>
    <w:rsid w:val="00AA2FF8"/>
    <w:rsid w:val="00AA5ADD"/>
    <w:rsid w:val="00AA6D8C"/>
    <w:rsid w:val="00AB18DE"/>
    <w:rsid w:val="00AB1EAE"/>
    <w:rsid w:val="00AB28EF"/>
    <w:rsid w:val="00AB2986"/>
    <w:rsid w:val="00AB2AD0"/>
    <w:rsid w:val="00AB30DC"/>
    <w:rsid w:val="00AB4814"/>
    <w:rsid w:val="00AB4AAE"/>
    <w:rsid w:val="00AB4B1E"/>
    <w:rsid w:val="00AB50FA"/>
    <w:rsid w:val="00AB546B"/>
    <w:rsid w:val="00AB553F"/>
    <w:rsid w:val="00AB5F1C"/>
    <w:rsid w:val="00AC0EBA"/>
    <w:rsid w:val="00AC11AF"/>
    <w:rsid w:val="00AC1FBA"/>
    <w:rsid w:val="00AC2A5F"/>
    <w:rsid w:val="00AC2D1E"/>
    <w:rsid w:val="00AC332E"/>
    <w:rsid w:val="00AC3C83"/>
    <w:rsid w:val="00AC4A2C"/>
    <w:rsid w:val="00AC6CF0"/>
    <w:rsid w:val="00AC7161"/>
    <w:rsid w:val="00AC7750"/>
    <w:rsid w:val="00AD0F9D"/>
    <w:rsid w:val="00AD14FD"/>
    <w:rsid w:val="00AD2BC4"/>
    <w:rsid w:val="00AD6077"/>
    <w:rsid w:val="00AD7ECF"/>
    <w:rsid w:val="00AE1876"/>
    <w:rsid w:val="00AE2A66"/>
    <w:rsid w:val="00AE52A8"/>
    <w:rsid w:val="00AE60E8"/>
    <w:rsid w:val="00AE6C39"/>
    <w:rsid w:val="00AF1048"/>
    <w:rsid w:val="00AF2206"/>
    <w:rsid w:val="00AF3406"/>
    <w:rsid w:val="00AF41D2"/>
    <w:rsid w:val="00AF469B"/>
    <w:rsid w:val="00AF52B6"/>
    <w:rsid w:val="00AF55F7"/>
    <w:rsid w:val="00AF58B4"/>
    <w:rsid w:val="00AF6619"/>
    <w:rsid w:val="00B005E4"/>
    <w:rsid w:val="00B0185C"/>
    <w:rsid w:val="00B0231F"/>
    <w:rsid w:val="00B023C5"/>
    <w:rsid w:val="00B0493C"/>
    <w:rsid w:val="00B0644E"/>
    <w:rsid w:val="00B067CA"/>
    <w:rsid w:val="00B12AAF"/>
    <w:rsid w:val="00B12EF2"/>
    <w:rsid w:val="00B14CD0"/>
    <w:rsid w:val="00B14F65"/>
    <w:rsid w:val="00B156E0"/>
    <w:rsid w:val="00B15AE1"/>
    <w:rsid w:val="00B15C72"/>
    <w:rsid w:val="00B16015"/>
    <w:rsid w:val="00B1602B"/>
    <w:rsid w:val="00B17809"/>
    <w:rsid w:val="00B226DF"/>
    <w:rsid w:val="00B25684"/>
    <w:rsid w:val="00B25C2A"/>
    <w:rsid w:val="00B35976"/>
    <w:rsid w:val="00B35F87"/>
    <w:rsid w:val="00B369FA"/>
    <w:rsid w:val="00B3782C"/>
    <w:rsid w:val="00B40316"/>
    <w:rsid w:val="00B414D1"/>
    <w:rsid w:val="00B4209B"/>
    <w:rsid w:val="00B439EA"/>
    <w:rsid w:val="00B45123"/>
    <w:rsid w:val="00B46988"/>
    <w:rsid w:val="00B46A15"/>
    <w:rsid w:val="00B508B8"/>
    <w:rsid w:val="00B517EC"/>
    <w:rsid w:val="00B53B9E"/>
    <w:rsid w:val="00B5578A"/>
    <w:rsid w:val="00B57E11"/>
    <w:rsid w:val="00B607DE"/>
    <w:rsid w:val="00B60F1A"/>
    <w:rsid w:val="00B61DEF"/>
    <w:rsid w:val="00B62335"/>
    <w:rsid w:val="00B62A85"/>
    <w:rsid w:val="00B66873"/>
    <w:rsid w:val="00B70C39"/>
    <w:rsid w:val="00B71015"/>
    <w:rsid w:val="00B738F6"/>
    <w:rsid w:val="00B740AB"/>
    <w:rsid w:val="00B75479"/>
    <w:rsid w:val="00B771AC"/>
    <w:rsid w:val="00B81993"/>
    <w:rsid w:val="00B82597"/>
    <w:rsid w:val="00B836B2"/>
    <w:rsid w:val="00B84DD3"/>
    <w:rsid w:val="00B85399"/>
    <w:rsid w:val="00B92FF3"/>
    <w:rsid w:val="00B9593F"/>
    <w:rsid w:val="00B960F6"/>
    <w:rsid w:val="00BA05D9"/>
    <w:rsid w:val="00BA258C"/>
    <w:rsid w:val="00BA5929"/>
    <w:rsid w:val="00BA7753"/>
    <w:rsid w:val="00BA7819"/>
    <w:rsid w:val="00BA7EB5"/>
    <w:rsid w:val="00BB27BF"/>
    <w:rsid w:val="00BB4202"/>
    <w:rsid w:val="00BB6847"/>
    <w:rsid w:val="00BB7F06"/>
    <w:rsid w:val="00BC2B2D"/>
    <w:rsid w:val="00BC2B5E"/>
    <w:rsid w:val="00BC5878"/>
    <w:rsid w:val="00BC78D7"/>
    <w:rsid w:val="00BC7BFA"/>
    <w:rsid w:val="00BD0BD3"/>
    <w:rsid w:val="00BD16C2"/>
    <w:rsid w:val="00BD504C"/>
    <w:rsid w:val="00BD5804"/>
    <w:rsid w:val="00BD5ECF"/>
    <w:rsid w:val="00BE21BA"/>
    <w:rsid w:val="00BE2784"/>
    <w:rsid w:val="00BE3272"/>
    <w:rsid w:val="00BE454D"/>
    <w:rsid w:val="00BE5339"/>
    <w:rsid w:val="00BE546E"/>
    <w:rsid w:val="00BE56C4"/>
    <w:rsid w:val="00BE63B9"/>
    <w:rsid w:val="00BE652C"/>
    <w:rsid w:val="00BF0184"/>
    <w:rsid w:val="00BF10E6"/>
    <w:rsid w:val="00BF1A9D"/>
    <w:rsid w:val="00BF1AC6"/>
    <w:rsid w:val="00BF38D6"/>
    <w:rsid w:val="00BF5BAD"/>
    <w:rsid w:val="00BF72B6"/>
    <w:rsid w:val="00BF7A65"/>
    <w:rsid w:val="00BF7BCC"/>
    <w:rsid w:val="00C0013C"/>
    <w:rsid w:val="00C00688"/>
    <w:rsid w:val="00C015D3"/>
    <w:rsid w:val="00C02944"/>
    <w:rsid w:val="00C02CAD"/>
    <w:rsid w:val="00C04D82"/>
    <w:rsid w:val="00C072AE"/>
    <w:rsid w:val="00C07497"/>
    <w:rsid w:val="00C10496"/>
    <w:rsid w:val="00C15A45"/>
    <w:rsid w:val="00C1700F"/>
    <w:rsid w:val="00C201E8"/>
    <w:rsid w:val="00C21CD5"/>
    <w:rsid w:val="00C229BD"/>
    <w:rsid w:val="00C2358A"/>
    <w:rsid w:val="00C2450B"/>
    <w:rsid w:val="00C24861"/>
    <w:rsid w:val="00C26917"/>
    <w:rsid w:val="00C2793A"/>
    <w:rsid w:val="00C315B5"/>
    <w:rsid w:val="00C3197D"/>
    <w:rsid w:val="00C322EE"/>
    <w:rsid w:val="00C353D8"/>
    <w:rsid w:val="00C35AA4"/>
    <w:rsid w:val="00C36ECA"/>
    <w:rsid w:val="00C37132"/>
    <w:rsid w:val="00C37610"/>
    <w:rsid w:val="00C37861"/>
    <w:rsid w:val="00C37BB9"/>
    <w:rsid w:val="00C41B86"/>
    <w:rsid w:val="00C41E0E"/>
    <w:rsid w:val="00C42987"/>
    <w:rsid w:val="00C42CD2"/>
    <w:rsid w:val="00C43AB3"/>
    <w:rsid w:val="00C47A50"/>
    <w:rsid w:val="00C47B6D"/>
    <w:rsid w:val="00C5093C"/>
    <w:rsid w:val="00C50DC4"/>
    <w:rsid w:val="00C52F54"/>
    <w:rsid w:val="00C53085"/>
    <w:rsid w:val="00C53AAA"/>
    <w:rsid w:val="00C54889"/>
    <w:rsid w:val="00C565A0"/>
    <w:rsid w:val="00C568EA"/>
    <w:rsid w:val="00C57D28"/>
    <w:rsid w:val="00C60C2B"/>
    <w:rsid w:val="00C60DC2"/>
    <w:rsid w:val="00C62E9C"/>
    <w:rsid w:val="00C67645"/>
    <w:rsid w:val="00C71017"/>
    <w:rsid w:val="00C71A1D"/>
    <w:rsid w:val="00C73186"/>
    <w:rsid w:val="00C73316"/>
    <w:rsid w:val="00C73725"/>
    <w:rsid w:val="00C73C01"/>
    <w:rsid w:val="00C73FEE"/>
    <w:rsid w:val="00C758CD"/>
    <w:rsid w:val="00C77882"/>
    <w:rsid w:val="00C778F2"/>
    <w:rsid w:val="00C80DA2"/>
    <w:rsid w:val="00C81557"/>
    <w:rsid w:val="00C82850"/>
    <w:rsid w:val="00C82F75"/>
    <w:rsid w:val="00C86135"/>
    <w:rsid w:val="00C8666D"/>
    <w:rsid w:val="00C8783C"/>
    <w:rsid w:val="00C91FF1"/>
    <w:rsid w:val="00C93288"/>
    <w:rsid w:val="00C93545"/>
    <w:rsid w:val="00C93F02"/>
    <w:rsid w:val="00C95625"/>
    <w:rsid w:val="00C96FEB"/>
    <w:rsid w:val="00C9702B"/>
    <w:rsid w:val="00C97492"/>
    <w:rsid w:val="00CA0000"/>
    <w:rsid w:val="00CA0DF0"/>
    <w:rsid w:val="00CA38D5"/>
    <w:rsid w:val="00CA39C5"/>
    <w:rsid w:val="00CA4D0A"/>
    <w:rsid w:val="00CA4D7C"/>
    <w:rsid w:val="00CA584D"/>
    <w:rsid w:val="00CA68B6"/>
    <w:rsid w:val="00CA70BB"/>
    <w:rsid w:val="00CA725D"/>
    <w:rsid w:val="00CA7598"/>
    <w:rsid w:val="00CB0242"/>
    <w:rsid w:val="00CB203B"/>
    <w:rsid w:val="00CB251E"/>
    <w:rsid w:val="00CB4D28"/>
    <w:rsid w:val="00CB6E69"/>
    <w:rsid w:val="00CC00EE"/>
    <w:rsid w:val="00CC1015"/>
    <w:rsid w:val="00CC12A0"/>
    <w:rsid w:val="00CC17A6"/>
    <w:rsid w:val="00CC2EAC"/>
    <w:rsid w:val="00CC44E8"/>
    <w:rsid w:val="00CC47A7"/>
    <w:rsid w:val="00CC5379"/>
    <w:rsid w:val="00CC64E5"/>
    <w:rsid w:val="00CC7996"/>
    <w:rsid w:val="00CD0A84"/>
    <w:rsid w:val="00CD0CBF"/>
    <w:rsid w:val="00CD0E6F"/>
    <w:rsid w:val="00CD2B25"/>
    <w:rsid w:val="00CD4A95"/>
    <w:rsid w:val="00CD592E"/>
    <w:rsid w:val="00CD74A9"/>
    <w:rsid w:val="00CE0898"/>
    <w:rsid w:val="00CE1C46"/>
    <w:rsid w:val="00CE2EC0"/>
    <w:rsid w:val="00CE4C5F"/>
    <w:rsid w:val="00CE5C7C"/>
    <w:rsid w:val="00CE78BA"/>
    <w:rsid w:val="00CE79C7"/>
    <w:rsid w:val="00CF0C9E"/>
    <w:rsid w:val="00CF0DA7"/>
    <w:rsid w:val="00CF2036"/>
    <w:rsid w:val="00CF2613"/>
    <w:rsid w:val="00CF44DA"/>
    <w:rsid w:val="00CF7031"/>
    <w:rsid w:val="00D008F8"/>
    <w:rsid w:val="00D009FD"/>
    <w:rsid w:val="00D02A1B"/>
    <w:rsid w:val="00D04646"/>
    <w:rsid w:val="00D0561C"/>
    <w:rsid w:val="00D05F57"/>
    <w:rsid w:val="00D0667A"/>
    <w:rsid w:val="00D07A32"/>
    <w:rsid w:val="00D1162E"/>
    <w:rsid w:val="00D11B06"/>
    <w:rsid w:val="00D11FA3"/>
    <w:rsid w:val="00D12064"/>
    <w:rsid w:val="00D139B3"/>
    <w:rsid w:val="00D13ACC"/>
    <w:rsid w:val="00D13D8A"/>
    <w:rsid w:val="00D1401C"/>
    <w:rsid w:val="00D14BDC"/>
    <w:rsid w:val="00D14C1F"/>
    <w:rsid w:val="00D14CB2"/>
    <w:rsid w:val="00D17908"/>
    <w:rsid w:val="00D17C19"/>
    <w:rsid w:val="00D20FC1"/>
    <w:rsid w:val="00D225D1"/>
    <w:rsid w:val="00D2496A"/>
    <w:rsid w:val="00D25243"/>
    <w:rsid w:val="00D25B0A"/>
    <w:rsid w:val="00D2657D"/>
    <w:rsid w:val="00D27267"/>
    <w:rsid w:val="00D27C85"/>
    <w:rsid w:val="00D322EC"/>
    <w:rsid w:val="00D32300"/>
    <w:rsid w:val="00D3598A"/>
    <w:rsid w:val="00D35C99"/>
    <w:rsid w:val="00D37022"/>
    <w:rsid w:val="00D3794E"/>
    <w:rsid w:val="00D40588"/>
    <w:rsid w:val="00D41477"/>
    <w:rsid w:val="00D42DCE"/>
    <w:rsid w:val="00D4318F"/>
    <w:rsid w:val="00D456C4"/>
    <w:rsid w:val="00D463BC"/>
    <w:rsid w:val="00D46544"/>
    <w:rsid w:val="00D46D94"/>
    <w:rsid w:val="00D4730F"/>
    <w:rsid w:val="00D50B3A"/>
    <w:rsid w:val="00D51F9E"/>
    <w:rsid w:val="00D536B6"/>
    <w:rsid w:val="00D53B2D"/>
    <w:rsid w:val="00D53F79"/>
    <w:rsid w:val="00D5484E"/>
    <w:rsid w:val="00D553A7"/>
    <w:rsid w:val="00D61427"/>
    <w:rsid w:val="00D620F1"/>
    <w:rsid w:val="00D639E3"/>
    <w:rsid w:val="00D66027"/>
    <w:rsid w:val="00D6734D"/>
    <w:rsid w:val="00D67449"/>
    <w:rsid w:val="00D72A64"/>
    <w:rsid w:val="00D76F6A"/>
    <w:rsid w:val="00D7714D"/>
    <w:rsid w:val="00D81EB3"/>
    <w:rsid w:val="00D82D4B"/>
    <w:rsid w:val="00D830BF"/>
    <w:rsid w:val="00D83519"/>
    <w:rsid w:val="00D83EAC"/>
    <w:rsid w:val="00D848F5"/>
    <w:rsid w:val="00D90010"/>
    <w:rsid w:val="00D902E3"/>
    <w:rsid w:val="00D90529"/>
    <w:rsid w:val="00D91182"/>
    <w:rsid w:val="00D92374"/>
    <w:rsid w:val="00D951C9"/>
    <w:rsid w:val="00D956D4"/>
    <w:rsid w:val="00D9644E"/>
    <w:rsid w:val="00D96643"/>
    <w:rsid w:val="00D9727A"/>
    <w:rsid w:val="00D9783E"/>
    <w:rsid w:val="00D97AD8"/>
    <w:rsid w:val="00DA03DB"/>
    <w:rsid w:val="00DA11E1"/>
    <w:rsid w:val="00DA16AF"/>
    <w:rsid w:val="00DA23A9"/>
    <w:rsid w:val="00DA4B2D"/>
    <w:rsid w:val="00DA56FF"/>
    <w:rsid w:val="00DA5FE7"/>
    <w:rsid w:val="00DA61DA"/>
    <w:rsid w:val="00DA7195"/>
    <w:rsid w:val="00DA76B1"/>
    <w:rsid w:val="00DB0A51"/>
    <w:rsid w:val="00DB1225"/>
    <w:rsid w:val="00DB4084"/>
    <w:rsid w:val="00DB510B"/>
    <w:rsid w:val="00DB69A3"/>
    <w:rsid w:val="00DB7189"/>
    <w:rsid w:val="00DB7770"/>
    <w:rsid w:val="00DC0022"/>
    <w:rsid w:val="00DC2020"/>
    <w:rsid w:val="00DC3286"/>
    <w:rsid w:val="00DC50F7"/>
    <w:rsid w:val="00DC61D0"/>
    <w:rsid w:val="00DC6C37"/>
    <w:rsid w:val="00DC71CA"/>
    <w:rsid w:val="00DD0DA7"/>
    <w:rsid w:val="00DD0E2E"/>
    <w:rsid w:val="00DD21A9"/>
    <w:rsid w:val="00DD2AE7"/>
    <w:rsid w:val="00DD31B3"/>
    <w:rsid w:val="00DD721E"/>
    <w:rsid w:val="00DD76A1"/>
    <w:rsid w:val="00DD792D"/>
    <w:rsid w:val="00DE01CC"/>
    <w:rsid w:val="00DE0224"/>
    <w:rsid w:val="00DE0C13"/>
    <w:rsid w:val="00DE18C7"/>
    <w:rsid w:val="00DE4430"/>
    <w:rsid w:val="00DE6F44"/>
    <w:rsid w:val="00DE7073"/>
    <w:rsid w:val="00DE74C4"/>
    <w:rsid w:val="00DF0041"/>
    <w:rsid w:val="00DF0792"/>
    <w:rsid w:val="00DF09DB"/>
    <w:rsid w:val="00DF4BE6"/>
    <w:rsid w:val="00DF689B"/>
    <w:rsid w:val="00DF7DA8"/>
    <w:rsid w:val="00DF7F45"/>
    <w:rsid w:val="00E004BB"/>
    <w:rsid w:val="00E00695"/>
    <w:rsid w:val="00E0176C"/>
    <w:rsid w:val="00E01847"/>
    <w:rsid w:val="00E0443E"/>
    <w:rsid w:val="00E0476C"/>
    <w:rsid w:val="00E04E1C"/>
    <w:rsid w:val="00E04FF0"/>
    <w:rsid w:val="00E06239"/>
    <w:rsid w:val="00E07592"/>
    <w:rsid w:val="00E07886"/>
    <w:rsid w:val="00E07E51"/>
    <w:rsid w:val="00E10CA9"/>
    <w:rsid w:val="00E11FAA"/>
    <w:rsid w:val="00E13B08"/>
    <w:rsid w:val="00E14DD3"/>
    <w:rsid w:val="00E14DED"/>
    <w:rsid w:val="00E15371"/>
    <w:rsid w:val="00E17F1F"/>
    <w:rsid w:val="00E22824"/>
    <w:rsid w:val="00E24A25"/>
    <w:rsid w:val="00E25E87"/>
    <w:rsid w:val="00E27D7A"/>
    <w:rsid w:val="00E30B65"/>
    <w:rsid w:val="00E30E29"/>
    <w:rsid w:val="00E33F70"/>
    <w:rsid w:val="00E34731"/>
    <w:rsid w:val="00E34A56"/>
    <w:rsid w:val="00E36AD8"/>
    <w:rsid w:val="00E3770C"/>
    <w:rsid w:val="00E42CB7"/>
    <w:rsid w:val="00E42CF6"/>
    <w:rsid w:val="00E434D6"/>
    <w:rsid w:val="00E457E5"/>
    <w:rsid w:val="00E47DF1"/>
    <w:rsid w:val="00E51AA2"/>
    <w:rsid w:val="00E56024"/>
    <w:rsid w:val="00E566AF"/>
    <w:rsid w:val="00E61AB2"/>
    <w:rsid w:val="00E620C2"/>
    <w:rsid w:val="00E63407"/>
    <w:rsid w:val="00E67919"/>
    <w:rsid w:val="00E67DBA"/>
    <w:rsid w:val="00E73C39"/>
    <w:rsid w:val="00E73E4B"/>
    <w:rsid w:val="00E74920"/>
    <w:rsid w:val="00E74B3A"/>
    <w:rsid w:val="00E75171"/>
    <w:rsid w:val="00E75F1D"/>
    <w:rsid w:val="00E77EAB"/>
    <w:rsid w:val="00E81626"/>
    <w:rsid w:val="00E83D00"/>
    <w:rsid w:val="00E847D1"/>
    <w:rsid w:val="00E92944"/>
    <w:rsid w:val="00E933CE"/>
    <w:rsid w:val="00E93BCB"/>
    <w:rsid w:val="00E94848"/>
    <w:rsid w:val="00E94BB4"/>
    <w:rsid w:val="00E95617"/>
    <w:rsid w:val="00E97889"/>
    <w:rsid w:val="00EA19E0"/>
    <w:rsid w:val="00EA2649"/>
    <w:rsid w:val="00EA2C87"/>
    <w:rsid w:val="00EA4335"/>
    <w:rsid w:val="00EA4E72"/>
    <w:rsid w:val="00EA5D28"/>
    <w:rsid w:val="00EA5E52"/>
    <w:rsid w:val="00EA6477"/>
    <w:rsid w:val="00EB26B7"/>
    <w:rsid w:val="00EB6D65"/>
    <w:rsid w:val="00EB6FBB"/>
    <w:rsid w:val="00EB7DB9"/>
    <w:rsid w:val="00EC0801"/>
    <w:rsid w:val="00EC0AD1"/>
    <w:rsid w:val="00EC129E"/>
    <w:rsid w:val="00EC2CD6"/>
    <w:rsid w:val="00EC5C12"/>
    <w:rsid w:val="00EC71DA"/>
    <w:rsid w:val="00EC7407"/>
    <w:rsid w:val="00ED169F"/>
    <w:rsid w:val="00ED1B1F"/>
    <w:rsid w:val="00ED269E"/>
    <w:rsid w:val="00ED4B6C"/>
    <w:rsid w:val="00ED5AE0"/>
    <w:rsid w:val="00ED71DA"/>
    <w:rsid w:val="00ED7739"/>
    <w:rsid w:val="00EE0830"/>
    <w:rsid w:val="00EE2C65"/>
    <w:rsid w:val="00EE30F4"/>
    <w:rsid w:val="00EE3936"/>
    <w:rsid w:val="00EE4E27"/>
    <w:rsid w:val="00EE5712"/>
    <w:rsid w:val="00EE583A"/>
    <w:rsid w:val="00EF0F44"/>
    <w:rsid w:val="00EF25AA"/>
    <w:rsid w:val="00EF2ECC"/>
    <w:rsid w:val="00EF5A4E"/>
    <w:rsid w:val="00EF5D3F"/>
    <w:rsid w:val="00EF6B8A"/>
    <w:rsid w:val="00F00C04"/>
    <w:rsid w:val="00F011EF"/>
    <w:rsid w:val="00F01C19"/>
    <w:rsid w:val="00F0269D"/>
    <w:rsid w:val="00F02A58"/>
    <w:rsid w:val="00F032FB"/>
    <w:rsid w:val="00F06B0A"/>
    <w:rsid w:val="00F107F0"/>
    <w:rsid w:val="00F10CDD"/>
    <w:rsid w:val="00F112B8"/>
    <w:rsid w:val="00F11FC7"/>
    <w:rsid w:val="00F120F5"/>
    <w:rsid w:val="00F1319F"/>
    <w:rsid w:val="00F13E1A"/>
    <w:rsid w:val="00F14328"/>
    <w:rsid w:val="00F152E4"/>
    <w:rsid w:val="00F15D1F"/>
    <w:rsid w:val="00F15FA5"/>
    <w:rsid w:val="00F171E0"/>
    <w:rsid w:val="00F20721"/>
    <w:rsid w:val="00F20EB9"/>
    <w:rsid w:val="00F21651"/>
    <w:rsid w:val="00F235BC"/>
    <w:rsid w:val="00F23EBB"/>
    <w:rsid w:val="00F247A7"/>
    <w:rsid w:val="00F24A54"/>
    <w:rsid w:val="00F2669E"/>
    <w:rsid w:val="00F26ACA"/>
    <w:rsid w:val="00F27B66"/>
    <w:rsid w:val="00F31888"/>
    <w:rsid w:val="00F319C0"/>
    <w:rsid w:val="00F31B88"/>
    <w:rsid w:val="00F3225D"/>
    <w:rsid w:val="00F33333"/>
    <w:rsid w:val="00F33413"/>
    <w:rsid w:val="00F336B4"/>
    <w:rsid w:val="00F33A6D"/>
    <w:rsid w:val="00F3612D"/>
    <w:rsid w:val="00F404EB"/>
    <w:rsid w:val="00F40581"/>
    <w:rsid w:val="00F42C5D"/>
    <w:rsid w:val="00F42EBD"/>
    <w:rsid w:val="00F43E5E"/>
    <w:rsid w:val="00F44975"/>
    <w:rsid w:val="00F44FFA"/>
    <w:rsid w:val="00F450E2"/>
    <w:rsid w:val="00F45A28"/>
    <w:rsid w:val="00F45B91"/>
    <w:rsid w:val="00F45BB8"/>
    <w:rsid w:val="00F46177"/>
    <w:rsid w:val="00F462B7"/>
    <w:rsid w:val="00F47403"/>
    <w:rsid w:val="00F545B0"/>
    <w:rsid w:val="00F56259"/>
    <w:rsid w:val="00F5704B"/>
    <w:rsid w:val="00F62008"/>
    <w:rsid w:val="00F62864"/>
    <w:rsid w:val="00F62AB3"/>
    <w:rsid w:val="00F62FB4"/>
    <w:rsid w:val="00F63A53"/>
    <w:rsid w:val="00F63ACF"/>
    <w:rsid w:val="00F65383"/>
    <w:rsid w:val="00F653BB"/>
    <w:rsid w:val="00F70A8D"/>
    <w:rsid w:val="00F70DA7"/>
    <w:rsid w:val="00F71005"/>
    <w:rsid w:val="00F715AF"/>
    <w:rsid w:val="00F7272A"/>
    <w:rsid w:val="00F75FC6"/>
    <w:rsid w:val="00F7733F"/>
    <w:rsid w:val="00F774D8"/>
    <w:rsid w:val="00F77937"/>
    <w:rsid w:val="00F77F06"/>
    <w:rsid w:val="00F817D8"/>
    <w:rsid w:val="00F82062"/>
    <w:rsid w:val="00F8487C"/>
    <w:rsid w:val="00F84953"/>
    <w:rsid w:val="00F901F8"/>
    <w:rsid w:val="00F9239A"/>
    <w:rsid w:val="00F947C2"/>
    <w:rsid w:val="00F94AD5"/>
    <w:rsid w:val="00F952FC"/>
    <w:rsid w:val="00F95DEF"/>
    <w:rsid w:val="00F96069"/>
    <w:rsid w:val="00F96BE5"/>
    <w:rsid w:val="00FA0AC7"/>
    <w:rsid w:val="00FA1848"/>
    <w:rsid w:val="00FA20F2"/>
    <w:rsid w:val="00FA362F"/>
    <w:rsid w:val="00FA5E33"/>
    <w:rsid w:val="00FA5F37"/>
    <w:rsid w:val="00FA6277"/>
    <w:rsid w:val="00FA633E"/>
    <w:rsid w:val="00FA6390"/>
    <w:rsid w:val="00FA6C94"/>
    <w:rsid w:val="00FA7005"/>
    <w:rsid w:val="00FA74D4"/>
    <w:rsid w:val="00FA76D6"/>
    <w:rsid w:val="00FB0CBC"/>
    <w:rsid w:val="00FB1FE7"/>
    <w:rsid w:val="00FB3D78"/>
    <w:rsid w:val="00FB534D"/>
    <w:rsid w:val="00FB5720"/>
    <w:rsid w:val="00FB69E2"/>
    <w:rsid w:val="00FB7480"/>
    <w:rsid w:val="00FC0EAC"/>
    <w:rsid w:val="00FC11CE"/>
    <w:rsid w:val="00FC2A41"/>
    <w:rsid w:val="00FC4DED"/>
    <w:rsid w:val="00FC5711"/>
    <w:rsid w:val="00FC57D4"/>
    <w:rsid w:val="00FD016D"/>
    <w:rsid w:val="00FD09A9"/>
    <w:rsid w:val="00FD1115"/>
    <w:rsid w:val="00FD274D"/>
    <w:rsid w:val="00FD2C75"/>
    <w:rsid w:val="00FD30BE"/>
    <w:rsid w:val="00FD43FB"/>
    <w:rsid w:val="00FD46D9"/>
    <w:rsid w:val="00FD50A0"/>
    <w:rsid w:val="00FE0053"/>
    <w:rsid w:val="00FE07EC"/>
    <w:rsid w:val="00FE1CFD"/>
    <w:rsid w:val="00FE3BAB"/>
    <w:rsid w:val="00FE52CD"/>
    <w:rsid w:val="00FE5A39"/>
    <w:rsid w:val="00FF14C4"/>
    <w:rsid w:val="00FF1EB0"/>
    <w:rsid w:val="00FF221F"/>
    <w:rsid w:val="00FF3101"/>
    <w:rsid w:val="00FF3B34"/>
    <w:rsid w:val="00FF551E"/>
    <w:rsid w:val="00FF7885"/>
    <w:rsid w:val="02E74D14"/>
    <w:rsid w:val="02FC5AB3"/>
    <w:rsid w:val="035E6B0B"/>
    <w:rsid w:val="04B15209"/>
    <w:rsid w:val="04D70225"/>
    <w:rsid w:val="05160EF2"/>
    <w:rsid w:val="068F55E3"/>
    <w:rsid w:val="09756E61"/>
    <w:rsid w:val="0BEB0202"/>
    <w:rsid w:val="0D326CC2"/>
    <w:rsid w:val="0EA03360"/>
    <w:rsid w:val="10FE7942"/>
    <w:rsid w:val="1378147A"/>
    <w:rsid w:val="13D35827"/>
    <w:rsid w:val="15C91518"/>
    <w:rsid w:val="1868332D"/>
    <w:rsid w:val="1DA82577"/>
    <w:rsid w:val="1E1170AC"/>
    <w:rsid w:val="22A44CDF"/>
    <w:rsid w:val="25F44B01"/>
    <w:rsid w:val="29C928E7"/>
    <w:rsid w:val="2A7C02EC"/>
    <w:rsid w:val="2A8F7CD5"/>
    <w:rsid w:val="2B3F4DD2"/>
    <w:rsid w:val="2B9654FA"/>
    <w:rsid w:val="2E7345D1"/>
    <w:rsid w:val="353F5A8C"/>
    <w:rsid w:val="3589599C"/>
    <w:rsid w:val="36DE1355"/>
    <w:rsid w:val="393D26BB"/>
    <w:rsid w:val="3A5B7C10"/>
    <w:rsid w:val="3C3170AD"/>
    <w:rsid w:val="3D9C2881"/>
    <w:rsid w:val="3F801B0E"/>
    <w:rsid w:val="413C1020"/>
    <w:rsid w:val="41A55A6F"/>
    <w:rsid w:val="429D2840"/>
    <w:rsid w:val="470B7BE0"/>
    <w:rsid w:val="48A82A9E"/>
    <w:rsid w:val="4A082E0A"/>
    <w:rsid w:val="4AC268B8"/>
    <w:rsid w:val="4CC51E60"/>
    <w:rsid w:val="4CD949FD"/>
    <w:rsid w:val="4F4A4FC8"/>
    <w:rsid w:val="50D74B46"/>
    <w:rsid w:val="51654692"/>
    <w:rsid w:val="54D67D81"/>
    <w:rsid w:val="54D7260C"/>
    <w:rsid w:val="57E02431"/>
    <w:rsid w:val="58055C15"/>
    <w:rsid w:val="58AE4B70"/>
    <w:rsid w:val="5AA3574A"/>
    <w:rsid w:val="5B316C0F"/>
    <w:rsid w:val="5F377063"/>
    <w:rsid w:val="5FF411EE"/>
    <w:rsid w:val="62E50A5D"/>
    <w:rsid w:val="633A3E82"/>
    <w:rsid w:val="673F2C72"/>
    <w:rsid w:val="68C06BDA"/>
    <w:rsid w:val="69F8009E"/>
    <w:rsid w:val="6AB76068"/>
    <w:rsid w:val="6C9132F0"/>
    <w:rsid w:val="6D5B701C"/>
    <w:rsid w:val="736A2597"/>
    <w:rsid w:val="74995770"/>
    <w:rsid w:val="75CD3E17"/>
    <w:rsid w:val="76683156"/>
    <w:rsid w:val="7A8F4EBB"/>
    <w:rsid w:val="7B802C44"/>
    <w:rsid w:val="7FC9127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iPriority="99" w:name="index heading"/>
    <w:lsdException w:qFormat="1" w:unhideWhenUsed="0" w:uiPriority="0" w:semiHidden="0" w:name="caption"/>
    <w:lsdException w:qFormat="1" w:unhideWhenUsed="0" w:uiPriority="0" w:semiHidden="0" w:name="table of figures"/>
    <w:lsdException w:uiPriority="99" w:name="envelope address"/>
    <w:lsdException w:uiPriority="99" w:name="envelope return"/>
    <w:lsdException w:qFormat="1" w:unhideWhenUsed="0" w:uiPriority="0" w:semiHidden="0"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qFormat="1" w:uiPriority="0" w:name="endnote text"/>
    <w:lsdException w:uiPriority="99" w:name="table of authorities"/>
    <w:lsdException w:uiPriority="99" w:name="macro"/>
    <w:lsdException w:qFormat="1" w:unhideWhenUsed="0" w:uiPriority="0" w:semiHidden="0"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qFormat="1" w:unhideWhenUsed="0" w:uiPriority="99" w:semiHidden="0" w:name="Date"/>
    <w:lsdException w:qFormat="1" w:unhideWhenUsed="0" w:uiPriority="0" w:semiHidden="0" w:name="Body Text First Indent"/>
    <w:lsdException w:qFormat="1" w:unhideWhenUsed="0" w:uiPriority="0" w:semiHidden="0" w:name="Body Text First Indent 2"/>
    <w:lsdException w:qFormat="1"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uiPriority="99"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99"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59"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paragraph" w:styleId="4">
    <w:name w:val="heading 1"/>
    <w:basedOn w:val="1"/>
    <w:next w:val="1"/>
    <w:link w:val="61"/>
    <w:qFormat/>
    <w:uiPriority w:val="0"/>
    <w:pPr>
      <w:keepNext/>
      <w:keepLines/>
      <w:spacing w:before="340" w:after="330" w:line="576" w:lineRule="auto"/>
      <w:outlineLvl w:val="0"/>
    </w:pPr>
    <w:rPr>
      <w:b/>
      <w:kern w:val="44"/>
      <w:sz w:val="44"/>
      <w:lang w:val="zh-CN"/>
    </w:rPr>
  </w:style>
  <w:style w:type="paragraph" w:styleId="5">
    <w:name w:val="heading 2"/>
    <w:basedOn w:val="1"/>
    <w:next w:val="1"/>
    <w:link w:val="62"/>
    <w:qFormat/>
    <w:uiPriority w:val="0"/>
    <w:pPr>
      <w:keepNext/>
      <w:keepLines/>
      <w:adjustRightInd w:val="0"/>
      <w:spacing w:before="260" w:after="260" w:line="416" w:lineRule="atLeast"/>
      <w:textAlignment w:val="baseline"/>
      <w:outlineLvl w:val="1"/>
    </w:pPr>
    <w:rPr>
      <w:rFonts w:ascii="Arial" w:hAnsi="Arial" w:eastAsia="黑体"/>
      <w:b/>
      <w:kern w:val="0"/>
      <w:sz w:val="32"/>
      <w:lang w:val="zh-CN"/>
    </w:rPr>
  </w:style>
  <w:style w:type="paragraph" w:styleId="6">
    <w:name w:val="heading 3"/>
    <w:basedOn w:val="1"/>
    <w:next w:val="1"/>
    <w:link w:val="63"/>
    <w:qFormat/>
    <w:uiPriority w:val="0"/>
    <w:pPr>
      <w:keepNext/>
      <w:keepLines/>
      <w:adjustRightInd w:val="0"/>
      <w:spacing w:before="260" w:after="260" w:line="416" w:lineRule="atLeast"/>
      <w:textAlignment w:val="baseline"/>
      <w:outlineLvl w:val="2"/>
    </w:pPr>
    <w:rPr>
      <w:b/>
      <w:kern w:val="0"/>
      <w:sz w:val="32"/>
      <w:lang w:val="zh-CN"/>
    </w:rPr>
  </w:style>
  <w:style w:type="paragraph" w:styleId="7">
    <w:name w:val="heading 4"/>
    <w:basedOn w:val="1"/>
    <w:next w:val="1"/>
    <w:link w:val="65"/>
    <w:qFormat/>
    <w:uiPriority w:val="0"/>
    <w:pPr>
      <w:keepNext/>
      <w:keepLines/>
      <w:spacing w:before="280" w:after="290" w:line="372" w:lineRule="auto"/>
      <w:outlineLvl w:val="3"/>
    </w:pPr>
    <w:rPr>
      <w:rFonts w:ascii="Arial" w:hAnsi="Arial" w:eastAsia="黑体"/>
      <w:b/>
      <w:sz w:val="28"/>
      <w:lang w:val="zh-CN"/>
    </w:rPr>
  </w:style>
  <w:style w:type="paragraph" w:styleId="8">
    <w:name w:val="heading 5"/>
    <w:basedOn w:val="1"/>
    <w:next w:val="9"/>
    <w:link w:val="66"/>
    <w:qFormat/>
    <w:uiPriority w:val="0"/>
    <w:pPr>
      <w:keepNext/>
      <w:keepLines/>
      <w:spacing w:before="280" w:after="290" w:line="372" w:lineRule="auto"/>
      <w:outlineLvl w:val="4"/>
    </w:pPr>
    <w:rPr>
      <w:b/>
      <w:sz w:val="28"/>
      <w:lang w:val="zh-CN"/>
    </w:rPr>
  </w:style>
  <w:style w:type="paragraph" w:styleId="10">
    <w:name w:val="heading 6"/>
    <w:basedOn w:val="1"/>
    <w:next w:val="9"/>
    <w:link w:val="67"/>
    <w:qFormat/>
    <w:uiPriority w:val="0"/>
    <w:pPr>
      <w:keepNext/>
      <w:keepLines/>
      <w:spacing w:before="240" w:after="64" w:line="317" w:lineRule="auto"/>
      <w:outlineLvl w:val="5"/>
    </w:pPr>
    <w:rPr>
      <w:rFonts w:ascii="Arial" w:hAnsi="Arial" w:eastAsia="黑体"/>
      <w:b/>
      <w:sz w:val="24"/>
      <w:lang w:val="zh-CN"/>
    </w:rPr>
  </w:style>
  <w:style w:type="paragraph" w:styleId="11">
    <w:name w:val="heading 7"/>
    <w:basedOn w:val="1"/>
    <w:next w:val="9"/>
    <w:link w:val="68"/>
    <w:qFormat/>
    <w:uiPriority w:val="0"/>
    <w:pPr>
      <w:keepNext/>
      <w:keepLines/>
      <w:spacing w:before="240" w:after="64" w:line="317" w:lineRule="auto"/>
      <w:outlineLvl w:val="6"/>
    </w:pPr>
    <w:rPr>
      <w:b/>
      <w:sz w:val="24"/>
      <w:lang w:val="zh-CN"/>
    </w:rPr>
  </w:style>
  <w:style w:type="paragraph" w:styleId="12">
    <w:name w:val="heading 8"/>
    <w:basedOn w:val="1"/>
    <w:next w:val="9"/>
    <w:link w:val="69"/>
    <w:qFormat/>
    <w:uiPriority w:val="0"/>
    <w:pPr>
      <w:keepNext/>
      <w:keepLines/>
      <w:spacing w:before="240" w:after="64" w:line="317" w:lineRule="auto"/>
      <w:outlineLvl w:val="7"/>
    </w:pPr>
    <w:rPr>
      <w:rFonts w:ascii="Arial" w:hAnsi="Arial" w:eastAsia="黑体"/>
      <w:sz w:val="24"/>
      <w:lang w:val="zh-CN"/>
    </w:rPr>
  </w:style>
  <w:style w:type="paragraph" w:styleId="13">
    <w:name w:val="heading 9"/>
    <w:basedOn w:val="1"/>
    <w:next w:val="9"/>
    <w:link w:val="70"/>
    <w:qFormat/>
    <w:uiPriority w:val="0"/>
    <w:pPr>
      <w:keepNext/>
      <w:keepLines/>
      <w:spacing w:before="240" w:after="64" w:line="317" w:lineRule="auto"/>
      <w:outlineLvl w:val="8"/>
    </w:pPr>
    <w:rPr>
      <w:rFonts w:ascii="Arial" w:hAnsi="Arial" w:eastAsia="黑体"/>
      <w:lang w:val="zh-CN"/>
    </w:rPr>
  </w:style>
  <w:style w:type="character" w:default="1" w:styleId="51">
    <w:name w:val="Default Paragraph Font"/>
    <w:semiHidden/>
    <w:unhideWhenUsed/>
    <w:qFormat/>
    <w:uiPriority w:val="1"/>
  </w:style>
  <w:style w:type="table" w:default="1" w:styleId="49">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link w:val="109"/>
    <w:qFormat/>
    <w:uiPriority w:val="0"/>
    <w:pPr>
      <w:spacing w:after="120"/>
      <w:ind w:left="420" w:leftChars="200" w:firstLine="420" w:firstLineChars="200"/>
    </w:pPr>
    <w:rPr>
      <w:kern w:val="2"/>
      <w:sz w:val="21"/>
    </w:rPr>
  </w:style>
  <w:style w:type="paragraph" w:styleId="3">
    <w:name w:val="Body Text Indent"/>
    <w:basedOn w:val="1"/>
    <w:link w:val="110"/>
    <w:qFormat/>
    <w:uiPriority w:val="0"/>
    <w:pPr>
      <w:ind w:firstLine="360"/>
    </w:pPr>
    <w:rPr>
      <w:kern w:val="0"/>
      <w:sz w:val="28"/>
      <w:szCs w:val="24"/>
    </w:rPr>
  </w:style>
  <w:style w:type="paragraph" w:styleId="9">
    <w:name w:val="Normal Indent"/>
    <w:basedOn w:val="1"/>
    <w:link w:val="64"/>
    <w:qFormat/>
    <w:uiPriority w:val="0"/>
    <w:pPr>
      <w:ind w:firstLine="420"/>
    </w:pPr>
    <w:rPr>
      <w:kern w:val="0"/>
      <w:sz w:val="20"/>
    </w:rPr>
  </w:style>
  <w:style w:type="paragraph" w:styleId="14">
    <w:name w:val="toc 7"/>
    <w:basedOn w:val="1"/>
    <w:next w:val="1"/>
    <w:qFormat/>
    <w:uiPriority w:val="0"/>
    <w:pPr>
      <w:ind w:left="2520" w:leftChars="1200"/>
    </w:pPr>
  </w:style>
  <w:style w:type="paragraph" w:styleId="15">
    <w:name w:val="Note Heading"/>
    <w:basedOn w:val="1"/>
    <w:next w:val="1"/>
    <w:link w:val="115"/>
    <w:qFormat/>
    <w:uiPriority w:val="0"/>
    <w:pPr>
      <w:adjustRightInd w:val="0"/>
      <w:snapToGrid w:val="0"/>
      <w:jc w:val="center"/>
    </w:pPr>
    <w:rPr>
      <w:lang w:val="zh-CN" w:eastAsia="zh-TW"/>
    </w:rPr>
  </w:style>
  <w:style w:type="paragraph" w:styleId="16">
    <w:name w:val="caption"/>
    <w:basedOn w:val="1"/>
    <w:next w:val="1"/>
    <w:qFormat/>
    <w:uiPriority w:val="0"/>
    <w:rPr>
      <w:rFonts w:ascii="Cambria" w:hAnsi="Cambria" w:eastAsia="黑体"/>
    </w:rPr>
  </w:style>
  <w:style w:type="paragraph" w:styleId="17">
    <w:name w:val="Document Map"/>
    <w:basedOn w:val="1"/>
    <w:link w:val="111"/>
    <w:qFormat/>
    <w:uiPriority w:val="0"/>
    <w:pPr>
      <w:shd w:val="clear" w:color="auto" w:fill="000080"/>
    </w:pPr>
    <w:rPr>
      <w:kern w:val="0"/>
      <w:sz w:val="20"/>
    </w:rPr>
  </w:style>
  <w:style w:type="paragraph" w:styleId="18">
    <w:name w:val="toa heading"/>
    <w:basedOn w:val="1"/>
    <w:next w:val="1"/>
    <w:qFormat/>
    <w:uiPriority w:val="0"/>
    <w:pPr>
      <w:adjustRightInd w:val="0"/>
      <w:spacing w:before="120" w:line="312" w:lineRule="atLeast"/>
      <w:textAlignment w:val="baseline"/>
    </w:pPr>
    <w:rPr>
      <w:rFonts w:ascii="Arial" w:hAnsi="Arial"/>
      <w:sz w:val="24"/>
    </w:rPr>
  </w:style>
  <w:style w:type="paragraph" w:styleId="19">
    <w:name w:val="annotation text"/>
    <w:basedOn w:val="1"/>
    <w:link w:val="105"/>
    <w:qFormat/>
    <w:uiPriority w:val="0"/>
    <w:pPr>
      <w:adjustRightInd w:val="0"/>
      <w:spacing w:line="360" w:lineRule="atLeast"/>
      <w:textAlignment w:val="baseline"/>
    </w:pPr>
    <w:rPr>
      <w:kern w:val="0"/>
      <w:sz w:val="24"/>
      <w:lang w:val="zh-CN"/>
    </w:rPr>
  </w:style>
  <w:style w:type="paragraph" w:styleId="20">
    <w:name w:val="Body Text 3"/>
    <w:basedOn w:val="1"/>
    <w:link w:val="82"/>
    <w:qFormat/>
    <w:uiPriority w:val="0"/>
    <w:pPr>
      <w:tabs>
        <w:tab w:val="left" w:pos="-1440"/>
      </w:tabs>
      <w:suppressAutoHyphens/>
      <w:spacing w:line="240" w:lineRule="atLeast"/>
    </w:pPr>
    <w:rPr>
      <w:rFonts w:ascii="Arial" w:hAnsi="Arial"/>
      <w:color w:val="FF0000"/>
      <w:spacing w:val="-3"/>
      <w:kern w:val="0"/>
      <w:sz w:val="22"/>
      <w:lang w:val="en-GB" w:eastAsia="en-US"/>
    </w:rPr>
  </w:style>
  <w:style w:type="paragraph" w:styleId="21">
    <w:name w:val="Body Text"/>
    <w:basedOn w:val="1"/>
    <w:next w:val="22"/>
    <w:link w:val="77"/>
    <w:qFormat/>
    <w:uiPriority w:val="99"/>
    <w:rPr>
      <w:sz w:val="24"/>
    </w:rPr>
  </w:style>
  <w:style w:type="paragraph" w:customStyle="1" w:styleId="22">
    <w:name w:val="Default"/>
    <w:qFormat/>
    <w:uiPriority w:val="0"/>
    <w:pPr>
      <w:widowControl w:val="0"/>
      <w:autoSpaceDE w:val="0"/>
      <w:autoSpaceDN w:val="0"/>
      <w:adjustRightInd w:val="0"/>
    </w:pPr>
    <w:rPr>
      <w:rFonts w:ascii="Arial" w:hAnsi="Arial" w:eastAsia="宋体" w:cs="Arial"/>
      <w:color w:val="000000"/>
      <w:sz w:val="24"/>
      <w:szCs w:val="24"/>
      <w:lang w:val="en-US" w:eastAsia="zh-CN" w:bidi="ar-SA"/>
    </w:rPr>
  </w:style>
  <w:style w:type="paragraph" w:styleId="23">
    <w:name w:val="Block Text"/>
    <w:basedOn w:val="1"/>
    <w:qFormat/>
    <w:uiPriority w:val="0"/>
    <w:pPr>
      <w:ind w:left="-540" w:right="-1054"/>
    </w:pPr>
    <w:rPr>
      <w:sz w:val="28"/>
    </w:rPr>
  </w:style>
  <w:style w:type="paragraph" w:styleId="24">
    <w:name w:val="toc 5"/>
    <w:basedOn w:val="1"/>
    <w:next w:val="1"/>
    <w:qFormat/>
    <w:uiPriority w:val="0"/>
    <w:pPr>
      <w:ind w:left="1680" w:leftChars="800"/>
    </w:pPr>
  </w:style>
  <w:style w:type="paragraph" w:styleId="25">
    <w:name w:val="toc 3"/>
    <w:basedOn w:val="1"/>
    <w:next w:val="1"/>
    <w:qFormat/>
    <w:uiPriority w:val="39"/>
    <w:pPr>
      <w:ind w:left="840" w:leftChars="400"/>
    </w:pPr>
  </w:style>
  <w:style w:type="paragraph" w:styleId="26">
    <w:name w:val="Plain Text"/>
    <w:basedOn w:val="1"/>
    <w:link w:val="88"/>
    <w:qFormat/>
    <w:uiPriority w:val="99"/>
    <w:pPr>
      <w:overflowPunct w:val="0"/>
      <w:spacing w:line="360" w:lineRule="auto"/>
    </w:pPr>
    <w:rPr>
      <w:rFonts w:ascii="宋体" w:hAnsi="Courier New" w:eastAsia="仿宋_GB2312"/>
      <w:sz w:val="24"/>
      <w:lang w:val="zh-CN"/>
    </w:rPr>
  </w:style>
  <w:style w:type="paragraph" w:styleId="27">
    <w:name w:val="toc 8"/>
    <w:basedOn w:val="1"/>
    <w:next w:val="1"/>
    <w:qFormat/>
    <w:uiPriority w:val="0"/>
    <w:pPr>
      <w:ind w:left="2940" w:leftChars="1400"/>
    </w:pPr>
  </w:style>
  <w:style w:type="paragraph" w:styleId="28">
    <w:name w:val="Date"/>
    <w:basedOn w:val="1"/>
    <w:next w:val="1"/>
    <w:link w:val="126"/>
    <w:qFormat/>
    <w:uiPriority w:val="99"/>
    <w:rPr>
      <w:kern w:val="0"/>
      <w:sz w:val="24"/>
    </w:rPr>
  </w:style>
  <w:style w:type="paragraph" w:styleId="29">
    <w:name w:val="Body Text Indent 2"/>
    <w:basedOn w:val="1"/>
    <w:link w:val="76"/>
    <w:qFormat/>
    <w:uiPriority w:val="0"/>
    <w:pPr>
      <w:spacing w:before="60" w:after="60"/>
      <w:ind w:left="720" w:hanging="720"/>
    </w:pPr>
    <w:rPr>
      <w:color w:val="000000"/>
      <w:kern w:val="0"/>
      <w:sz w:val="24"/>
    </w:rPr>
  </w:style>
  <w:style w:type="paragraph" w:styleId="30">
    <w:name w:val="endnote text"/>
    <w:basedOn w:val="1"/>
    <w:link w:val="206"/>
    <w:semiHidden/>
    <w:unhideWhenUsed/>
    <w:qFormat/>
    <w:uiPriority w:val="0"/>
    <w:pPr>
      <w:snapToGrid w:val="0"/>
      <w:jc w:val="left"/>
    </w:pPr>
    <w:rPr>
      <w:rFonts w:eastAsia="??"/>
      <w:color w:val="000000"/>
      <w:kern w:val="0"/>
      <w:sz w:val="24"/>
      <w:szCs w:val="24"/>
      <w:lang w:val="zh-CN"/>
    </w:rPr>
  </w:style>
  <w:style w:type="paragraph" w:styleId="31">
    <w:name w:val="Balloon Text"/>
    <w:basedOn w:val="1"/>
    <w:link w:val="107"/>
    <w:qFormat/>
    <w:uiPriority w:val="0"/>
    <w:rPr>
      <w:sz w:val="18"/>
      <w:szCs w:val="18"/>
      <w:lang w:val="zh-CN"/>
    </w:rPr>
  </w:style>
  <w:style w:type="paragraph" w:styleId="32">
    <w:name w:val="footer"/>
    <w:basedOn w:val="1"/>
    <w:link w:val="175"/>
    <w:qFormat/>
    <w:uiPriority w:val="99"/>
    <w:pPr>
      <w:tabs>
        <w:tab w:val="center" w:pos="4153"/>
        <w:tab w:val="right" w:pos="8306"/>
      </w:tabs>
      <w:snapToGrid w:val="0"/>
    </w:pPr>
    <w:rPr>
      <w:sz w:val="18"/>
      <w:lang w:val="zh-CN"/>
    </w:rPr>
  </w:style>
  <w:style w:type="paragraph" w:styleId="33">
    <w:name w:val="header"/>
    <w:basedOn w:val="1"/>
    <w:link w:val="162"/>
    <w:qFormat/>
    <w:uiPriority w:val="99"/>
    <w:pPr>
      <w:pBdr>
        <w:bottom w:val="single" w:color="auto" w:sz="6" w:space="1"/>
      </w:pBdr>
      <w:tabs>
        <w:tab w:val="center" w:pos="4153"/>
        <w:tab w:val="right" w:pos="8306"/>
      </w:tabs>
      <w:snapToGrid w:val="0"/>
      <w:jc w:val="center"/>
    </w:pPr>
    <w:rPr>
      <w:sz w:val="18"/>
      <w:lang w:val="zh-CN"/>
    </w:rPr>
  </w:style>
  <w:style w:type="paragraph" w:styleId="34">
    <w:name w:val="toc 1"/>
    <w:basedOn w:val="1"/>
    <w:next w:val="1"/>
    <w:qFormat/>
    <w:uiPriority w:val="39"/>
  </w:style>
  <w:style w:type="paragraph" w:styleId="35">
    <w:name w:val="toc 4"/>
    <w:basedOn w:val="1"/>
    <w:next w:val="1"/>
    <w:qFormat/>
    <w:uiPriority w:val="0"/>
    <w:pPr>
      <w:ind w:left="1260" w:leftChars="600"/>
    </w:pPr>
  </w:style>
  <w:style w:type="paragraph" w:styleId="36">
    <w:name w:val="Subtitle"/>
    <w:basedOn w:val="1"/>
    <w:next w:val="1"/>
    <w:link w:val="99"/>
    <w:qFormat/>
    <w:uiPriority w:val="0"/>
    <w:pPr>
      <w:spacing w:before="240" w:after="60" w:line="312" w:lineRule="auto"/>
      <w:jc w:val="center"/>
      <w:outlineLvl w:val="1"/>
    </w:pPr>
    <w:rPr>
      <w:rFonts w:ascii="Cambria" w:hAnsi="Cambria"/>
      <w:b/>
      <w:bCs/>
      <w:kern w:val="28"/>
      <w:sz w:val="32"/>
      <w:szCs w:val="32"/>
    </w:rPr>
  </w:style>
  <w:style w:type="paragraph" w:styleId="37">
    <w:name w:val="footnote text"/>
    <w:basedOn w:val="1"/>
    <w:link w:val="129"/>
    <w:qFormat/>
    <w:uiPriority w:val="0"/>
    <w:pPr>
      <w:snapToGrid w:val="0"/>
    </w:pPr>
    <w:rPr>
      <w:sz w:val="18"/>
      <w:szCs w:val="18"/>
      <w:lang w:val="zh-CN"/>
    </w:rPr>
  </w:style>
  <w:style w:type="paragraph" w:styleId="38">
    <w:name w:val="toc 6"/>
    <w:basedOn w:val="1"/>
    <w:next w:val="1"/>
    <w:qFormat/>
    <w:uiPriority w:val="0"/>
    <w:pPr>
      <w:ind w:left="2100" w:leftChars="1000"/>
    </w:pPr>
  </w:style>
  <w:style w:type="paragraph" w:styleId="39">
    <w:name w:val="Body Text Indent 3"/>
    <w:basedOn w:val="1"/>
    <w:link w:val="83"/>
    <w:qFormat/>
    <w:uiPriority w:val="0"/>
    <w:pPr>
      <w:ind w:firstLine="720"/>
    </w:pPr>
    <w:rPr>
      <w:kern w:val="0"/>
      <w:sz w:val="24"/>
    </w:rPr>
  </w:style>
  <w:style w:type="paragraph" w:styleId="40">
    <w:name w:val="table of figures"/>
    <w:basedOn w:val="1"/>
    <w:next w:val="1"/>
    <w:qFormat/>
    <w:uiPriority w:val="0"/>
    <w:pPr>
      <w:ind w:left="440" w:hanging="440"/>
    </w:pPr>
    <w:rPr>
      <w:rFonts w:ascii="Arial" w:hAnsi="Arial"/>
      <w:sz w:val="22"/>
      <w:lang w:val="en-GB" w:eastAsia="en-US"/>
    </w:rPr>
  </w:style>
  <w:style w:type="paragraph" w:styleId="41">
    <w:name w:val="toc 2"/>
    <w:basedOn w:val="1"/>
    <w:next w:val="1"/>
    <w:qFormat/>
    <w:uiPriority w:val="39"/>
    <w:pPr>
      <w:ind w:left="420" w:leftChars="200"/>
    </w:pPr>
  </w:style>
  <w:style w:type="paragraph" w:styleId="42">
    <w:name w:val="toc 9"/>
    <w:basedOn w:val="1"/>
    <w:next w:val="1"/>
    <w:qFormat/>
    <w:uiPriority w:val="0"/>
    <w:pPr>
      <w:ind w:left="3360" w:leftChars="1600"/>
    </w:pPr>
  </w:style>
  <w:style w:type="paragraph" w:styleId="43">
    <w:name w:val="Body Text 2"/>
    <w:basedOn w:val="1"/>
    <w:link w:val="100"/>
    <w:qFormat/>
    <w:uiPriority w:val="0"/>
    <w:pPr>
      <w:spacing w:before="60" w:after="60"/>
    </w:pPr>
    <w:rPr>
      <w:color w:val="0000FF"/>
      <w:kern w:val="0"/>
      <w:sz w:val="24"/>
    </w:rPr>
  </w:style>
  <w:style w:type="paragraph" w:styleId="44">
    <w:name w:val="HTML Preformatted"/>
    <w:basedOn w:val="1"/>
    <w:link w:val="132"/>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w:hAnsi="Arial" w:cs="Arial"/>
      <w:kern w:val="0"/>
      <w:sz w:val="24"/>
      <w:szCs w:val="24"/>
    </w:rPr>
  </w:style>
  <w:style w:type="paragraph" w:styleId="45">
    <w:name w:val="Normal (Web)"/>
    <w:basedOn w:val="1"/>
    <w:qFormat/>
    <w:uiPriority w:val="99"/>
    <w:rPr>
      <w:rFonts w:ascii="宋体" w:hAnsi="宋体" w:cs="宋体"/>
      <w:sz w:val="24"/>
      <w:szCs w:val="24"/>
    </w:rPr>
  </w:style>
  <w:style w:type="paragraph" w:styleId="46">
    <w:name w:val="Title"/>
    <w:basedOn w:val="1"/>
    <w:next w:val="1"/>
    <w:link w:val="96"/>
    <w:qFormat/>
    <w:uiPriority w:val="0"/>
    <w:pPr>
      <w:spacing w:before="240" w:after="60"/>
      <w:jc w:val="center"/>
      <w:outlineLvl w:val="0"/>
    </w:pPr>
    <w:rPr>
      <w:rFonts w:ascii="Cambria" w:hAnsi="Cambria"/>
      <w:b/>
      <w:bCs/>
      <w:kern w:val="0"/>
      <w:sz w:val="32"/>
      <w:szCs w:val="32"/>
      <w:lang w:val="zh-CN"/>
    </w:rPr>
  </w:style>
  <w:style w:type="paragraph" w:styleId="47">
    <w:name w:val="annotation subject"/>
    <w:basedOn w:val="19"/>
    <w:next w:val="19"/>
    <w:link w:val="120"/>
    <w:qFormat/>
    <w:uiPriority w:val="0"/>
    <w:pPr>
      <w:adjustRightInd/>
      <w:spacing w:line="240" w:lineRule="auto"/>
      <w:textAlignment w:val="auto"/>
    </w:pPr>
  </w:style>
  <w:style w:type="paragraph" w:styleId="48">
    <w:name w:val="Body Text First Indent"/>
    <w:basedOn w:val="21"/>
    <w:link w:val="121"/>
    <w:qFormat/>
    <w:uiPriority w:val="0"/>
    <w:pPr>
      <w:spacing w:after="120"/>
      <w:ind w:firstLine="420" w:firstLineChars="100"/>
    </w:pPr>
    <w:rPr>
      <w:rFonts w:ascii="宋体" w:hAnsi="宋体"/>
      <w:color w:val="000000"/>
      <w:lang w:val="zh-CN"/>
    </w:rPr>
  </w:style>
  <w:style w:type="table" w:styleId="50">
    <w:name w:val="Table Grid"/>
    <w:basedOn w:val="49"/>
    <w:qFormat/>
    <w:uiPriority w:val="5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52">
    <w:name w:val="Strong"/>
    <w:qFormat/>
    <w:uiPriority w:val="0"/>
    <w:rPr>
      <w:b/>
      <w:bCs/>
    </w:rPr>
  </w:style>
  <w:style w:type="character" w:styleId="53">
    <w:name w:val="page number"/>
    <w:basedOn w:val="51"/>
    <w:qFormat/>
    <w:uiPriority w:val="0"/>
  </w:style>
  <w:style w:type="character" w:styleId="54">
    <w:name w:val="Emphasis"/>
    <w:qFormat/>
    <w:uiPriority w:val="0"/>
    <w:rPr>
      <w:i/>
      <w:iCs/>
    </w:rPr>
  </w:style>
  <w:style w:type="character" w:styleId="55">
    <w:name w:val="Hyperlink"/>
    <w:basedOn w:val="51"/>
    <w:qFormat/>
    <w:uiPriority w:val="99"/>
    <w:rPr>
      <w:color w:val="0000FF"/>
      <w:u w:val="single"/>
    </w:rPr>
  </w:style>
  <w:style w:type="character" w:styleId="56">
    <w:name w:val="annotation reference"/>
    <w:qFormat/>
    <w:uiPriority w:val="0"/>
    <w:rPr>
      <w:sz w:val="21"/>
      <w:szCs w:val="21"/>
    </w:rPr>
  </w:style>
  <w:style w:type="character" w:styleId="57">
    <w:name w:val="footnote reference"/>
    <w:qFormat/>
    <w:uiPriority w:val="0"/>
    <w:rPr>
      <w:vertAlign w:val="superscript"/>
    </w:rPr>
  </w:style>
  <w:style w:type="paragraph" w:customStyle="1" w:styleId="58">
    <w:name w:val="一级条标题"/>
    <w:basedOn w:val="59"/>
    <w:next w:val="60"/>
    <w:qFormat/>
    <w:uiPriority w:val="0"/>
    <w:pPr>
      <w:ind w:hanging="840"/>
    </w:pPr>
  </w:style>
  <w:style w:type="paragraph" w:customStyle="1" w:styleId="59">
    <w:name w:val="章标题"/>
    <w:next w:val="1"/>
    <w:qFormat/>
    <w:uiPriority w:val="0"/>
    <w:pPr>
      <w:spacing w:before="156" w:beforeLines="50" w:after="156" w:afterLines="50"/>
      <w:jc w:val="both"/>
      <w:outlineLvl w:val="1"/>
    </w:pPr>
    <w:rPr>
      <w:rFonts w:ascii="黑体" w:hAnsi="Times New Roman" w:eastAsia="黑体" w:cs="Times New Roman"/>
      <w:sz w:val="24"/>
      <w:lang w:val="en-US" w:eastAsia="zh-CN" w:bidi="ar-SA"/>
    </w:rPr>
  </w:style>
  <w:style w:type="paragraph" w:customStyle="1" w:styleId="60">
    <w:name w:val="段"/>
    <w:qFormat/>
    <w:uiPriority w:val="0"/>
    <w:pPr>
      <w:autoSpaceDE w:val="0"/>
      <w:autoSpaceDN w:val="0"/>
      <w:ind w:firstLine="200" w:firstLineChars="200"/>
      <w:jc w:val="both"/>
    </w:pPr>
    <w:rPr>
      <w:rFonts w:ascii="??" w:hAnsi="??" w:eastAsia="??" w:cs="宋体"/>
      <w:color w:val="000000"/>
      <w:szCs w:val="28"/>
      <w:lang w:val="en-US" w:eastAsia="zh-CN" w:bidi="ar-SA"/>
    </w:rPr>
  </w:style>
  <w:style w:type="character" w:customStyle="1" w:styleId="61">
    <w:name w:val="标题 1 字符"/>
    <w:link w:val="4"/>
    <w:qFormat/>
    <w:uiPriority w:val="0"/>
    <w:rPr>
      <w:b/>
      <w:kern w:val="44"/>
      <w:sz w:val="44"/>
      <w:lang w:val="zh-CN" w:eastAsia="zh-CN"/>
    </w:rPr>
  </w:style>
  <w:style w:type="character" w:customStyle="1" w:styleId="62">
    <w:name w:val="标题 2 字符"/>
    <w:link w:val="5"/>
    <w:qFormat/>
    <w:uiPriority w:val="0"/>
    <w:rPr>
      <w:rFonts w:ascii="Arial" w:hAnsi="Arial" w:eastAsia="黑体"/>
      <w:b/>
      <w:sz w:val="32"/>
      <w:lang w:val="zh-CN" w:eastAsia="zh-CN"/>
    </w:rPr>
  </w:style>
  <w:style w:type="character" w:customStyle="1" w:styleId="63">
    <w:name w:val="标题 3 字符"/>
    <w:link w:val="6"/>
    <w:qFormat/>
    <w:uiPriority w:val="0"/>
    <w:rPr>
      <w:b/>
      <w:sz w:val="32"/>
      <w:lang w:val="zh-CN" w:eastAsia="zh-CN"/>
    </w:rPr>
  </w:style>
  <w:style w:type="character" w:customStyle="1" w:styleId="64">
    <w:name w:val="正文缩进 字符"/>
    <w:link w:val="9"/>
    <w:qFormat/>
    <w:uiPriority w:val="0"/>
    <w:rPr>
      <w:rFonts w:eastAsia="宋体"/>
      <w:lang w:val="en-US" w:eastAsia="zh-CN" w:bidi="ar-SA"/>
    </w:rPr>
  </w:style>
  <w:style w:type="character" w:customStyle="1" w:styleId="65">
    <w:name w:val="标题 4 字符"/>
    <w:link w:val="7"/>
    <w:qFormat/>
    <w:uiPriority w:val="0"/>
    <w:rPr>
      <w:rFonts w:ascii="Arial" w:hAnsi="Arial" w:eastAsia="黑体"/>
      <w:b/>
      <w:kern w:val="2"/>
      <w:sz w:val="28"/>
      <w:lang w:val="zh-CN" w:eastAsia="zh-CN"/>
    </w:rPr>
  </w:style>
  <w:style w:type="character" w:customStyle="1" w:styleId="66">
    <w:name w:val="标题 5 字符"/>
    <w:link w:val="8"/>
    <w:qFormat/>
    <w:uiPriority w:val="0"/>
    <w:rPr>
      <w:b/>
      <w:kern w:val="2"/>
      <w:sz w:val="28"/>
      <w:lang w:val="zh-CN" w:eastAsia="zh-CN"/>
    </w:rPr>
  </w:style>
  <w:style w:type="character" w:customStyle="1" w:styleId="67">
    <w:name w:val="标题 6 字符"/>
    <w:link w:val="10"/>
    <w:qFormat/>
    <w:uiPriority w:val="0"/>
    <w:rPr>
      <w:rFonts w:ascii="Arial" w:hAnsi="Arial" w:eastAsia="黑体"/>
      <w:b/>
      <w:kern w:val="2"/>
      <w:sz w:val="24"/>
      <w:lang w:val="zh-CN" w:eastAsia="zh-CN"/>
    </w:rPr>
  </w:style>
  <w:style w:type="character" w:customStyle="1" w:styleId="68">
    <w:name w:val="标题 7 字符"/>
    <w:link w:val="11"/>
    <w:qFormat/>
    <w:uiPriority w:val="0"/>
    <w:rPr>
      <w:b/>
      <w:kern w:val="2"/>
      <w:sz w:val="24"/>
      <w:lang w:val="zh-CN" w:eastAsia="zh-CN"/>
    </w:rPr>
  </w:style>
  <w:style w:type="character" w:customStyle="1" w:styleId="69">
    <w:name w:val="标题 8 字符"/>
    <w:link w:val="12"/>
    <w:qFormat/>
    <w:uiPriority w:val="0"/>
    <w:rPr>
      <w:rFonts w:ascii="Arial" w:hAnsi="Arial" w:eastAsia="黑体"/>
      <w:kern w:val="2"/>
      <w:sz w:val="24"/>
      <w:lang w:val="zh-CN" w:eastAsia="zh-CN"/>
    </w:rPr>
  </w:style>
  <w:style w:type="character" w:customStyle="1" w:styleId="70">
    <w:name w:val="标题 9 字符"/>
    <w:link w:val="13"/>
    <w:qFormat/>
    <w:uiPriority w:val="0"/>
    <w:rPr>
      <w:rFonts w:ascii="Arial" w:hAnsi="Arial" w:eastAsia="黑体"/>
      <w:kern w:val="2"/>
      <w:sz w:val="21"/>
      <w:lang w:val="zh-CN" w:eastAsia="zh-CN"/>
    </w:rPr>
  </w:style>
  <w:style w:type="character" w:customStyle="1" w:styleId="71">
    <w:name w:val="已访问的超链接1"/>
    <w:qFormat/>
    <w:uiPriority w:val="99"/>
    <w:rPr>
      <w:color w:val="800080"/>
      <w:u w:val="single"/>
    </w:rPr>
  </w:style>
  <w:style w:type="character" w:customStyle="1" w:styleId="72">
    <w:name w:val="Char Char9"/>
    <w:qFormat/>
    <w:uiPriority w:val="0"/>
    <w:rPr>
      <w:rFonts w:ascii="Arial" w:hAnsi="Arial" w:eastAsia="黑体"/>
      <w:sz w:val="21"/>
      <w:lang w:val="en-US" w:eastAsia="zh-CN" w:bidi="ar-SA"/>
    </w:rPr>
  </w:style>
  <w:style w:type="character" w:customStyle="1" w:styleId="73">
    <w:name w:val="页脚 Char Char"/>
    <w:qFormat/>
    <w:uiPriority w:val="0"/>
    <w:rPr>
      <w:sz w:val="18"/>
    </w:rPr>
  </w:style>
  <w:style w:type="character" w:customStyle="1" w:styleId="74">
    <w:name w:val="Char Char14"/>
    <w:qFormat/>
    <w:uiPriority w:val="0"/>
    <w:rPr>
      <w:kern w:val="2"/>
      <w:sz w:val="18"/>
      <w:szCs w:val="18"/>
      <w:lang w:bidi="ar-SA"/>
    </w:rPr>
  </w:style>
  <w:style w:type="character" w:customStyle="1" w:styleId="75">
    <w:name w:val="Comment Text Char"/>
    <w:qFormat/>
    <w:uiPriority w:val="0"/>
    <w:rPr>
      <w:rFonts w:cs="Times New Roman"/>
      <w:kern w:val="2"/>
      <w:sz w:val="28"/>
      <w:szCs w:val="28"/>
    </w:rPr>
  </w:style>
  <w:style w:type="character" w:customStyle="1" w:styleId="76">
    <w:name w:val="正文文本缩进 2 字符"/>
    <w:link w:val="29"/>
    <w:qFormat/>
    <w:uiPriority w:val="0"/>
    <w:rPr>
      <w:rFonts w:eastAsia="宋体"/>
      <w:color w:val="000000"/>
      <w:sz w:val="24"/>
      <w:lang w:val="en-US" w:eastAsia="zh-CN" w:bidi="ar-SA"/>
    </w:rPr>
  </w:style>
  <w:style w:type="character" w:customStyle="1" w:styleId="77">
    <w:name w:val="正文文本 字符"/>
    <w:link w:val="21"/>
    <w:qFormat/>
    <w:uiPriority w:val="99"/>
    <w:rPr>
      <w:rFonts w:eastAsia="宋体"/>
      <w:kern w:val="2"/>
      <w:sz w:val="24"/>
      <w:lang w:val="en-US" w:eastAsia="zh-CN" w:bidi="ar-SA"/>
    </w:rPr>
  </w:style>
  <w:style w:type="character" w:customStyle="1" w:styleId="78">
    <w:name w:val="No Spacing Char"/>
    <w:link w:val="79"/>
    <w:qFormat/>
    <w:uiPriority w:val="0"/>
    <w:rPr>
      <w:rFonts w:ascii="Calibri" w:hAnsi="Calibri"/>
      <w:sz w:val="22"/>
      <w:szCs w:val="22"/>
      <w:lang w:val="en-US" w:eastAsia="zh-CN" w:bidi="ar-SA"/>
    </w:rPr>
  </w:style>
  <w:style w:type="paragraph" w:customStyle="1" w:styleId="79">
    <w:name w:val="无间隔1"/>
    <w:link w:val="78"/>
    <w:qFormat/>
    <w:uiPriority w:val="0"/>
    <w:rPr>
      <w:rFonts w:ascii="Calibri" w:hAnsi="Calibri" w:eastAsia="宋体" w:cs="Times New Roman"/>
      <w:sz w:val="22"/>
      <w:szCs w:val="22"/>
      <w:lang w:val="en-US" w:eastAsia="zh-CN" w:bidi="ar-SA"/>
    </w:rPr>
  </w:style>
  <w:style w:type="character" w:customStyle="1" w:styleId="80">
    <w:name w:val="Char Char111"/>
    <w:qFormat/>
    <w:uiPriority w:val="0"/>
    <w:rPr>
      <w:rFonts w:eastAsia="黑体"/>
      <w:kern w:val="2"/>
      <w:sz w:val="44"/>
      <w:szCs w:val="44"/>
      <w:lang w:val="en-US" w:eastAsia="zh-CN" w:bidi="ar-SA"/>
    </w:rPr>
  </w:style>
  <w:style w:type="character" w:customStyle="1" w:styleId="81">
    <w:name w:val="Char Char26"/>
    <w:qFormat/>
    <w:uiPriority w:val="0"/>
    <w:rPr>
      <w:rFonts w:eastAsia="宋体"/>
      <w:b/>
      <w:bCs/>
      <w:kern w:val="44"/>
      <w:sz w:val="44"/>
      <w:szCs w:val="44"/>
      <w:lang w:val="en-US" w:eastAsia="zh-CN" w:bidi="ar-SA"/>
    </w:rPr>
  </w:style>
  <w:style w:type="character" w:customStyle="1" w:styleId="82">
    <w:name w:val="正文文本 3 字符"/>
    <w:link w:val="20"/>
    <w:qFormat/>
    <w:uiPriority w:val="0"/>
    <w:rPr>
      <w:rFonts w:ascii="Arial" w:hAnsi="Arial"/>
      <w:color w:val="FF0000"/>
      <w:spacing w:val="-3"/>
      <w:sz w:val="22"/>
      <w:lang w:val="en-GB" w:eastAsia="en-US" w:bidi="ar-SA"/>
    </w:rPr>
  </w:style>
  <w:style w:type="character" w:customStyle="1" w:styleId="83">
    <w:name w:val="正文文本缩进 3 字符"/>
    <w:link w:val="39"/>
    <w:qFormat/>
    <w:uiPriority w:val="0"/>
    <w:rPr>
      <w:rFonts w:eastAsia="宋体"/>
      <w:sz w:val="24"/>
      <w:lang w:val="en-US" w:eastAsia="zh-CN" w:bidi="ar-SA"/>
    </w:rPr>
  </w:style>
  <w:style w:type="character" w:customStyle="1" w:styleId="84">
    <w:name w:val="正文缩进 Char2"/>
    <w:qFormat/>
    <w:uiPriority w:val="0"/>
    <w:rPr>
      <w:rFonts w:eastAsia="楷体_GB2312"/>
      <w:kern w:val="2"/>
      <w:sz w:val="28"/>
    </w:rPr>
  </w:style>
  <w:style w:type="character" w:customStyle="1" w:styleId="85">
    <w:name w:val="apple-style-span"/>
    <w:basedOn w:val="51"/>
    <w:qFormat/>
    <w:uiPriority w:val="0"/>
  </w:style>
  <w:style w:type="character" w:customStyle="1" w:styleId="86">
    <w:name w:val="Char Char15"/>
    <w:qFormat/>
    <w:uiPriority w:val="0"/>
    <w:rPr>
      <w:rFonts w:eastAsia="宋体"/>
      <w:b/>
      <w:sz w:val="28"/>
      <w:lang w:val="en-US" w:eastAsia="zh-CN" w:bidi="ar-SA"/>
    </w:rPr>
  </w:style>
  <w:style w:type="character" w:customStyle="1" w:styleId="87">
    <w:name w:val="Char Char19"/>
    <w:qFormat/>
    <w:uiPriority w:val="0"/>
    <w:rPr>
      <w:rFonts w:ascii="仿宋_GB2312" w:eastAsia="仿宋_GB2312" w:cs="MingLiU"/>
      <w:b/>
      <w:spacing w:val="1"/>
      <w:w w:val="99"/>
      <w:sz w:val="28"/>
      <w:szCs w:val="32"/>
    </w:rPr>
  </w:style>
  <w:style w:type="character" w:customStyle="1" w:styleId="88">
    <w:name w:val="纯文本 字符"/>
    <w:link w:val="26"/>
    <w:qFormat/>
    <w:uiPriority w:val="99"/>
    <w:rPr>
      <w:rFonts w:ascii="宋体" w:hAnsi="Courier New" w:eastAsia="仿宋_GB2312"/>
      <w:kern w:val="2"/>
      <w:sz w:val="24"/>
    </w:rPr>
  </w:style>
  <w:style w:type="character" w:customStyle="1" w:styleId="89">
    <w:name w:val="批注主题 Char1"/>
    <w:qFormat/>
    <w:uiPriority w:val="0"/>
    <w:rPr>
      <w:rFonts w:cs="Times New Roman"/>
      <w:b/>
      <w:bCs/>
      <w:kern w:val="2"/>
      <w:sz w:val="21"/>
      <w:szCs w:val="24"/>
      <w:lang w:val="en-US" w:eastAsia="zh-CN"/>
    </w:rPr>
  </w:style>
  <w:style w:type="character" w:customStyle="1" w:styleId="90">
    <w:name w:val="正文文字2 Char Char Char"/>
    <w:qFormat/>
    <w:uiPriority w:val="0"/>
    <w:rPr>
      <w:rFonts w:ascii="Arial" w:eastAsia="黑体"/>
      <w:sz w:val="21"/>
    </w:rPr>
  </w:style>
  <w:style w:type="character" w:customStyle="1" w:styleId="91">
    <w:name w:val="Char Char6"/>
    <w:qFormat/>
    <w:uiPriority w:val="0"/>
    <w:rPr>
      <w:kern w:val="2"/>
      <w:sz w:val="18"/>
      <w:szCs w:val="18"/>
    </w:rPr>
  </w:style>
  <w:style w:type="character" w:customStyle="1" w:styleId="92">
    <w:name w:val="cucd-0 Char Char Char"/>
    <w:qFormat/>
    <w:uiPriority w:val="0"/>
    <w:rPr>
      <w:kern w:val="2"/>
      <w:sz w:val="24"/>
      <w:szCs w:val="24"/>
      <w:lang w:bidi="ar-SA"/>
    </w:rPr>
  </w:style>
  <w:style w:type="character" w:customStyle="1" w:styleId="93">
    <w:name w:val="页脚 Char Char Char"/>
    <w:qFormat/>
    <w:uiPriority w:val="0"/>
    <w:rPr>
      <w:sz w:val="18"/>
    </w:rPr>
  </w:style>
  <w:style w:type="character" w:customStyle="1" w:styleId="94">
    <w:name w:val="无间隔 字符"/>
    <w:link w:val="95"/>
    <w:qFormat/>
    <w:uiPriority w:val="0"/>
    <w:rPr>
      <w:rFonts w:ascii="Calibri" w:hAnsi="Calibri"/>
      <w:sz w:val="22"/>
      <w:szCs w:val="22"/>
      <w:lang w:val="en-US" w:eastAsia="zh-CN" w:bidi="ar-SA"/>
    </w:rPr>
  </w:style>
  <w:style w:type="paragraph" w:styleId="95">
    <w:name w:val="No Spacing"/>
    <w:link w:val="94"/>
    <w:qFormat/>
    <w:uiPriority w:val="0"/>
    <w:rPr>
      <w:rFonts w:ascii="Calibri" w:hAnsi="Calibri" w:eastAsia="宋体" w:cs="Times New Roman"/>
      <w:sz w:val="22"/>
      <w:szCs w:val="22"/>
      <w:lang w:val="en-US" w:eastAsia="zh-CN" w:bidi="ar-SA"/>
    </w:rPr>
  </w:style>
  <w:style w:type="character" w:customStyle="1" w:styleId="96">
    <w:name w:val="标题 字符"/>
    <w:link w:val="46"/>
    <w:qFormat/>
    <w:uiPriority w:val="0"/>
    <w:rPr>
      <w:rFonts w:ascii="Cambria" w:hAnsi="Cambria" w:cs="Times New Roman"/>
      <w:b/>
      <w:bCs/>
      <w:sz w:val="32"/>
      <w:szCs w:val="32"/>
    </w:rPr>
  </w:style>
  <w:style w:type="character" w:customStyle="1" w:styleId="97">
    <w:name w:val="页脚 Char1"/>
    <w:qFormat/>
    <w:uiPriority w:val="0"/>
    <w:rPr>
      <w:sz w:val="18"/>
    </w:rPr>
  </w:style>
  <w:style w:type="character" w:customStyle="1" w:styleId="98">
    <w:name w:val="正文文本缩进 Char1"/>
    <w:qFormat/>
    <w:uiPriority w:val="0"/>
    <w:rPr>
      <w:rFonts w:ascii="宋体" w:hAnsi="宋体"/>
      <w:color w:val="000000"/>
      <w:sz w:val="24"/>
      <w:szCs w:val="24"/>
      <w:lang w:val="en-US" w:eastAsia="zh-CN"/>
    </w:rPr>
  </w:style>
  <w:style w:type="character" w:customStyle="1" w:styleId="99">
    <w:name w:val="副标题 字符"/>
    <w:link w:val="36"/>
    <w:qFormat/>
    <w:uiPriority w:val="0"/>
    <w:rPr>
      <w:rFonts w:ascii="Cambria" w:hAnsi="Cambria"/>
      <w:b/>
      <w:bCs/>
      <w:kern w:val="28"/>
      <w:sz w:val="32"/>
      <w:szCs w:val="32"/>
      <w:lang w:val="en-US" w:eastAsia="zh-CN"/>
    </w:rPr>
  </w:style>
  <w:style w:type="character" w:customStyle="1" w:styleId="100">
    <w:name w:val="正文文本 2 字符"/>
    <w:link w:val="43"/>
    <w:qFormat/>
    <w:uiPriority w:val="0"/>
    <w:rPr>
      <w:rFonts w:eastAsia="宋体"/>
      <w:color w:val="0000FF"/>
      <w:sz w:val="24"/>
      <w:lang w:val="en-US" w:eastAsia="zh-CN" w:bidi="ar-SA"/>
    </w:rPr>
  </w:style>
  <w:style w:type="character" w:customStyle="1" w:styleId="101">
    <w:name w:val="h4 Char Char1"/>
    <w:qFormat/>
    <w:uiPriority w:val="0"/>
    <w:rPr>
      <w:rFonts w:ascii="仿宋_GB2312" w:eastAsia="仿宋_GB2312" w:cs="MingLiU"/>
      <w:b/>
      <w:sz w:val="24"/>
      <w:szCs w:val="28"/>
    </w:rPr>
  </w:style>
  <w:style w:type="character" w:customStyle="1" w:styleId="102">
    <w:name w:val="Char Char24"/>
    <w:qFormat/>
    <w:uiPriority w:val="0"/>
    <w:rPr>
      <w:rFonts w:eastAsia="宋体"/>
      <w:b/>
      <w:bCs/>
      <w:kern w:val="2"/>
      <w:sz w:val="28"/>
      <w:szCs w:val="32"/>
      <w:lang w:val="en-US" w:eastAsia="zh-CN" w:bidi="ar-SA"/>
    </w:rPr>
  </w:style>
  <w:style w:type="character" w:customStyle="1" w:styleId="103">
    <w:name w:val="Char Char13"/>
    <w:qFormat/>
    <w:uiPriority w:val="0"/>
    <w:rPr>
      <w:rFonts w:ascii="Arial" w:hAnsi="Arial"/>
      <w:spacing w:val="-3"/>
      <w:sz w:val="22"/>
      <w:lang w:val="en-GB" w:eastAsia="en-US" w:bidi="ar-SA"/>
    </w:rPr>
  </w:style>
  <w:style w:type="character" w:customStyle="1" w:styleId="104">
    <w:name w:val="Char Char23"/>
    <w:qFormat/>
    <w:uiPriority w:val="0"/>
    <w:rPr>
      <w:rFonts w:ascii="Arial" w:hAnsi="Arial" w:eastAsia="黑体"/>
      <w:b/>
      <w:bCs/>
      <w:kern w:val="2"/>
      <w:sz w:val="28"/>
      <w:szCs w:val="28"/>
      <w:lang w:val="en-US" w:eastAsia="zh-CN" w:bidi="ar-SA"/>
    </w:rPr>
  </w:style>
  <w:style w:type="character" w:customStyle="1" w:styleId="105">
    <w:name w:val="批注文字 字符"/>
    <w:link w:val="19"/>
    <w:qFormat/>
    <w:uiPriority w:val="0"/>
    <w:rPr>
      <w:sz w:val="24"/>
    </w:rPr>
  </w:style>
  <w:style w:type="character" w:customStyle="1" w:styleId="106">
    <w:name w:val="Char Char12"/>
    <w:qFormat/>
    <w:uiPriority w:val="0"/>
    <w:rPr>
      <w:rFonts w:ascii="Arial" w:hAnsi="Arial" w:eastAsia="黑体"/>
      <w:b/>
      <w:sz w:val="24"/>
      <w:lang w:val="en-US" w:eastAsia="zh-CN" w:bidi="ar-SA"/>
    </w:rPr>
  </w:style>
  <w:style w:type="character" w:customStyle="1" w:styleId="107">
    <w:name w:val="批注框文本 字符"/>
    <w:link w:val="31"/>
    <w:qFormat/>
    <w:uiPriority w:val="0"/>
    <w:rPr>
      <w:kern w:val="2"/>
      <w:sz w:val="18"/>
      <w:szCs w:val="18"/>
    </w:rPr>
  </w:style>
  <w:style w:type="character" w:customStyle="1" w:styleId="108">
    <w:name w:val="Char Char16"/>
    <w:qFormat/>
    <w:uiPriority w:val="0"/>
    <w:rPr>
      <w:rFonts w:ascii="Calibri" w:hAnsi="Calibri" w:eastAsia="宋体"/>
      <w:kern w:val="2"/>
      <w:sz w:val="18"/>
      <w:szCs w:val="18"/>
      <w:lang w:val="en-US" w:eastAsia="zh-CN" w:bidi="ar-SA"/>
    </w:rPr>
  </w:style>
  <w:style w:type="character" w:customStyle="1" w:styleId="109">
    <w:name w:val="正文首行缩进 2 字符"/>
    <w:link w:val="2"/>
    <w:qFormat/>
    <w:uiPriority w:val="0"/>
    <w:rPr>
      <w:rFonts w:eastAsia="宋体"/>
      <w:kern w:val="2"/>
      <w:sz w:val="21"/>
      <w:szCs w:val="24"/>
      <w:lang w:val="en-US" w:eastAsia="zh-CN" w:bidi="ar-SA"/>
    </w:rPr>
  </w:style>
  <w:style w:type="character" w:customStyle="1" w:styleId="110">
    <w:name w:val="正文文本缩进 字符"/>
    <w:link w:val="3"/>
    <w:qFormat/>
    <w:uiPriority w:val="0"/>
    <w:rPr>
      <w:rFonts w:eastAsia="宋体"/>
      <w:sz w:val="28"/>
      <w:szCs w:val="24"/>
      <w:lang w:val="en-US" w:eastAsia="zh-CN" w:bidi="ar-SA"/>
    </w:rPr>
  </w:style>
  <w:style w:type="character" w:customStyle="1" w:styleId="111">
    <w:name w:val="文档结构图 字符"/>
    <w:link w:val="17"/>
    <w:qFormat/>
    <w:uiPriority w:val="0"/>
    <w:rPr>
      <w:rFonts w:eastAsia="宋体"/>
      <w:lang w:val="en-US" w:eastAsia="zh-CN" w:bidi="ar-SA"/>
    </w:rPr>
  </w:style>
  <w:style w:type="character" w:customStyle="1" w:styleId="112">
    <w:name w:val="Char Char17"/>
    <w:qFormat/>
    <w:uiPriority w:val="0"/>
    <w:rPr>
      <w:rFonts w:ascii="Calibri" w:hAnsi="Calibri" w:eastAsia="宋体"/>
      <w:kern w:val="2"/>
      <w:sz w:val="18"/>
      <w:szCs w:val="18"/>
      <w:lang w:val="en-US" w:eastAsia="zh-CN" w:bidi="ar-SA"/>
    </w:rPr>
  </w:style>
  <w:style w:type="character" w:customStyle="1" w:styleId="113">
    <w:name w:val="Char Char10"/>
    <w:qFormat/>
    <w:uiPriority w:val="0"/>
    <w:rPr>
      <w:rFonts w:ascii="Arial" w:hAnsi="Arial" w:eastAsia="黑体"/>
      <w:sz w:val="24"/>
      <w:lang w:val="en-US" w:eastAsia="zh-CN" w:bidi="ar-SA"/>
    </w:rPr>
  </w:style>
  <w:style w:type="character" w:customStyle="1" w:styleId="114">
    <w:name w:val="Char Char18"/>
    <w:qFormat/>
    <w:uiPriority w:val="0"/>
    <w:rPr>
      <w:rFonts w:ascii="仿宋_GB2312" w:eastAsia="仿宋_GB2312" w:cs="MingLiU"/>
      <w:b/>
      <w:sz w:val="24"/>
      <w:szCs w:val="28"/>
    </w:rPr>
  </w:style>
  <w:style w:type="character" w:customStyle="1" w:styleId="115">
    <w:name w:val="注释标题 字符"/>
    <w:link w:val="15"/>
    <w:qFormat/>
    <w:uiPriority w:val="0"/>
    <w:rPr>
      <w:kern w:val="2"/>
      <w:sz w:val="21"/>
      <w:lang w:eastAsia="zh-TW"/>
    </w:rPr>
  </w:style>
  <w:style w:type="character" w:customStyle="1" w:styleId="116">
    <w:name w:val="h4 Char Char"/>
    <w:qFormat/>
    <w:uiPriority w:val="0"/>
    <w:rPr>
      <w:rFonts w:ascii="仿宋_GB2312" w:eastAsia="仿宋_GB2312" w:cs="MingLiU"/>
      <w:b/>
      <w:sz w:val="24"/>
      <w:szCs w:val="28"/>
    </w:rPr>
  </w:style>
  <w:style w:type="character" w:customStyle="1" w:styleId="117">
    <w:name w:val="纯文本 Char1"/>
    <w:qFormat/>
    <w:uiPriority w:val="0"/>
    <w:rPr>
      <w:rFonts w:ascii="宋体" w:hAnsi="Courier New"/>
      <w:kern w:val="2"/>
      <w:sz w:val="21"/>
      <w:lang w:val="en-US" w:eastAsia="zh-CN"/>
    </w:rPr>
  </w:style>
  <w:style w:type="character" w:customStyle="1" w:styleId="118">
    <w:name w:val="Char Char11"/>
    <w:qFormat/>
    <w:uiPriority w:val="0"/>
    <w:rPr>
      <w:rFonts w:eastAsia="宋体"/>
      <w:b/>
      <w:sz w:val="24"/>
      <w:lang w:val="en-US" w:eastAsia="zh-CN" w:bidi="ar-SA"/>
    </w:rPr>
  </w:style>
  <w:style w:type="character" w:customStyle="1" w:styleId="119">
    <w:name w:val="页眉 Char1"/>
    <w:qFormat/>
    <w:uiPriority w:val="0"/>
    <w:rPr>
      <w:sz w:val="18"/>
    </w:rPr>
  </w:style>
  <w:style w:type="character" w:customStyle="1" w:styleId="120">
    <w:name w:val="批注主题 字符"/>
    <w:basedOn w:val="105"/>
    <w:link w:val="47"/>
    <w:qFormat/>
    <w:uiPriority w:val="0"/>
    <w:rPr>
      <w:sz w:val="24"/>
    </w:rPr>
  </w:style>
  <w:style w:type="character" w:customStyle="1" w:styleId="121">
    <w:name w:val="正文首行缩进 字符"/>
    <w:link w:val="48"/>
    <w:qFormat/>
    <w:uiPriority w:val="0"/>
    <w:rPr>
      <w:rFonts w:ascii="宋体" w:hAnsi="宋体"/>
      <w:color w:val="000000"/>
      <w:kern w:val="2"/>
      <w:sz w:val="24"/>
    </w:rPr>
  </w:style>
  <w:style w:type="character" w:customStyle="1" w:styleId="122">
    <w:name w:val="Char Char8"/>
    <w:qFormat/>
    <w:uiPriority w:val="0"/>
    <w:rPr>
      <w:kern w:val="2"/>
      <w:sz w:val="18"/>
      <w:szCs w:val="18"/>
    </w:rPr>
  </w:style>
  <w:style w:type="character" w:customStyle="1" w:styleId="123">
    <w:name w:val="页脚2 Char Char Char"/>
    <w:qFormat/>
    <w:uiPriority w:val="0"/>
    <w:rPr>
      <w:rFonts w:ascii="宋体" w:hAnsi="宋体"/>
      <w:sz w:val="18"/>
      <w:szCs w:val="18"/>
    </w:rPr>
  </w:style>
  <w:style w:type="character" w:customStyle="1" w:styleId="124">
    <w:name w:val="普通文字 Char2"/>
    <w:qFormat/>
    <w:uiPriority w:val="0"/>
    <w:rPr>
      <w:rFonts w:ascii="宋体" w:hAnsi="Courier New"/>
      <w:kern w:val="2"/>
      <w:sz w:val="28"/>
      <w:szCs w:val="28"/>
    </w:rPr>
  </w:style>
  <w:style w:type="character" w:customStyle="1" w:styleId="125">
    <w:name w:val="章 Char"/>
    <w:qFormat/>
    <w:uiPriority w:val="0"/>
    <w:rPr>
      <w:rFonts w:eastAsia="宋体"/>
      <w:b/>
      <w:kern w:val="44"/>
      <w:sz w:val="44"/>
      <w:lang w:val="en-US" w:eastAsia="zh-CN" w:bidi="ar-SA"/>
    </w:rPr>
  </w:style>
  <w:style w:type="character" w:customStyle="1" w:styleId="126">
    <w:name w:val="日期 字符"/>
    <w:link w:val="28"/>
    <w:qFormat/>
    <w:uiPriority w:val="99"/>
    <w:rPr>
      <w:rFonts w:eastAsia="宋体"/>
      <w:sz w:val="24"/>
      <w:lang w:val="en-US" w:eastAsia="zh-CN" w:bidi="ar-SA"/>
    </w:rPr>
  </w:style>
  <w:style w:type="character" w:customStyle="1" w:styleId="127">
    <w:name w:val="Char Char25"/>
    <w:qFormat/>
    <w:uiPriority w:val="0"/>
    <w:rPr>
      <w:rFonts w:ascii="Arial" w:hAnsi="Arial" w:eastAsia="黑体"/>
      <w:b/>
      <w:bCs/>
      <w:kern w:val="2"/>
      <w:sz w:val="30"/>
      <w:szCs w:val="32"/>
      <w:lang w:val="en-US" w:eastAsia="zh-CN" w:bidi="ar-SA"/>
    </w:rPr>
  </w:style>
  <w:style w:type="character" w:customStyle="1" w:styleId="128">
    <w:name w:val="正文文本 3 Char1"/>
    <w:qFormat/>
    <w:uiPriority w:val="0"/>
    <w:rPr>
      <w:kern w:val="2"/>
      <w:sz w:val="16"/>
      <w:szCs w:val="16"/>
      <w:lang w:val="en-US" w:eastAsia="zh-CN"/>
    </w:rPr>
  </w:style>
  <w:style w:type="character" w:customStyle="1" w:styleId="129">
    <w:name w:val="脚注文本 字符"/>
    <w:link w:val="37"/>
    <w:qFormat/>
    <w:uiPriority w:val="0"/>
    <w:rPr>
      <w:kern w:val="2"/>
      <w:sz w:val="18"/>
      <w:szCs w:val="18"/>
    </w:rPr>
  </w:style>
  <w:style w:type="character" w:customStyle="1" w:styleId="130">
    <w:name w:val="Char Char41"/>
    <w:qFormat/>
    <w:uiPriority w:val="0"/>
    <w:rPr>
      <w:rFonts w:ascii="Arial" w:hAnsi="Arial" w:eastAsia="黑体"/>
      <w:b/>
      <w:sz w:val="32"/>
      <w:lang w:val="en-US" w:eastAsia="zh-CN" w:bidi="ar-SA"/>
    </w:rPr>
  </w:style>
  <w:style w:type="character" w:customStyle="1" w:styleId="131">
    <w:name w:val="页眉 Char Char Char"/>
    <w:qFormat/>
    <w:uiPriority w:val="0"/>
    <w:rPr>
      <w:sz w:val="18"/>
    </w:rPr>
  </w:style>
  <w:style w:type="character" w:customStyle="1" w:styleId="132">
    <w:name w:val="HTML 预设格式 字符"/>
    <w:link w:val="44"/>
    <w:qFormat/>
    <w:uiPriority w:val="0"/>
    <w:rPr>
      <w:rFonts w:ascii="Arial" w:hAnsi="Arial" w:eastAsia="宋体" w:cs="Arial"/>
      <w:sz w:val="24"/>
      <w:szCs w:val="24"/>
      <w:lang w:val="en-US" w:eastAsia="zh-CN" w:bidi="ar-SA"/>
    </w:rPr>
  </w:style>
  <w:style w:type="character" w:customStyle="1" w:styleId="133">
    <w:name w:val="页脚2 Char Char"/>
    <w:link w:val="134"/>
    <w:qFormat/>
    <w:uiPriority w:val="0"/>
    <w:rPr>
      <w:rFonts w:ascii="宋体" w:hAnsi="宋体"/>
      <w:sz w:val="18"/>
      <w:szCs w:val="18"/>
    </w:rPr>
  </w:style>
  <w:style w:type="paragraph" w:customStyle="1" w:styleId="134">
    <w:name w:val="页脚2"/>
    <w:basedOn w:val="1"/>
    <w:link w:val="133"/>
    <w:qFormat/>
    <w:uiPriority w:val="0"/>
    <w:pPr>
      <w:pBdr>
        <w:top w:val="single" w:color="auto" w:sz="6" w:space="0"/>
      </w:pBdr>
      <w:jc w:val="right"/>
      <w:textAlignment w:val="center"/>
    </w:pPr>
    <w:rPr>
      <w:rFonts w:ascii="宋体" w:hAnsi="宋体"/>
      <w:kern w:val="0"/>
      <w:sz w:val="18"/>
      <w:szCs w:val="18"/>
      <w:lang w:val="zh-CN"/>
    </w:rPr>
  </w:style>
  <w:style w:type="character" w:customStyle="1" w:styleId="135">
    <w:name w:val="页眉 Char Char"/>
    <w:qFormat/>
    <w:uiPriority w:val="0"/>
    <w:rPr>
      <w:sz w:val="18"/>
    </w:rPr>
  </w:style>
  <w:style w:type="character" w:customStyle="1" w:styleId="136">
    <w:name w:val="Char Char20"/>
    <w:qFormat/>
    <w:uiPriority w:val="0"/>
    <w:rPr>
      <w:rFonts w:eastAsia="黑体"/>
      <w:kern w:val="2"/>
      <w:sz w:val="44"/>
      <w:szCs w:val="44"/>
      <w:lang w:val="en-US" w:eastAsia="zh-CN" w:bidi="ar-SA"/>
    </w:rPr>
  </w:style>
  <w:style w:type="character" w:customStyle="1" w:styleId="137">
    <w:name w:val="cucd-2 Char1"/>
    <w:link w:val="138"/>
    <w:qFormat/>
    <w:uiPriority w:val="0"/>
    <w:rPr>
      <w:rFonts w:ascii="宋体" w:hAnsi="宋体"/>
      <w:b/>
      <w:kern w:val="2"/>
      <w:sz w:val="28"/>
      <w:szCs w:val="28"/>
      <w:lang w:val="en-US" w:eastAsia="zh-CN" w:bidi="ar-SA"/>
    </w:rPr>
  </w:style>
  <w:style w:type="paragraph" w:customStyle="1" w:styleId="138">
    <w:name w:val="cucd-2"/>
    <w:next w:val="1"/>
    <w:link w:val="137"/>
    <w:qFormat/>
    <w:uiPriority w:val="0"/>
    <w:pPr>
      <w:tabs>
        <w:tab w:val="left" w:pos="1134"/>
      </w:tabs>
      <w:spacing w:line="360" w:lineRule="auto"/>
      <w:ind w:left="1134" w:hanging="567"/>
      <w:outlineLvl w:val="1"/>
    </w:pPr>
    <w:rPr>
      <w:rFonts w:ascii="宋体" w:hAnsi="宋体" w:eastAsia="宋体" w:cs="Times New Roman"/>
      <w:b/>
      <w:kern w:val="2"/>
      <w:sz w:val="28"/>
      <w:szCs w:val="28"/>
      <w:lang w:val="en-US" w:eastAsia="zh-CN" w:bidi="ar-SA"/>
    </w:rPr>
  </w:style>
  <w:style w:type="character" w:customStyle="1" w:styleId="139">
    <w:name w:val="Char Char231"/>
    <w:qFormat/>
    <w:uiPriority w:val="0"/>
    <w:rPr>
      <w:rFonts w:ascii="Arial" w:hAnsi="Arial" w:eastAsia="黑体"/>
      <w:b/>
      <w:sz w:val="32"/>
      <w:lang w:val="en-US" w:eastAsia="zh-CN" w:bidi="ar-SA"/>
    </w:rPr>
  </w:style>
  <w:style w:type="character" w:customStyle="1" w:styleId="140">
    <w:name w:val="cucd-0 Char Char"/>
    <w:link w:val="141"/>
    <w:qFormat/>
    <w:uiPriority w:val="0"/>
    <w:rPr>
      <w:kern w:val="2"/>
      <w:sz w:val="24"/>
      <w:szCs w:val="24"/>
      <w:lang w:val="en-US" w:eastAsia="zh-CN" w:bidi="ar-SA"/>
    </w:rPr>
  </w:style>
  <w:style w:type="paragraph" w:customStyle="1" w:styleId="141">
    <w:name w:val="cucd-0"/>
    <w:link w:val="140"/>
    <w:qFormat/>
    <w:uiPriority w:val="0"/>
    <w:pPr>
      <w:spacing w:line="360" w:lineRule="auto"/>
      <w:ind w:firstLine="480" w:firstLineChars="200"/>
    </w:pPr>
    <w:rPr>
      <w:rFonts w:ascii="Times New Roman" w:hAnsi="Times New Roman" w:eastAsia="宋体" w:cs="Times New Roman"/>
      <w:kern w:val="2"/>
      <w:sz w:val="24"/>
      <w:szCs w:val="24"/>
      <w:lang w:val="en-US" w:eastAsia="zh-CN" w:bidi="ar-SA"/>
    </w:rPr>
  </w:style>
  <w:style w:type="character" w:customStyle="1" w:styleId="142">
    <w:name w:val="正文文字2 Char Char"/>
    <w:link w:val="143"/>
    <w:qFormat/>
    <w:uiPriority w:val="0"/>
    <w:rPr>
      <w:rFonts w:ascii="Arial" w:eastAsia="黑体"/>
      <w:sz w:val="21"/>
      <w:lang w:val="en-US" w:eastAsia="zh-CN" w:bidi="ar-SA"/>
    </w:rPr>
  </w:style>
  <w:style w:type="paragraph" w:customStyle="1" w:styleId="143">
    <w:name w:val="正文文字2"/>
    <w:basedOn w:val="21"/>
    <w:link w:val="142"/>
    <w:qFormat/>
    <w:uiPriority w:val="0"/>
    <w:pPr>
      <w:adjustRightInd w:val="0"/>
      <w:spacing w:after="60" w:line="360" w:lineRule="atLeast"/>
      <w:ind w:left="72" w:leftChars="30" w:right="72" w:rightChars="30"/>
      <w:jc w:val="center"/>
      <w:textAlignment w:val="baseline"/>
    </w:pPr>
    <w:rPr>
      <w:rFonts w:ascii="Arial" w:eastAsia="黑体"/>
      <w:kern w:val="0"/>
      <w:sz w:val="21"/>
    </w:rPr>
  </w:style>
  <w:style w:type="paragraph" w:customStyle="1" w:styleId="144">
    <w:name w:val="CM23"/>
    <w:basedOn w:val="22"/>
    <w:next w:val="22"/>
    <w:qFormat/>
    <w:uiPriority w:val="0"/>
    <w:pPr>
      <w:spacing w:after="120"/>
    </w:pPr>
    <w:rPr>
      <w:color w:val="auto"/>
    </w:rPr>
  </w:style>
  <w:style w:type="paragraph" w:customStyle="1" w:styleId="145">
    <w:name w:val="样式 正文首行缩进 + 首行缩进:  2 字符1 Char Char"/>
    <w:basedOn w:val="48"/>
    <w:qFormat/>
    <w:uiPriority w:val="0"/>
    <w:pPr>
      <w:adjustRightInd w:val="0"/>
      <w:spacing w:after="0" w:line="400" w:lineRule="exact"/>
      <w:ind w:firstLine="480" w:firstLineChars="200"/>
      <w:textAlignment w:val="baseline"/>
    </w:pPr>
    <w:rPr>
      <w:rFonts w:eastAsia="仿宋_GB2312" w:cs="宋体"/>
    </w:rPr>
  </w:style>
  <w:style w:type="paragraph" w:customStyle="1" w:styleId="146">
    <w:name w:val="xl22"/>
    <w:basedOn w:val="1"/>
    <w:qFormat/>
    <w:uiPriority w:val="0"/>
    <w:pPr>
      <w:spacing w:before="100" w:beforeAutospacing="1" w:after="100" w:afterAutospacing="1"/>
      <w:jc w:val="center"/>
      <w:textAlignment w:val="center"/>
    </w:pPr>
    <w:rPr>
      <w:rFonts w:ascii="宋体"/>
      <w:sz w:val="24"/>
      <w:szCs w:val="24"/>
    </w:rPr>
  </w:style>
  <w:style w:type="paragraph" w:customStyle="1" w:styleId="147">
    <w:name w:val="1"/>
    <w:basedOn w:val="1"/>
    <w:qFormat/>
    <w:uiPriority w:val="0"/>
    <w:pPr>
      <w:spacing w:after="156" w:afterLines="50" w:line="360" w:lineRule="auto"/>
      <w:jc w:val="center"/>
    </w:pPr>
    <w:rPr>
      <w:rFonts w:ascii="宋体" w:hAnsi="宋体"/>
      <w:b/>
      <w:sz w:val="28"/>
      <w:szCs w:val="28"/>
    </w:rPr>
  </w:style>
  <w:style w:type="paragraph" w:customStyle="1" w:styleId="148">
    <w:name w:val="CM24"/>
    <w:basedOn w:val="22"/>
    <w:next w:val="22"/>
    <w:qFormat/>
    <w:uiPriority w:val="0"/>
    <w:pPr>
      <w:spacing w:after="218"/>
    </w:pPr>
    <w:rPr>
      <w:color w:val="auto"/>
    </w:rPr>
  </w:style>
  <w:style w:type="paragraph" w:customStyle="1" w:styleId="149">
    <w:name w:val="样式 宋体 小四 首行缩进:  1.11 厘米 行距: 1.5 倍行距"/>
    <w:basedOn w:val="1"/>
    <w:qFormat/>
    <w:uiPriority w:val="0"/>
    <w:pPr>
      <w:tabs>
        <w:tab w:val="left" w:pos="720"/>
      </w:tabs>
      <w:spacing w:before="100" w:beforeAutospacing="1" w:after="100" w:afterAutospacing="1" w:line="360" w:lineRule="auto"/>
      <w:ind w:left="720"/>
    </w:pPr>
    <w:rPr>
      <w:rFonts w:ascii="宋体"/>
      <w:color w:val="333300"/>
      <w:sz w:val="24"/>
    </w:rPr>
  </w:style>
  <w:style w:type="paragraph" w:customStyle="1" w:styleId="150">
    <w:name w:val="正文缩进1"/>
    <w:basedOn w:val="1"/>
    <w:qFormat/>
    <w:uiPriority w:val="0"/>
    <w:pPr>
      <w:ind w:firstLine="420"/>
    </w:pPr>
    <w:rPr>
      <w:szCs w:val="24"/>
    </w:rPr>
  </w:style>
  <w:style w:type="paragraph" w:styleId="151">
    <w:name w:val="List Paragraph"/>
    <w:basedOn w:val="1"/>
    <w:qFormat/>
    <w:uiPriority w:val="34"/>
    <w:pPr>
      <w:ind w:firstLine="420" w:firstLineChars="200"/>
    </w:pPr>
  </w:style>
  <w:style w:type="paragraph" w:customStyle="1" w:styleId="152">
    <w:name w:val="空半行"/>
    <w:basedOn w:val="1"/>
    <w:qFormat/>
    <w:uiPriority w:val="0"/>
    <w:pPr>
      <w:adjustRightInd w:val="0"/>
      <w:spacing w:line="120" w:lineRule="exact"/>
      <w:textAlignment w:val="baseline"/>
    </w:pPr>
    <w:rPr>
      <w:rFonts w:eastAsia="仿宋_GB2312"/>
      <w:color w:val="FFFFFF"/>
      <w:sz w:val="30"/>
    </w:rPr>
  </w:style>
  <w:style w:type="paragraph" w:customStyle="1" w:styleId="153">
    <w:name w:val="cucd-3"/>
    <w:next w:val="1"/>
    <w:qFormat/>
    <w:uiPriority w:val="0"/>
    <w:pPr>
      <w:spacing w:line="360" w:lineRule="auto"/>
      <w:ind w:left="709"/>
      <w:jc w:val="center"/>
      <w:outlineLvl w:val="2"/>
    </w:pPr>
    <w:rPr>
      <w:rFonts w:ascii="Times New Roman" w:hAnsi="Times New Roman" w:eastAsia="宋体" w:cs="Times New Roman"/>
      <w:kern w:val="2"/>
      <w:sz w:val="28"/>
      <w:szCs w:val="24"/>
      <w:lang w:val="en-US" w:eastAsia="zh-CN" w:bidi="ar-SA"/>
    </w:rPr>
  </w:style>
  <w:style w:type="paragraph" w:customStyle="1" w:styleId="154">
    <w:name w:val="普通(Web)23"/>
    <w:basedOn w:val="1"/>
    <w:qFormat/>
    <w:uiPriority w:val="0"/>
    <w:pPr>
      <w:spacing w:after="75" w:line="360" w:lineRule="atLeast"/>
    </w:pPr>
    <w:rPr>
      <w:rFonts w:ascii="宋体" w:hAnsi="宋体" w:cs="宋体"/>
      <w:sz w:val="24"/>
      <w:szCs w:val="24"/>
    </w:rPr>
  </w:style>
  <w:style w:type="paragraph" w:customStyle="1" w:styleId="155">
    <w:name w:val="样式 小四 段前: 5 磅 段后: 5 磅 首行缩进:  2 字符"/>
    <w:basedOn w:val="1"/>
    <w:qFormat/>
    <w:uiPriority w:val="0"/>
    <w:pPr>
      <w:spacing w:line="280" w:lineRule="exact"/>
      <w:jc w:val="center"/>
    </w:pPr>
    <w:rPr>
      <w:rFonts w:ascii="宋体" w:hAnsi="宋体"/>
      <w:snapToGrid w:val="0"/>
      <w:spacing w:val="-6"/>
      <w:sz w:val="24"/>
      <w:szCs w:val="24"/>
    </w:rPr>
  </w:style>
  <w:style w:type="paragraph" w:customStyle="1" w:styleId="156">
    <w:name w:val="批注框文本1"/>
    <w:basedOn w:val="1"/>
    <w:qFormat/>
    <w:uiPriority w:val="0"/>
    <w:rPr>
      <w:sz w:val="18"/>
      <w:szCs w:val="18"/>
    </w:rPr>
  </w:style>
  <w:style w:type="paragraph" w:customStyle="1" w:styleId="157">
    <w:name w:val="注"/>
    <w:basedOn w:val="1"/>
    <w:qFormat/>
    <w:uiPriority w:val="0"/>
    <w:pPr>
      <w:adjustRightInd w:val="0"/>
      <w:spacing w:line="360" w:lineRule="atLeast"/>
      <w:ind w:left="840" w:hanging="420"/>
      <w:textAlignment w:val="baseline"/>
    </w:pPr>
  </w:style>
  <w:style w:type="paragraph" w:customStyle="1" w:styleId="158">
    <w:name w:val="表中文字"/>
    <w:basedOn w:val="1"/>
    <w:qFormat/>
    <w:uiPriority w:val="0"/>
    <w:pPr>
      <w:adjustRightInd w:val="0"/>
      <w:snapToGrid w:val="0"/>
      <w:spacing w:line="360" w:lineRule="auto"/>
      <w:jc w:val="center"/>
    </w:pPr>
    <w:rPr>
      <w:rFonts w:ascii="Arial" w:hAnsi="Arial" w:cs="Arial"/>
      <w:sz w:val="24"/>
      <w:szCs w:val="24"/>
    </w:rPr>
  </w:style>
  <w:style w:type="paragraph" w:customStyle="1" w:styleId="159">
    <w:name w:val="表格"/>
    <w:basedOn w:val="1"/>
    <w:qFormat/>
    <w:uiPriority w:val="0"/>
    <w:pPr>
      <w:adjustRightInd w:val="0"/>
      <w:spacing w:before="160" w:line="400" w:lineRule="exact"/>
      <w:jc w:val="center"/>
      <w:textAlignment w:val="baseline"/>
    </w:pPr>
    <w:rPr>
      <w:spacing w:val="20"/>
      <w:sz w:val="24"/>
    </w:rPr>
  </w:style>
  <w:style w:type="paragraph" w:customStyle="1" w:styleId="160">
    <w:name w:val="Zchn Zchn Char Char"/>
    <w:basedOn w:val="1"/>
    <w:qFormat/>
    <w:uiPriority w:val="0"/>
    <w:pPr>
      <w:adjustRightInd w:val="0"/>
      <w:spacing w:line="360" w:lineRule="auto"/>
    </w:pPr>
    <w:rPr>
      <w:sz w:val="24"/>
    </w:rPr>
  </w:style>
  <w:style w:type="paragraph" w:customStyle="1" w:styleId="161">
    <w:name w:val="Char1 Char Char Char1 Char Char Char Char Char Char Char Char Char"/>
    <w:basedOn w:val="17"/>
    <w:qFormat/>
    <w:uiPriority w:val="0"/>
    <w:pPr>
      <w:adjustRightInd w:val="0"/>
      <w:spacing w:line="436" w:lineRule="exact"/>
      <w:ind w:left="357"/>
      <w:outlineLvl w:val="3"/>
    </w:pPr>
    <w:rPr>
      <w:rFonts w:ascii="Tahoma" w:hAnsi="Tahoma"/>
      <w:b/>
      <w:kern w:val="2"/>
      <w:sz w:val="24"/>
      <w:szCs w:val="24"/>
    </w:rPr>
  </w:style>
  <w:style w:type="character" w:customStyle="1" w:styleId="162">
    <w:name w:val="页眉 字符"/>
    <w:link w:val="33"/>
    <w:qFormat/>
    <w:uiPriority w:val="99"/>
    <w:rPr>
      <w:kern w:val="2"/>
      <w:sz w:val="18"/>
    </w:rPr>
  </w:style>
  <w:style w:type="paragraph" w:customStyle="1" w:styleId="163">
    <w:name w:val="Level 1"/>
    <w:basedOn w:val="1"/>
    <w:qFormat/>
    <w:uiPriority w:val="0"/>
    <w:pPr>
      <w:tabs>
        <w:tab w:val="left" w:pos="851"/>
      </w:tabs>
      <w:spacing w:after="240" w:line="312" w:lineRule="auto"/>
      <w:ind w:left="851" w:hanging="851"/>
      <w:outlineLvl w:val="0"/>
    </w:pPr>
    <w:rPr>
      <w:sz w:val="24"/>
      <w:lang w:val="en-GB" w:eastAsia="en-US"/>
    </w:rPr>
  </w:style>
  <w:style w:type="paragraph" w:customStyle="1" w:styleId="164">
    <w:name w:val="panj"/>
    <w:basedOn w:val="1"/>
    <w:qFormat/>
    <w:uiPriority w:val="0"/>
    <w:pPr>
      <w:spacing w:line="440" w:lineRule="exact"/>
      <w:ind w:firstLine="200" w:firstLineChars="200"/>
    </w:pPr>
    <w:rPr>
      <w:sz w:val="24"/>
      <w:szCs w:val="24"/>
    </w:rPr>
  </w:style>
  <w:style w:type="paragraph" w:customStyle="1" w:styleId="165">
    <w:name w:val="Char Char Char Char Char Char Char"/>
    <w:basedOn w:val="1"/>
    <w:qFormat/>
    <w:uiPriority w:val="0"/>
    <w:pPr>
      <w:snapToGrid w:val="0"/>
      <w:spacing w:after="160" w:line="360" w:lineRule="auto"/>
    </w:pPr>
    <w:rPr>
      <w:sz w:val="24"/>
      <w:szCs w:val="24"/>
      <w:lang w:eastAsia="en-US"/>
    </w:rPr>
  </w:style>
  <w:style w:type="paragraph" w:customStyle="1" w:styleId="166">
    <w:name w:val="样式 cucd-0 + 宋体"/>
    <w:basedOn w:val="1"/>
    <w:qFormat/>
    <w:uiPriority w:val="0"/>
    <w:pPr>
      <w:spacing w:line="360" w:lineRule="auto"/>
      <w:ind w:firstLine="480" w:firstLineChars="200"/>
    </w:pPr>
    <w:rPr>
      <w:rFonts w:ascii="宋体" w:hAnsi="宋体"/>
      <w:sz w:val="24"/>
      <w:szCs w:val="24"/>
    </w:rPr>
  </w:style>
  <w:style w:type="paragraph" w:customStyle="1" w:styleId="167">
    <w:name w:val="样式"/>
    <w:qFormat/>
    <w:uiPriority w:val="0"/>
    <w:pPr>
      <w:widowControl w:val="0"/>
      <w:adjustRightInd w:val="0"/>
      <w:spacing w:line="360" w:lineRule="auto"/>
      <w:ind w:firstLine="482"/>
      <w:jc w:val="both"/>
      <w:textAlignment w:val="baseline"/>
    </w:pPr>
    <w:rPr>
      <w:rFonts w:ascii="Times New Roman" w:hAnsi="Times New Roman" w:eastAsia="宋体" w:cs="Times New Roman"/>
      <w:sz w:val="24"/>
      <w:lang w:val="en-US" w:eastAsia="zh-CN" w:bidi="ar-SA"/>
    </w:rPr>
  </w:style>
  <w:style w:type="paragraph" w:customStyle="1" w:styleId="168">
    <w:name w:val="TOC 标题1"/>
    <w:basedOn w:val="4"/>
    <w:next w:val="1"/>
    <w:qFormat/>
    <w:uiPriority w:val="39"/>
    <w:pPr>
      <w:widowControl/>
      <w:spacing w:before="480" w:after="0" w:line="276" w:lineRule="auto"/>
      <w:jc w:val="left"/>
      <w:outlineLvl w:val="9"/>
    </w:pPr>
    <w:rPr>
      <w:rFonts w:ascii="Cambria" w:hAnsi="Cambria"/>
      <w:bCs/>
      <w:color w:val="365F91"/>
      <w:kern w:val="0"/>
      <w:sz w:val="28"/>
      <w:szCs w:val="28"/>
    </w:rPr>
  </w:style>
  <w:style w:type="paragraph" w:customStyle="1" w:styleId="169">
    <w:name w:val="标题2.2.1"/>
    <w:basedOn w:val="1"/>
    <w:qFormat/>
    <w:uiPriority w:val="0"/>
    <w:pPr>
      <w:tabs>
        <w:tab w:val="left" w:pos="-164"/>
      </w:tabs>
      <w:ind w:left="1418" w:hanging="1582"/>
    </w:pPr>
    <w:rPr>
      <w:szCs w:val="24"/>
    </w:rPr>
  </w:style>
  <w:style w:type="paragraph" w:customStyle="1" w:styleId="170">
    <w:name w:val="TOC 标题11"/>
    <w:basedOn w:val="4"/>
    <w:next w:val="1"/>
    <w:qFormat/>
    <w:uiPriority w:val="0"/>
    <w:pPr>
      <w:widowControl/>
      <w:spacing w:before="480" w:after="0" w:line="276" w:lineRule="auto"/>
      <w:jc w:val="left"/>
      <w:outlineLvl w:val="9"/>
    </w:pPr>
    <w:rPr>
      <w:rFonts w:ascii="Cambria" w:hAnsi="Cambria"/>
      <w:bCs/>
      <w:color w:val="365F91"/>
      <w:kern w:val="0"/>
      <w:sz w:val="28"/>
      <w:szCs w:val="28"/>
    </w:rPr>
  </w:style>
  <w:style w:type="paragraph" w:customStyle="1" w:styleId="171">
    <w:name w:val="CM21"/>
    <w:basedOn w:val="22"/>
    <w:next w:val="22"/>
    <w:qFormat/>
    <w:uiPriority w:val="0"/>
    <w:pPr>
      <w:spacing w:line="228" w:lineRule="atLeast"/>
    </w:pPr>
    <w:rPr>
      <w:color w:val="auto"/>
    </w:rPr>
  </w:style>
  <w:style w:type="paragraph" w:customStyle="1" w:styleId="172">
    <w:name w:val="表文字"/>
    <w:basedOn w:val="1"/>
    <w:qFormat/>
    <w:uiPriority w:val="0"/>
    <w:pPr>
      <w:wordWrap w:val="0"/>
      <w:adjustRightInd w:val="0"/>
      <w:snapToGrid w:val="0"/>
    </w:pPr>
  </w:style>
  <w:style w:type="paragraph" w:customStyle="1" w:styleId="173">
    <w:name w:val="列出段落1"/>
    <w:basedOn w:val="1"/>
    <w:qFormat/>
    <w:uiPriority w:val="0"/>
    <w:pPr>
      <w:ind w:firstLine="420" w:firstLineChars="200"/>
    </w:pPr>
    <w:rPr>
      <w:szCs w:val="24"/>
    </w:rPr>
  </w:style>
  <w:style w:type="paragraph" w:customStyle="1" w:styleId="174">
    <w:name w:val="纯文本1"/>
    <w:basedOn w:val="1"/>
    <w:qFormat/>
    <w:uiPriority w:val="0"/>
    <w:pPr>
      <w:adjustRightInd w:val="0"/>
      <w:textAlignment w:val="baseline"/>
    </w:pPr>
    <w:rPr>
      <w:rFonts w:ascii="宋体" w:hAnsi="Courier New"/>
    </w:rPr>
  </w:style>
  <w:style w:type="character" w:customStyle="1" w:styleId="175">
    <w:name w:val="页脚 字符"/>
    <w:link w:val="32"/>
    <w:qFormat/>
    <w:uiPriority w:val="99"/>
    <w:rPr>
      <w:kern w:val="2"/>
      <w:sz w:val="18"/>
    </w:rPr>
  </w:style>
  <w:style w:type="paragraph" w:customStyle="1" w:styleId="176">
    <w:name w:val="Char Char Char Char Char Char Char Char Char"/>
    <w:basedOn w:val="1"/>
    <w:qFormat/>
    <w:uiPriority w:val="0"/>
    <w:pPr>
      <w:spacing w:after="160" w:line="240" w:lineRule="exact"/>
    </w:pPr>
    <w:rPr>
      <w:szCs w:val="24"/>
    </w:rPr>
  </w:style>
  <w:style w:type="paragraph" w:customStyle="1" w:styleId="177">
    <w:name w:val="body 2"/>
    <w:basedOn w:val="5"/>
    <w:qFormat/>
    <w:uiPriority w:val="0"/>
    <w:pPr>
      <w:keepNext w:val="0"/>
      <w:keepLines w:val="0"/>
      <w:widowControl/>
      <w:adjustRightInd/>
      <w:spacing w:before="120" w:after="0" w:line="240" w:lineRule="auto"/>
      <w:textAlignment w:val="auto"/>
      <w:outlineLvl w:val="9"/>
    </w:pPr>
    <w:rPr>
      <w:rFonts w:eastAsia="宋体"/>
      <w:b w:val="0"/>
      <w:sz w:val="20"/>
      <w:lang w:eastAsia="en-US"/>
    </w:rPr>
  </w:style>
  <w:style w:type="paragraph" w:customStyle="1" w:styleId="178">
    <w:name w:val="xl25"/>
    <w:basedOn w:val="1"/>
    <w:qFormat/>
    <w:uiPriority w:val="0"/>
    <w:pPr>
      <w:pBdr>
        <w:bottom w:val="single" w:color="auto" w:sz="4" w:space="0"/>
        <w:right w:val="single" w:color="auto" w:sz="4" w:space="0"/>
      </w:pBdr>
      <w:spacing w:before="100" w:beforeAutospacing="1" w:after="100" w:afterAutospacing="1"/>
      <w:jc w:val="center"/>
    </w:pPr>
    <w:rPr>
      <w:rFonts w:ascii="宋体" w:hAnsi="宋体"/>
      <w:szCs w:val="21"/>
    </w:rPr>
  </w:style>
  <w:style w:type="paragraph" w:customStyle="1" w:styleId="179">
    <w:name w:val="note 2"/>
    <w:basedOn w:val="177"/>
    <w:qFormat/>
    <w:uiPriority w:val="0"/>
    <w:pPr>
      <w:ind w:left="1260" w:hanging="1080"/>
      <w:jc w:val="left"/>
    </w:pPr>
    <w:rPr>
      <w:b/>
    </w:rPr>
  </w:style>
  <w:style w:type="paragraph" w:customStyle="1" w:styleId="180">
    <w:name w:val="CM1"/>
    <w:basedOn w:val="22"/>
    <w:next w:val="22"/>
    <w:qFormat/>
    <w:uiPriority w:val="0"/>
    <w:pPr>
      <w:spacing w:line="191" w:lineRule="atLeast"/>
    </w:pPr>
    <w:rPr>
      <w:color w:val="auto"/>
    </w:rPr>
  </w:style>
  <w:style w:type="paragraph" w:customStyle="1" w:styleId="181">
    <w:name w:val="Text"/>
    <w:basedOn w:val="1"/>
    <w:qFormat/>
    <w:uiPriority w:val="0"/>
    <w:rPr>
      <w:rFonts w:ascii="Arial" w:hAnsi="Arial"/>
      <w:lang w:val="en-GB" w:eastAsia="de-DE"/>
    </w:rPr>
  </w:style>
  <w:style w:type="paragraph" w:customStyle="1" w:styleId="182">
    <w:name w:val="标题1.1"/>
    <w:basedOn w:val="1"/>
    <w:qFormat/>
    <w:uiPriority w:val="0"/>
    <w:pPr>
      <w:tabs>
        <w:tab w:val="left" w:pos="1"/>
      </w:tabs>
      <w:spacing w:line="440" w:lineRule="exact"/>
      <w:ind w:firstLine="1"/>
      <w:outlineLvl w:val="1"/>
    </w:pPr>
    <w:rPr>
      <w:rFonts w:ascii="宋体" w:hAnsi="宋体"/>
      <w:b/>
      <w:sz w:val="28"/>
      <w:szCs w:val="24"/>
    </w:rPr>
  </w:style>
  <w:style w:type="paragraph" w:customStyle="1" w:styleId="183">
    <w:name w:val="text level 2"/>
    <w:qFormat/>
    <w:uiPriority w:val="0"/>
    <w:pPr>
      <w:overflowPunct w:val="0"/>
      <w:autoSpaceDE w:val="0"/>
      <w:autoSpaceDN w:val="0"/>
      <w:adjustRightInd w:val="0"/>
      <w:ind w:left="720"/>
      <w:jc w:val="both"/>
      <w:textAlignment w:val="baseline"/>
    </w:pPr>
    <w:rPr>
      <w:rFonts w:ascii="CG Times (W1)" w:hAnsi="CG Times (W1)" w:eastAsia="宋体" w:cs="Times New Roman"/>
      <w:sz w:val="24"/>
      <w:lang w:val="en-US" w:eastAsia="zh-CN" w:bidi="ar-SA"/>
    </w:rPr>
  </w:style>
  <w:style w:type="paragraph" w:customStyle="1" w:styleId="184">
    <w:name w:val="修订1"/>
    <w:qFormat/>
    <w:uiPriority w:val="99"/>
    <w:rPr>
      <w:rFonts w:ascii="Times New Roman" w:hAnsi="Times New Roman" w:eastAsia="宋体" w:cs="Times New Roman"/>
      <w:kern w:val="2"/>
      <w:sz w:val="21"/>
      <w:szCs w:val="24"/>
      <w:lang w:val="en-US" w:eastAsia="zh-CN" w:bidi="ar-SA"/>
    </w:rPr>
  </w:style>
  <w:style w:type="paragraph" w:customStyle="1" w:styleId="185">
    <w:name w:val="Heading 2a"/>
    <w:basedOn w:val="5"/>
    <w:qFormat/>
    <w:uiPriority w:val="0"/>
    <w:pPr>
      <w:widowControl/>
      <w:adjustRightInd/>
      <w:spacing w:before="320" w:after="0" w:line="300" w:lineRule="exact"/>
      <w:jc w:val="left"/>
      <w:textAlignment w:val="auto"/>
    </w:pPr>
    <w:rPr>
      <w:rFonts w:eastAsia="Batang"/>
      <w:b w:val="0"/>
      <w:i/>
      <w:sz w:val="20"/>
      <w:lang w:val="en-GB" w:eastAsia="en-US"/>
    </w:rPr>
  </w:style>
  <w:style w:type="paragraph" w:customStyle="1" w:styleId="186">
    <w:name w:val="List Paragraph1"/>
    <w:basedOn w:val="1"/>
    <w:qFormat/>
    <w:uiPriority w:val="0"/>
    <w:pPr>
      <w:ind w:firstLine="420" w:firstLineChars="200"/>
    </w:pPr>
    <w:rPr>
      <w:rFonts w:ascii="Calibri" w:hAnsi="Calibri"/>
      <w:szCs w:val="22"/>
    </w:rPr>
  </w:style>
  <w:style w:type="paragraph" w:customStyle="1" w:styleId="187">
    <w:name w:val="样式1"/>
    <w:basedOn w:val="1"/>
    <w:qFormat/>
    <w:uiPriority w:val="0"/>
    <w:pPr>
      <w:autoSpaceDE w:val="0"/>
      <w:autoSpaceDN w:val="0"/>
      <w:adjustRightInd w:val="0"/>
      <w:spacing w:after="120"/>
      <w:textAlignment w:val="baseline"/>
    </w:pPr>
    <w:rPr>
      <w:rFonts w:ascii="宋体" w:hAnsi="Tms Rmn"/>
      <w:sz w:val="24"/>
    </w:rPr>
  </w:style>
  <w:style w:type="paragraph" w:customStyle="1" w:styleId="188">
    <w:name w:val="Char"/>
    <w:basedOn w:val="1"/>
    <w:qFormat/>
    <w:uiPriority w:val="0"/>
    <w:rPr>
      <w:rFonts w:ascii="Tahoma" w:hAnsi="Tahoma"/>
      <w:sz w:val="24"/>
    </w:rPr>
  </w:style>
  <w:style w:type="paragraph" w:customStyle="1" w:styleId="189">
    <w:name w:val="cucd-1"/>
    <w:next w:val="138"/>
    <w:qFormat/>
    <w:uiPriority w:val="0"/>
    <w:pPr>
      <w:pageBreakBefore/>
      <w:tabs>
        <w:tab w:val="left" w:pos="425"/>
      </w:tabs>
      <w:spacing w:before="312" w:beforeLines="100" w:after="156" w:afterLines="50" w:line="360" w:lineRule="auto"/>
      <w:ind w:left="425" w:hanging="425"/>
      <w:jc w:val="center"/>
      <w:outlineLvl w:val="0"/>
    </w:pPr>
    <w:rPr>
      <w:rFonts w:ascii="Times New Roman" w:hAnsi="Times New Roman" w:eastAsia="黑体" w:cs="Times New Roman"/>
      <w:b/>
      <w:kern w:val="2"/>
      <w:sz w:val="36"/>
      <w:szCs w:val="24"/>
      <w:lang w:val="en-US" w:eastAsia="zh-CN" w:bidi="ar-SA"/>
    </w:rPr>
  </w:style>
  <w:style w:type="paragraph" w:customStyle="1" w:styleId="190">
    <w:name w:val="Level 2"/>
    <w:basedOn w:val="1"/>
    <w:qFormat/>
    <w:uiPriority w:val="0"/>
    <w:pPr>
      <w:tabs>
        <w:tab w:val="left" w:pos="851"/>
      </w:tabs>
      <w:spacing w:after="240" w:line="312" w:lineRule="auto"/>
      <w:ind w:left="851" w:hanging="851"/>
      <w:outlineLvl w:val="1"/>
    </w:pPr>
    <w:rPr>
      <w:sz w:val="24"/>
      <w:lang w:val="en-GB" w:eastAsia="en-US"/>
    </w:rPr>
  </w:style>
  <w:style w:type="paragraph" w:customStyle="1" w:styleId="191">
    <w:name w:val="Char11"/>
    <w:basedOn w:val="1"/>
    <w:qFormat/>
    <w:uiPriority w:val="0"/>
    <w:pPr>
      <w:spacing w:after="160" w:line="240" w:lineRule="exact"/>
    </w:pPr>
  </w:style>
  <w:style w:type="paragraph" w:customStyle="1" w:styleId="192">
    <w:name w:val="flNote"/>
    <w:basedOn w:val="1"/>
    <w:qFormat/>
    <w:uiPriority w:val="0"/>
    <w:pPr>
      <w:adjustRightInd w:val="0"/>
      <w:spacing w:before="320" w:after="160" w:line="360" w:lineRule="atLeast"/>
      <w:jc w:val="center"/>
      <w:textAlignment w:val="baseline"/>
    </w:pPr>
    <w:rPr>
      <w:rFonts w:ascii="Arial" w:eastAsia="黑体"/>
      <w:sz w:val="30"/>
    </w:rPr>
  </w:style>
  <w:style w:type="paragraph" w:customStyle="1" w:styleId="193">
    <w:name w:val="ｽﾀｲﾙ1"/>
    <w:basedOn w:val="1"/>
    <w:qFormat/>
    <w:uiPriority w:val="0"/>
    <w:pPr>
      <w:adjustRightInd w:val="0"/>
      <w:snapToGrid w:val="0"/>
      <w:spacing w:before="60" w:after="60"/>
      <w:textAlignment w:val="baseline"/>
    </w:pPr>
    <w:rPr>
      <w:rFonts w:ascii="Arial" w:hAnsi="Arial" w:eastAsia="MS Gothic"/>
      <w:lang w:eastAsia="ja-JP"/>
    </w:rPr>
  </w:style>
  <w:style w:type="paragraph" w:customStyle="1" w:styleId="194">
    <w:name w:val="2"/>
    <w:basedOn w:val="1"/>
    <w:next w:val="9"/>
    <w:qFormat/>
    <w:uiPriority w:val="0"/>
    <w:pPr>
      <w:ind w:left="708"/>
    </w:pPr>
    <w:rPr>
      <w:rFonts w:ascii="CG Times (WN)" w:hAnsi="CG Times (WN)"/>
      <w:sz w:val="24"/>
      <w:lang w:val="de-DE" w:eastAsia="de-DE"/>
    </w:rPr>
  </w:style>
  <w:style w:type="paragraph" w:customStyle="1" w:styleId="195">
    <w:name w:val="Char Char Char1 Char Char Char Char Char Char Char"/>
    <w:basedOn w:val="1"/>
    <w:qFormat/>
    <w:uiPriority w:val="0"/>
    <w:pPr>
      <w:autoSpaceDE w:val="0"/>
      <w:autoSpaceDN w:val="0"/>
    </w:pPr>
    <w:rPr>
      <w:rFonts w:ascii="Tahoma" w:hAnsi="Tahoma"/>
      <w:sz w:val="24"/>
    </w:rPr>
  </w:style>
  <w:style w:type="paragraph" w:customStyle="1" w:styleId="196">
    <w:name w:val="目录文字"/>
    <w:basedOn w:val="1"/>
    <w:qFormat/>
    <w:uiPriority w:val="0"/>
    <w:pPr>
      <w:spacing w:line="480" w:lineRule="auto"/>
    </w:pPr>
    <w:rPr>
      <w:rFonts w:ascii="宋体" w:hAnsi="宋体"/>
      <w:sz w:val="24"/>
    </w:rPr>
  </w:style>
  <w:style w:type="paragraph" w:customStyle="1" w:styleId="197">
    <w:name w:val="Char Char Char Char Char Char Char Char Char Char Char Char Char Char Char Char Char"/>
    <w:basedOn w:val="1"/>
    <w:qFormat/>
    <w:uiPriority w:val="0"/>
    <w:rPr>
      <w:rFonts w:ascii="仿宋_GB2312" w:hAnsi="宋体" w:eastAsia="仿宋_GB2312"/>
      <w:b/>
      <w:sz w:val="28"/>
      <w:szCs w:val="28"/>
    </w:rPr>
  </w:style>
  <w:style w:type="paragraph" w:customStyle="1" w:styleId="198">
    <w:name w:val="Char Char2"/>
    <w:basedOn w:val="1"/>
    <w:qFormat/>
    <w:uiPriority w:val="0"/>
    <w:pPr>
      <w:jc w:val="center"/>
    </w:pPr>
    <w:rPr>
      <w:rFonts w:ascii="宋体"/>
      <w:szCs w:val="21"/>
    </w:rPr>
  </w:style>
  <w:style w:type="paragraph" w:customStyle="1" w:styleId="199">
    <w:name w:val="Robot List Items 2"/>
    <w:basedOn w:val="1"/>
    <w:qFormat/>
    <w:uiPriority w:val="0"/>
    <w:pPr>
      <w:tabs>
        <w:tab w:val="left" w:pos="1068"/>
      </w:tabs>
      <w:ind w:left="1068" w:hanging="360"/>
    </w:pPr>
    <w:rPr>
      <w:rFonts w:ascii="Arial" w:hAnsi="Arial"/>
      <w:sz w:val="18"/>
      <w:lang w:eastAsia="en-US"/>
    </w:rPr>
  </w:style>
  <w:style w:type="paragraph" w:customStyle="1" w:styleId="200">
    <w:name w:val="样式2"/>
    <w:basedOn w:val="1"/>
    <w:qFormat/>
    <w:uiPriority w:val="0"/>
    <w:pPr>
      <w:adjustRightInd w:val="0"/>
      <w:spacing w:line="410" w:lineRule="atLeast"/>
      <w:textAlignment w:val="baseline"/>
    </w:pPr>
  </w:style>
  <w:style w:type="paragraph" w:customStyle="1" w:styleId="201">
    <w:name w:val="Char Char1 Char Char Char Char"/>
    <w:basedOn w:val="1"/>
    <w:qFormat/>
    <w:uiPriority w:val="0"/>
    <w:rPr>
      <w:rFonts w:eastAsia="楷体_GB2312"/>
      <w:sz w:val="32"/>
    </w:rPr>
  </w:style>
  <w:style w:type="paragraph" w:customStyle="1" w:styleId="202">
    <w:name w:val="1 Char Char Char Char"/>
    <w:basedOn w:val="1"/>
    <w:qFormat/>
    <w:uiPriority w:val="0"/>
    <w:rPr>
      <w:rFonts w:ascii="Tahoma" w:hAnsi="Tahoma"/>
      <w:sz w:val="24"/>
    </w:rPr>
  </w:style>
  <w:style w:type="paragraph" w:customStyle="1" w:styleId="203">
    <w:name w:val="Char1"/>
    <w:basedOn w:val="1"/>
    <w:qFormat/>
    <w:uiPriority w:val="0"/>
    <w:rPr>
      <w:rFonts w:ascii="Tahoma" w:hAnsi="Tahoma"/>
      <w:sz w:val="24"/>
    </w:rPr>
  </w:style>
  <w:style w:type="paragraph" w:customStyle="1" w:styleId="204">
    <w:name w:val="Char Char Char Char"/>
    <w:basedOn w:val="1"/>
    <w:qFormat/>
    <w:uiPriority w:val="0"/>
    <w:rPr>
      <w:szCs w:val="24"/>
    </w:rPr>
  </w:style>
  <w:style w:type="paragraph" w:customStyle="1" w:styleId="205">
    <w:name w:val="正文 New"/>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206">
    <w:name w:val="尾注文本 字符"/>
    <w:link w:val="30"/>
    <w:semiHidden/>
    <w:qFormat/>
    <w:locked/>
    <w:uiPriority w:val="0"/>
    <w:rPr>
      <w:rFonts w:eastAsia="??"/>
      <w:color w:val="000000"/>
      <w:sz w:val="24"/>
      <w:szCs w:val="24"/>
    </w:rPr>
  </w:style>
  <w:style w:type="character" w:customStyle="1" w:styleId="207">
    <w:name w:val="尾注文本 Char"/>
    <w:semiHidden/>
    <w:qFormat/>
    <w:uiPriority w:val="0"/>
    <w:rPr>
      <w:kern w:val="2"/>
      <w:sz w:val="21"/>
    </w:rPr>
  </w:style>
  <w:style w:type="character" w:customStyle="1" w:styleId="208">
    <w:name w:val="签名 Char"/>
    <w:link w:val="209"/>
    <w:qFormat/>
    <w:locked/>
    <w:uiPriority w:val="0"/>
    <w:rPr>
      <w:rFonts w:ascii="??" w:hAnsi="??" w:eastAsia="??"/>
      <w:color w:val="000000"/>
      <w:sz w:val="24"/>
      <w:lang w:eastAsia="en-US"/>
    </w:rPr>
  </w:style>
  <w:style w:type="paragraph" w:customStyle="1" w:styleId="209">
    <w:name w:val="签名1"/>
    <w:basedOn w:val="1"/>
    <w:link w:val="208"/>
    <w:qFormat/>
    <w:uiPriority w:val="0"/>
    <w:pPr>
      <w:widowControl/>
      <w:ind w:left="4410" w:leftChars="2100"/>
      <w:jc w:val="left"/>
    </w:pPr>
    <w:rPr>
      <w:rFonts w:ascii="??" w:hAnsi="??" w:eastAsia="??"/>
      <w:color w:val="000000"/>
      <w:kern w:val="0"/>
      <w:sz w:val="24"/>
      <w:lang w:val="zh-CN" w:eastAsia="en-US"/>
    </w:rPr>
  </w:style>
  <w:style w:type="character" w:customStyle="1" w:styleId="210">
    <w:name w:val="信息标题 Char"/>
    <w:link w:val="211"/>
    <w:qFormat/>
    <w:locked/>
    <w:uiPriority w:val="0"/>
    <w:rPr>
      <w:rFonts w:ascii="Arial" w:hAnsi="Arial" w:eastAsia="??" w:cs="Arial"/>
      <w:color w:val="000000"/>
      <w:sz w:val="24"/>
      <w:szCs w:val="24"/>
      <w:shd w:val="pct20" w:color="auto" w:fill="auto"/>
    </w:rPr>
  </w:style>
  <w:style w:type="paragraph" w:customStyle="1" w:styleId="211">
    <w:name w:val="信息标题1"/>
    <w:basedOn w:val="1"/>
    <w:link w:val="210"/>
    <w:qFormat/>
    <w:uiPriority w:val="0"/>
    <w:pPr>
      <w:pBdr>
        <w:top w:val="single" w:color="auto" w:sz="6" w:space="1"/>
        <w:left w:val="single" w:color="auto" w:sz="6" w:space="1"/>
        <w:bottom w:val="single" w:color="auto" w:sz="6" w:space="1"/>
        <w:right w:val="single" w:color="auto" w:sz="6" w:space="1"/>
      </w:pBdr>
      <w:shd w:val="pct20" w:color="auto" w:fill="auto"/>
      <w:ind w:left="1550" w:leftChars="500" w:hanging="500" w:hangingChars="500"/>
    </w:pPr>
    <w:rPr>
      <w:rFonts w:ascii="Arial" w:hAnsi="Arial" w:eastAsia="??"/>
      <w:color w:val="000000"/>
      <w:kern w:val="0"/>
      <w:sz w:val="24"/>
      <w:szCs w:val="24"/>
      <w:lang w:val="zh-CN"/>
    </w:rPr>
  </w:style>
  <w:style w:type="paragraph" w:customStyle="1" w:styleId="212">
    <w:name w:val="正文首行缩进 21"/>
    <w:basedOn w:val="213"/>
    <w:qFormat/>
    <w:uiPriority w:val="0"/>
  </w:style>
  <w:style w:type="paragraph" w:customStyle="1" w:styleId="213">
    <w:name w:val="正文文本缩进1"/>
    <w:basedOn w:val="1"/>
    <w:qFormat/>
    <w:uiPriority w:val="0"/>
    <w:pPr>
      <w:spacing w:after="120"/>
      <w:ind w:left="420" w:leftChars="200"/>
    </w:pPr>
    <w:rPr>
      <w:rFonts w:ascii="??" w:hAnsi="??" w:eastAsia="??"/>
      <w:color w:val="000000"/>
      <w:kern w:val="0"/>
      <w:sz w:val="20"/>
      <w:szCs w:val="24"/>
    </w:rPr>
  </w:style>
  <w:style w:type="character" w:customStyle="1" w:styleId="214">
    <w:name w:val="结束语 Char"/>
    <w:link w:val="215"/>
    <w:qFormat/>
    <w:locked/>
    <w:uiPriority w:val="0"/>
    <w:rPr>
      <w:rFonts w:ascii="??" w:hAnsi="??" w:eastAsia="??"/>
      <w:color w:val="000000"/>
      <w:sz w:val="24"/>
      <w:lang w:eastAsia="en-US"/>
    </w:rPr>
  </w:style>
  <w:style w:type="paragraph" w:customStyle="1" w:styleId="215">
    <w:name w:val="结束语1"/>
    <w:basedOn w:val="1"/>
    <w:link w:val="214"/>
    <w:qFormat/>
    <w:uiPriority w:val="0"/>
    <w:pPr>
      <w:widowControl/>
      <w:ind w:left="4410" w:leftChars="2100"/>
      <w:jc w:val="left"/>
    </w:pPr>
    <w:rPr>
      <w:rFonts w:ascii="??" w:hAnsi="??" w:eastAsia="??"/>
      <w:color w:val="000000"/>
      <w:kern w:val="0"/>
      <w:sz w:val="24"/>
      <w:lang w:val="zh-CN" w:eastAsia="en-US"/>
    </w:rPr>
  </w:style>
  <w:style w:type="paragraph" w:customStyle="1" w:styleId="216">
    <w:name w:val="正文首行缩进1"/>
    <w:basedOn w:val="21"/>
    <w:qFormat/>
    <w:uiPriority w:val="0"/>
  </w:style>
  <w:style w:type="paragraph" w:customStyle="1" w:styleId="217">
    <w:name w:val="ÕýÎÄ"/>
    <w:qFormat/>
    <w:uiPriority w:val="0"/>
    <w:pPr>
      <w:tabs>
        <w:tab w:val="left" w:pos="630"/>
      </w:tabs>
      <w:overflowPunct w:val="0"/>
      <w:autoSpaceDE w:val="0"/>
      <w:autoSpaceDN w:val="0"/>
      <w:adjustRightInd w:val="0"/>
      <w:spacing w:line="360" w:lineRule="atLeast"/>
      <w:jc w:val="both"/>
    </w:pPr>
    <w:rPr>
      <w:rFonts w:ascii="Times New Roman" w:hAnsi="Times New Roman" w:eastAsia="??" w:cs="Times New Roman"/>
      <w:color w:val="000000"/>
      <w:sz w:val="22"/>
      <w:szCs w:val="28"/>
      <w:lang w:val="en-US" w:eastAsia="zh-CN" w:bidi="ar-SA"/>
    </w:rPr>
  </w:style>
  <w:style w:type="paragraph" w:customStyle="1" w:styleId="218">
    <w:name w:val="J2"/>
    <w:qFormat/>
    <w:uiPriority w:val="0"/>
    <w:pPr>
      <w:adjustRightInd w:val="0"/>
      <w:snapToGrid w:val="0"/>
      <w:spacing w:line="360" w:lineRule="auto"/>
      <w:ind w:left="360" w:hanging="360"/>
    </w:pPr>
    <w:rPr>
      <w:rFonts w:ascii="Times New Roman" w:hAnsi="Times New Roman" w:eastAsia="??" w:cs="Times New Roman"/>
      <w:b/>
      <w:bCs/>
      <w:color w:val="0000FF"/>
      <w:kern w:val="44"/>
      <w:szCs w:val="21"/>
      <w:lang w:val="en-US" w:eastAsia="zh-CN" w:bidi="ar-SA"/>
    </w:rPr>
  </w:style>
  <w:style w:type="paragraph" w:customStyle="1" w:styleId="219">
    <w:name w:val="J1"/>
    <w:qFormat/>
    <w:uiPriority w:val="0"/>
    <w:pPr>
      <w:adjustRightInd w:val="0"/>
      <w:snapToGrid w:val="0"/>
      <w:ind w:firstLine="413"/>
      <w:jc w:val="both"/>
      <w:outlineLvl w:val="0"/>
    </w:pPr>
    <w:rPr>
      <w:rFonts w:ascii="??" w:hAnsi="??" w:eastAsia="??" w:cs="Arial"/>
      <w:b/>
      <w:color w:val="000000"/>
      <w:sz w:val="28"/>
      <w:szCs w:val="28"/>
      <w:lang w:val="en-US" w:eastAsia="zh-CN" w:bidi="ar-SA"/>
    </w:rPr>
  </w:style>
  <w:style w:type="paragraph" w:customStyle="1" w:styleId="220">
    <w:name w:val="表格侧编号"/>
    <w:next w:val="1"/>
    <w:qFormat/>
    <w:uiPriority w:val="0"/>
    <w:pPr>
      <w:widowControl w:val="0"/>
      <w:adjustRightInd w:val="0"/>
      <w:snapToGrid w:val="0"/>
      <w:spacing w:before="40" w:after="20" w:line="240" w:lineRule="atLeast"/>
      <w:jc w:val="center"/>
    </w:pPr>
    <w:rPr>
      <w:rFonts w:ascii="Arial" w:hAnsi="Arial" w:eastAsia="??" w:cs="Arial"/>
      <w:color w:val="000000"/>
      <w:szCs w:val="28"/>
      <w:lang w:val="en-US" w:eastAsia="zh-CN" w:bidi="ar-SA"/>
    </w:rPr>
  </w:style>
  <w:style w:type="paragraph" w:customStyle="1" w:styleId="221">
    <w:name w:val="潍柴文档正文"/>
    <w:basedOn w:val="1"/>
    <w:qFormat/>
    <w:uiPriority w:val="0"/>
    <w:pPr>
      <w:spacing w:line="360" w:lineRule="auto"/>
      <w:ind w:firstLine="200" w:firstLineChars="200"/>
    </w:pPr>
    <w:rPr>
      <w:sz w:val="24"/>
      <w:szCs w:val="22"/>
    </w:rPr>
  </w:style>
  <w:style w:type="character" w:customStyle="1" w:styleId="222">
    <w:name w:val="ca-141"/>
    <w:qFormat/>
    <w:uiPriority w:val="0"/>
    <w:rPr>
      <w:rFonts w:hint="eastAsia" w:ascii="仿宋_GB2312" w:eastAsia="仿宋_GB2312"/>
      <w:sz w:val="21"/>
      <w:szCs w:val="21"/>
    </w:rPr>
  </w:style>
  <w:style w:type="paragraph" w:customStyle="1" w:styleId="223">
    <w:name w:val="1正文段落"/>
    <w:basedOn w:val="1"/>
    <w:qFormat/>
    <w:uiPriority w:val="0"/>
    <w:pPr>
      <w:spacing w:line="360" w:lineRule="auto"/>
      <w:ind w:firstLine="480" w:firstLineChars="200"/>
      <w:jc w:val="left"/>
    </w:pPr>
    <w:rPr>
      <w:snapToGrid w:val="0"/>
      <w:kern w:val="0"/>
      <w:sz w:val="24"/>
      <w:szCs w:val="24"/>
    </w:rPr>
  </w:style>
  <w:style w:type="character" w:customStyle="1" w:styleId="224">
    <w:name w:val="NormalCharacter"/>
    <w:qFormat/>
    <w:uiPriority w:val="0"/>
  </w:style>
  <w:style w:type="character" w:customStyle="1" w:styleId="225">
    <w:name w:val="font51"/>
    <w:basedOn w:val="51"/>
    <w:qFormat/>
    <w:uiPriority w:val="99"/>
    <w:rPr>
      <w:rFonts w:ascii="Times New Roman" w:hAnsi="Times New Roman" w:cs="Times New Roman"/>
      <w:color w:val="000000"/>
      <w:sz w:val="24"/>
      <w:szCs w:val="24"/>
      <w:u w:val="none"/>
    </w:rPr>
  </w:style>
  <w:style w:type="character" w:customStyle="1" w:styleId="226">
    <w:name w:val="font61"/>
    <w:basedOn w:val="51"/>
    <w:qFormat/>
    <w:uiPriority w:val="99"/>
    <w:rPr>
      <w:rFonts w:ascii="宋体" w:hAnsi="宋体" w:eastAsia="宋体" w:cs="宋体"/>
      <w:color w:val="000000"/>
      <w:sz w:val="24"/>
      <w:szCs w:val="24"/>
      <w:u w:val="none"/>
    </w:rPr>
  </w:style>
  <w:style w:type="character" w:customStyle="1" w:styleId="227">
    <w:name w:val="font31"/>
    <w:basedOn w:val="51"/>
    <w:qFormat/>
    <w:uiPriority w:val="0"/>
    <w:rPr>
      <w:rFonts w:hint="eastAsia" w:ascii="微软雅黑" w:hAnsi="微软雅黑" w:eastAsia="微软雅黑" w:cs="微软雅黑"/>
      <w:color w:val="000000"/>
      <w:sz w:val="16"/>
      <w:szCs w:val="16"/>
      <w:u w:val="none"/>
    </w:rPr>
  </w:style>
  <w:style w:type="paragraph" w:customStyle="1" w:styleId="228">
    <w:name w:val="（二）级标题"/>
    <w:basedOn w:val="26"/>
    <w:qFormat/>
    <w:uiPriority w:val="2"/>
    <w:pPr>
      <w:numPr>
        <w:ilvl w:val="0"/>
        <w:numId w:val="1"/>
      </w:numPr>
      <w:spacing w:line="360" w:lineRule="auto"/>
      <w:outlineLvl w:val="2"/>
    </w:pPr>
    <w:rPr>
      <w:b/>
    </w:rPr>
  </w:style>
  <w:style w:type="paragraph" w:customStyle="1" w:styleId="229">
    <w:name w:val="标书正文格式"/>
    <w:basedOn w:val="26"/>
    <w:qFormat/>
    <w:uiPriority w:val="0"/>
    <w:pPr>
      <w:spacing w:line="360" w:lineRule="auto"/>
      <w:ind w:firstLine="200" w:firstLineChars="200"/>
    </w:pPr>
    <w:rPr>
      <w:rFonts w:hAnsi="宋体"/>
      <w:color w:val="000000"/>
      <w:sz w:val="24"/>
      <w:szCs w:val="24"/>
    </w:rPr>
  </w:style>
  <w:style w:type="paragraph" w:customStyle="1" w:styleId="230">
    <w:name w:val="（4）级标题"/>
    <w:basedOn w:val="26"/>
    <w:qFormat/>
    <w:uiPriority w:val="8"/>
    <w:pPr>
      <w:numPr>
        <w:ilvl w:val="0"/>
        <w:numId w:val="2"/>
      </w:numPr>
      <w:spacing w:line="360" w:lineRule="auto"/>
      <w:outlineLvl w:val="4"/>
    </w:pPr>
  </w:style>
  <w:style w:type="paragraph" w:customStyle="1" w:styleId="231">
    <w:name w:val="Table Paragraph"/>
    <w:basedOn w:val="1"/>
    <w:autoRedefine/>
    <w:qFormat/>
    <w:uiPriority w:val="1"/>
    <w:rPr>
      <w:rFonts w:ascii="宋体" w:hAnsi="宋体" w:eastAsia="宋体" w:cs="宋体"/>
    </w:rPr>
  </w:style>
  <w:style w:type="table" w:customStyle="1" w:styleId="232">
    <w:name w:val="Table Normal"/>
    <w:autoRedefine/>
    <w:qFormat/>
    <w:uiPriority w:val="0"/>
    <w:tblPr>
      <w:tblCellMar>
        <w:top w:w="0" w:type="dxa"/>
        <w:left w:w="0" w:type="dxa"/>
        <w:bottom w:w="0" w:type="dxa"/>
        <w:right w:w="0" w:type="dxa"/>
      </w:tblCellMar>
    </w:tblPr>
  </w:style>
  <w:style w:type="paragraph" w:customStyle="1" w:styleId="233">
    <w:name w:val="HR正文表格"/>
    <w:basedOn w:val="1"/>
    <w:autoRedefine/>
    <w:qFormat/>
    <w:uiPriority w:val="0"/>
    <w:pPr>
      <w:spacing w:beforeLines="25" w:afterLines="25" w:line="300" w:lineRule="auto"/>
    </w:pPr>
    <w:rPr>
      <w:szCs w:val="24"/>
    </w:rPr>
  </w:style>
  <w:style w:type="paragraph" w:customStyle="1" w:styleId="234">
    <w:name w:val="一级标题"/>
    <w:basedOn w:val="26"/>
    <w:qFormat/>
    <w:uiPriority w:val="1"/>
    <w:pPr>
      <w:numPr>
        <w:ilvl w:val="0"/>
        <w:numId w:val="3"/>
      </w:numPr>
      <w:spacing w:line="360" w:lineRule="auto"/>
      <w:ind w:left="420"/>
      <w:outlineLvl w:val="1"/>
    </w:pPr>
    <w:rPr>
      <w:rFonts w:ascii="黑体" w:eastAsia="黑体"/>
      <w:b/>
      <w:bCs/>
      <w:sz w:val="28"/>
    </w:rPr>
  </w:style>
  <w:style w:type="paragraph" w:customStyle="1" w:styleId="235">
    <w:name w:val="首行缩进"/>
    <w:basedOn w:val="1"/>
    <w:qFormat/>
    <w:uiPriority w:val="0"/>
    <w:pPr>
      <w:spacing w:line="360" w:lineRule="auto"/>
      <w:ind w:firstLine="480" w:firstLineChars="200"/>
    </w:pPr>
    <w:rPr>
      <w:rFonts w:ascii="宋体" w:hAnsi="宋体" w:cs="宋体"/>
      <w:kern w:val="0"/>
      <w:sz w:val="24"/>
    </w:rPr>
  </w:style>
  <w:style w:type="character" w:customStyle="1" w:styleId="236">
    <w:name w:val="font11"/>
    <w:basedOn w:val="51"/>
    <w:qFormat/>
    <w:uiPriority w:val="0"/>
    <w:rPr>
      <w:rFonts w:hint="eastAsia" w:ascii="宋体" w:hAnsi="宋体" w:eastAsia="宋体" w:cs="宋体"/>
      <w:color w:val="000000"/>
      <w:sz w:val="24"/>
      <w:szCs w:val="24"/>
      <w:u w:val="single"/>
    </w:rPr>
  </w:style>
  <w:style w:type="character" w:customStyle="1" w:styleId="237">
    <w:name w:val="font21"/>
    <w:basedOn w:val="51"/>
    <w:qFormat/>
    <w:uiPriority w:val="0"/>
    <w:rPr>
      <w:rFonts w:hint="eastAsia" w:ascii="宋体" w:hAnsi="宋体" w:eastAsia="宋体" w:cs="宋体"/>
      <w:color w:val="000000"/>
      <w:sz w:val="24"/>
      <w:szCs w:val="24"/>
      <w:u w:val="none"/>
    </w:rPr>
  </w:style>
  <w:style w:type="character" w:customStyle="1" w:styleId="238">
    <w:name w:val="font71"/>
    <w:basedOn w:val="51"/>
    <w:qFormat/>
    <w:uiPriority w:val="0"/>
    <w:rPr>
      <w:rFonts w:ascii="Arial" w:hAnsi="Arial" w:cs="Arial"/>
      <w:color w:val="000000"/>
      <w:sz w:val="24"/>
      <w:szCs w:val="24"/>
      <w:u w:val="none"/>
    </w:rPr>
  </w:style>
  <w:style w:type="character" w:customStyle="1" w:styleId="239">
    <w:name w:val="font91"/>
    <w:basedOn w:val="51"/>
    <w:qFormat/>
    <w:uiPriority w:val="0"/>
    <w:rPr>
      <w:rFonts w:hint="default" w:ascii="Arial" w:hAnsi="Arial" w:cs="Arial"/>
      <w:color w:val="000000"/>
      <w:sz w:val="18"/>
      <w:szCs w:val="18"/>
      <w:u w:val="none"/>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header" Target="header2.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1" Type="http://schemas.openxmlformats.org/officeDocument/2006/relationships/fontTable" Target="fontTable.xml"/><Relationship Id="rId30" Type="http://schemas.openxmlformats.org/officeDocument/2006/relationships/numbering" Target="numbering.xml"/><Relationship Id="rId3" Type="http://schemas.openxmlformats.org/officeDocument/2006/relationships/header" Target="header1.xml"/><Relationship Id="rId29" Type="http://schemas.openxmlformats.org/officeDocument/2006/relationships/customXml" Target="../customXml/item1.xml"/><Relationship Id="rId28" Type="http://schemas.openxmlformats.org/officeDocument/2006/relationships/image" Target="media/image14.png"/><Relationship Id="rId27" Type="http://schemas.openxmlformats.org/officeDocument/2006/relationships/image" Target="media/image13.png"/><Relationship Id="rId26" Type="http://schemas.openxmlformats.org/officeDocument/2006/relationships/image" Target="media/image12.png"/><Relationship Id="rId25" Type="http://schemas.openxmlformats.org/officeDocument/2006/relationships/image" Target="media/image11.png"/><Relationship Id="rId24" Type="http://schemas.openxmlformats.org/officeDocument/2006/relationships/image" Target="media/image10.png"/><Relationship Id="rId23" Type="http://schemas.openxmlformats.org/officeDocument/2006/relationships/image" Target="media/image9.png"/><Relationship Id="rId22" Type="http://schemas.openxmlformats.org/officeDocument/2006/relationships/image" Target="media/image8.png"/><Relationship Id="rId21" Type="http://schemas.openxmlformats.org/officeDocument/2006/relationships/image" Target="media/image7.png"/><Relationship Id="rId20" Type="http://schemas.openxmlformats.org/officeDocument/2006/relationships/image" Target="media/image6.png"/><Relationship Id="rId2" Type="http://schemas.openxmlformats.org/officeDocument/2006/relationships/settings" Target="settings.xml"/><Relationship Id="rId19" Type="http://schemas.openxmlformats.org/officeDocument/2006/relationships/image" Target="media/image5.png"/><Relationship Id="rId18" Type="http://schemas.openxmlformats.org/officeDocument/2006/relationships/image" Target="media/image4.png"/><Relationship Id="rId17" Type="http://schemas.openxmlformats.org/officeDocument/2006/relationships/image" Target="media/image3.png"/><Relationship Id="rId16" Type="http://schemas.openxmlformats.org/officeDocument/2006/relationships/image" Target="media/image2.png"/><Relationship Id="rId15" Type="http://schemas.openxmlformats.org/officeDocument/2006/relationships/image" Target="media/image1.png"/><Relationship Id="rId14" Type="http://schemas.openxmlformats.org/officeDocument/2006/relationships/theme" Target="theme/theme1.xml"/><Relationship Id="rId13" Type="http://schemas.openxmlformats.org/officeDocument/2006/relationships/footer" Target="footer7.xml"/><Relationship Id="rId12" Type="http://schemas.openxmlformats.org/officeDocument/2006/relationships/header" Target="header4.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39</Pages>
  <Words>3722</Words>
  <Characters>3929</Characters>
  <Lines>52</Lines>
  <Paragraphs>14</Paragraphs>
  <TotalTime>9</TotalTime>
  <ScaleCrop>false</ScaleCrop>
  <LinksUpToDate>false</LinksUpToDate>
  <CharactersWithSpaces>3995</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2025-05-19T02:18:00Z</dcterms:created>
  <dc:creator>zhl</dc:creator>
  <cp:lastModifiedBy>卜剑锋</cp:lastModifiedBy>
  <cp:lastPrinted>2020-01-08T06:44:00Z</cp:lastPrinted>
  <dcterms:modified xsi:type="dcterms:W3CDTF">2025-12-16T07:09:41Z</dcterms:modified>
  <dc:title>招标文件</dc:title>
  <cp:revision>113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Base Target">
    <vt:lpwstr>_blank</vt:lpwstr>
  </property>
  <property fmtid="{D5CDD505-2E9C-101B-9397-08002B2CF9AE}" pid="4" name="ICV">
    <vt:lpwstr>6557DA1B12CB48B986EAC1BEA6701BD6_13</vt:lpwstr>
  </property>
  <property fmtid="{D5CDD505-2E9C-101B-9397-08002B2CF9AE}" pid="5" name="KSOTemplateDocerSaveRecord">
    <vt:lpwstr>eyJoZGlkIjoiYzc3ODk5MWQ2ODkxYjIzNzI1YmVhYjkyYmE4NWMzNGUiLCJ1c2VySWQiOiIyNTA0NTg1ODYifQ==</vt:lpwstr>
  </property>
</Properties>
</file>