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ascii="楷体_GB2312" w:hAnsi="宋体" w:eastAsia="楷体_GB2312"/>
          <w:sz w:val="52"/>
          <w:szCs w:val="52"/>
        </w:rPr>
      </w:pPr>
      <w:r>
        <w:rPr>
          <w:rFonts w:hint="eastAsia" w:ascii="楷体_GB2312" w:hAnsi="宋体" w:eastAsia="楷体_GB2312"/>
          <w:sz w:val="52"/>
          <w:szCs w:val="52"/>
          <w:highlight w:val="yellow"/>
        </w:rPr>
        <w:t>对刀仪维修项目</w:t>
      </w:r>
    </w:p>
    <w:p>
      <w:pPr>
        <w:ind w:right="280"/>
        <w:jc w:val="center"/>
        <w:rPr>
          <w:sz w:val="28"/>
          <w:szCs w:val="28"/>
        </w:rPr>
      </w:pPr>
    </w:p>
    <w:p>
      <w:pPr>
        <w:ind w:right="280"/>
        <w:jc w:val="center"/>
        <w:rPr>
          <w:sz w:val="28"/>
          <w:szCs w:val="28"/>
        </w:rPr>
      </w:pPr>
    </w:p>
    <w:p>
      <w:pPr>
        <w:jc w:val="center"/>
        <w:rPr>
          <w:rFonts w:ascii="宋体" w:hAnsi="宋体" w:cs="宋体"/>
          <w:sz w:val="72"/>
          <w:szCs w:val="72"/>
        </w:rPr>
      </w:pPr>
      <w:r>
        <w:rPr>
          <w:rFonts w:hint="eastAsia" w:ascii="宋体" w:hAnsi="宋体" w:cs="宋体"/>
          <w:sz w:val="72"/>
          <w:szCs w:val="72"/>
        </w:rPr>
        <w:t>招标文件</w:t>
      </w:r>
    </w:p>
    <w:p>
      <w:pPr>
        <w:jc w:val="center"/>
        <w:rPr>
          <w:rFonts w:ascii="宋体" w:hAnsi="宋体"/>
          <w:sz w:val="48"/>
          <w:szCs w:val="48"/>
        </w:rPr>
      </w:pPr>
    </w:p>
    <w:p>
      <w:pPr>
        <w:jc w:val="center"/>
        <w:rPr>
          <w:rFonts w:ascii="宋体" w:hAnsi="宋体"/>
          <w:sz w:val="48"/>
          <w:szCs w:val="48"/>
        </w:rPr>
      </w:pPr>
    </w:p>
    <w:p>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FSCZB2025120044</w:t>
      </w:r>
    </w:p>
    <w:p>
      <w:pPr>
        <w:jc w:val="center"/>
        <w:rPr>
          <w:rFonts w:ascii="宋体" w:hAnsi="宋体"/>
          <w:sz w:val="48"/>
          <w:szCs w:val="48"/>
        </w:rPr>
      </w:pPr>
    </w:p>
    <w:p>
      <w:pPr>
        <w:jc w:val="center"/>
        <w:rPr>
          <w:rFonts w:ascii="宋体" w:hAnsi="宋体"/>
          <w:sz w:val="48"/>
          <w:szCs w:val="48"/>
        </w:rPr>
      </w:pPr>
    </w:p>
    <w:p>
      <w:pPr>
        <w:jc w:val="center"/>
        <w:rPr>
          <w:rFonts w:ascii="宋体" w:hAnsi="宋体"/>
          <w:sz w:val="28"/>
          <w:szCs w:val="28"/>
        </w:rPr>
      </w:pPr>
    </w:p>
    <w:p>
      <w:pPr>
        <w:jc w:val="center"/>
        <w:rPr>
          <w:rFonts w:ascii="宋体" w:hAnsi="宋体"/>
          <w:sz w:val="28"/>
          <w:szCs w:val="28"/>
        </w:rPr>
      </w:pPr>
    </w:p>
    <w:p>
      <w:pPr>
        <w:jc w:val="center"/>
        <w:rPr>
          <w:rFonts w:ascii="宋体" w:hAnsi="宋体"/>
          <w:sz w:val="28"/>
          <w:szCs w:val="28"/>
        </w:rPr>
      </w:pPr>
      <w:r>
        <w:rPr>
          <w:rFonts w:hint="eastAsia" w:ascii="宋体" w:hAnsi="宋体"/>
          <w:sz w:val="28"/>
          <w:szCs w:val="28"/>
        </w:rPr>
        <w:t>招 标 人：中国重汽集团济南动力有限公司发动机厂</w:t>
      </w:r>
    </w:p>
    <w:p>
      <w:pPr>
        <w:jc w:val="center"/>
        <w:rPr>
          <w:rFonts w:ascii="宋体" w:hAnsi="宋体"/>
          <w:sz w:val="28"/>
          <w:szCs w:val="28"/>
        </w:rPr>
      </w:pPr>
    </w:p>
    <w:p>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12</w:t>
      </w:r>
      <w:r>
        <w:rPr>
          <w:rFonts w:hint="eastAsia" w:ascii="宋体" w:hAnsi="宋体"/>
          <w:sz w:val="28"/>
          <w:szCs w:val="28"/>
          <w:u w:val="single"/>
        </w:rPr>
        <w:t>月</w:t>
      </w:r>
    </w:p>
    <w:p>
      <w:pPr>
        <w:spacing w:line="480" w:lineRule="auto"/>
        <w:jc w:val="center"/>
        <w:rPr>
          <w:rFonts w:ascii="宋体" w:hAnsi="宋体"/>
          <w:b/>
          <w:bCs/>
          <w:sz w:val="48"/>
          <w:szCs w:val="48"/>
        </w:rPr>
      </w:pP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pPr>
            <w:pStyle w:val="20"/>
          </w:pPr>
          <w:r>
            <w:rPr>
              <w:rFonts w:hint="eastAsia" w:ascii="Calibri" w:hAnsi="Calibri" w:eastAsia="宋体" w:cs="Times New Roman"/>
              <w:bCs/>
              <w:kern w:val="44"/>
              <w:szCs w:val="44"/>
            </w:rPr>
            <w:fldChar w:fldCharType="end"/>
          </w:r>
        </w:p>
      </w:sdtContent>
    </w:sdt>
    <w:p>
      <w:pPr>
        <w:pStyle w:val="14"/>
        <w:tabs>
          <w:tab w:val="left" w:pos="2940"/>
        </w:tabs>
        <w:spacing w:line="360" w:lineRule="auto"/>
      </w:pPr>
      <w:r>
        <w:tab/>
      </w:r>
    </w:p>
    <w:p>
      <w:pPr>
        <w:pStyle w:val="14"/>
        <w:spacing w:line="360" w:lineRule="auto"/>
        <w:jc w:val="center"/>
      </w:pPr>
    </w:p>
    <w:p>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71"/>
        <w:rPr>
          <w:rFonts w:hint="eastAsia"/>
          <w:sz w:val="28"/>
        </w:rPr>
      </w:pPr>
      <w:bookmarkStart w:id="0" w:name="_Toc47976587"/>
      <w:bookmarkStart w:id="1" w:name="_Toc7104"/>
      <w:r>
        <w:rPr>
          <w:rFonts w:hint="eastAsia"/>
        </w:rPr>
        <w:t>招标公告</w:t>
      </w:r>
      <w:bookmarkEnd w:id="0"/>
      <w:bookmarkEnd w:id="1"/>
    </w:p>
    <w:p>
      <w:pPr>
        <w:pStyle w:val="71"/>
        <w:rPr>
          <w:rFonts w:hint="eastAsia"/>
        </w:rPr>
      </w:pPr>
    </w:p>
    <w:p>
      <w:pPr>
        <w:pStyle w:val="72"/>
      </w:pPr>
      <w:bookmarkStart w:id="2" w:name="_Toc47976588"/>
      <w:r>
        <w:rPr>
          <w:rFonts w:hint="eastAsia"/>
        </w:rPr>
        <w:t>项目名称及项目编号</w:t>
      </w:r>
      <w:bookmarkEnd w:id="2"/>
    </w:p>
    <w:p>
      <w:pPr>
        <w:pStyle w:val="73"/>
      </w:pPr>
      <w:r>
        <w:rPr>
          <w:rFonts w:hint="eastAsia"/>
        </w:rPr>
        <w:t>项目名称：</w:t>
      </w:r>
      <w:r>
        <w:rPr>
          <w:rFonts w:hint="eastAsia"/>
          <w:highlight w:val="yellow"/>
        </w:rPr>
        <w:t xml:space="preserve"> 对刀仪维修项目</w:t>
      </w:r>
    </w:p>
    <w:p>
      <w:pPr>
        <w:pStyle w:val="73"/>
      </w:pPr>
      <w:r>
        <w:rPr>
          <w:rFonts w:hint="eastAsia"/>
        </w:rPr>
        <w:t>项目编号：</w:t>
      </w:r>
      <w:r>
        <w:rPr>
          <w:rFonts w:hint="eastAsia"/>
          <w:highlight w:val="yellow"/>
        </w:rPr>
        <w:t xml:space="preserve"> FSCZB2025120044</w:t>
      </w:r>
    </w:p>
    <w:p>
      <w:pPr>
        <w:pStyle w:val="72"/>
      </w:pPr>
      <w:bookmarkStart w:id="3" w:name="_Toc47976589"/>
      <w:r>
        <w:rPr>
          <w:rFonts w:hint="eastAsia"/>
          <w:lang w:val="en-US" w:eastAsia="zh-CN"/>
        </w:rPr>
        <w:t>项目概况</w:t>
      </w:r>
      <w:r>
        <w:rPr>
          <w:rFonts w:hint="eastAsia"/>
        </w:rPr>
        <w:t>及招标形式</w:t>
      </w:r>
      <w:bookmarkEnd w:id="3"/>
    </w:p>
    <w:p>
      <w:pPr>
        <w:pStyle w:val="73"/>
        <w:numPr>
          <w:ilvl w:val="0"/>
          <w:numId w:val="9"/>
        </w:numPr>
      </w:pPr>
      <w:r>
        <w:rPr>
          <w:rFonts w:hint="eastAsia"/>
        </w:rPr>
        <w:t>招标内容：</w:t>
      </w:r>
      <w:r>
        <w:rPr>
          <w:rFonts w:hint="eastAsia"/>
          <w:highlight w:val="yellow"/>
        </w:rPr>
        <w:t>对刀仪维修项目</w:t>
      </w:r>
    </w:p>
    <w:p>
      <w:pPr>
        <w:pStyle w:val="73"/>
      </w:pPr>
      <w:r>
        <w:rPr>
          <w:rFonts w:hint="eastAsia"/>
        </w:rPr>
        <w:t>招标形式：</w:t>
      </w:r>
      <w:r>
        <w:rPr>
          <w:rFonts w:hint="eastAsia"/>
          <w:highlight w:val="yellow"/>
        </w:rPr>
        <w:t>公开招标</w:t>
      </w:r>
      <w:r>
        <w:rPr>
          <w:rStyle w:val="97"/>
          <w:rFonts w:hint="eastAsia"/>
          <w:b w:val="0"/>
          <w:highlight w:val="yellow"/>
        </w:rPr>
        <w:t>。</w:t>
      </w:r>
    </w:p>
    <w:p>
      <w:pPr>
        <w:pStyle w:val="72"/>
        <w:rPr>
          <w:highlight w:val="yellow"/>
        </w:rPr>
      </w:pPr>
      <w:bookmarkStart w:id="4" w:name="_Toc47976591"/>
      <w:r>
        <w:rPr>
          <w:rFonts w:hint="eastAsia"/>
          <w:highlight w:val="yellow"/>
        </w:rPr>
        <w:t>报名及招标文件的获取</w:t>
      </w:r>
      <w:bookmarkEnd w:id="4"/>
    </w:p>
    <w:p>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17</w:t>
      </w:r>
      <w:r>
        <w:rPr>
          <w:rFonts w:hint="eastAsia" w:hAnsi="宋体" w:cs="宋体"/>
          <w:b/>
          <w:bCs/>
          <w:szCs w:val="21"/>
        </w:rPr>
        <w:t>日下午17点</w:t>
      </w:r>
    </w:p>
    <w:p>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pPr>
        <w:pStyle w:val="72"/>
        <w:rPr>
          <w:highlight w:val="yellow"/>
        </w:rPr>
      </w:pPr>
      <w:r>
        <w:rPr>
          <w:rFonts w:hint="eastAsia"/>
          <w:highlight w:val="yellow"/>
        </w:rPr>
        <w:t>投标文件的递交</w:t>
      </w:r>
    </w:p>
    <w:p>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pPr>
        <w:pStyle w:val="72"/>
        <w:rPr>
          <w:highlight w:val="yellow"/>
        </w:rPr>
      </w:pPr>
      <w:r>
        <w:rPr>
          <w:rFonts w:hint="eastAsia"/>
          <w:highlight w:val="yellow"/>
          <w:lang w:val="en-US" w:eastAsia="zh-CN"/>
        </w:rPr>
        <w:t>开标时间和地点</w:t>
      </w:r>
    </w:p>
    <w:p>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23</w:t>
      </w:r>
      <w:r>
        <w:rPr>
          <w:rFonts w:hint="eastAsia" w:ascii="宋体" w:hAnsi="宋体" w:eastAsia="宋体" w:cs="宋体"/>
          <w:sz w:val="21"/>
          <w:szCs w:val="21"/>
          <w:highlight w:val="yellow"/>
        </w:rPr>
        <w:t>日9:00:00</w:t>
      </w:r>
    </w:p>
    <w:p>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pPr>
        <w:pStyle w:val="72"/>
      </w:pPr>
      <w:r>
        <w:rPr>
          <w:rFonts w:hint="eastAsia"/>
        </w:rPr>
        <w:t>招标公告发布媒介</w:t>
      </w:r>
    </w:p>
    <w:p>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pPr>
        <w:pStyle w:val="72"/>
        <w:rPr>
          <w:highlight w:val="yellow"/>
        </w:rPr>
      </w:pPr>
      <w:r>
        <w:rPr>
          <w:rFonts w:hint="eastAsia"/>
          <w:highlight w:val="yellow"/>
        </w:rPr>
        <w:t>联系方式</w:t>
      </w:r>
    </w:p>
    <w:p>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中国重汽集团济南动力有限公司发动机厂</w:t>
      </w:r>
    </w:p>
    <w:p>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highlight w:val="none"/>
          <w:lang w:val="en-US" w:eastAsia="zh-CN"/>
        </w:rPr>
        <w:t>张泽云</w:t>
      </w:r>
    </w:p>
    <w:p>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19015415979</w:t>
      </w:r>
    </w:p>
    <w:p>
      <w:pPr>
        <w:pStyle w:val="72"/>
        <w:numPr>
          <w:ilvl w:val="0"/>
          <w:numId w:val="0"/>
        </w:numPr>
        <w:ind w:leftChars="0" w:firstLine="422" w:firstLineChars="200"/>
        <w:rPr>
          <w:highlight w:val="yellow"/>
        </w:rPr>
      </w:pPr>
      <w:r>
        <w:rPr>
          <w:rFonts w:hint="eastAsia" w:ascii="宋体" w:hAnsi="宋体" w:eastAsia="宋体" w:cs="宋体"/>
          <w:b/>
          <w:bCs/>
          <w:sz w:val="21"/>
          <w:szCs w:val="21"/>
        </w:rPr>
        <w:t>邮箱：zhangzeyun@sinotruk.com</w:t>
      </w:r>
    </w:p>
    <w:p>
      <w:pPr>
        <w:pStyle w:val="76"/>
      </w:pPr>
    </w:p>
    <w:p>
      <w:pPr>
        <w:pStyle w:val="76"/>
      </w:pPr>
      <w:bookmarkStart w:id="32" w:name="_GoBack"/>
      <w:bookmarkEnd w:id="32"/>
    </w:p>
    <w:p>
      <w:pPr>
        <w:pStyle w:val="76"/>
        <w:jc w:val="both"/>
        <w:rPr>
          <w:rFonts w:hint="default"/>
          <w:highlight w:val="cyan"/>
          <w:u w:val="single"/>
          <w:lang w:val="en-US" w:eastAsia="zh-CN"/>
        </w:rPr>
      </w:pPr>
    </w:p>
    <w:p>
      <w:pPr>
        <w:pStyle w:val="76"/>
        <w:jc w:val="right"/>
        <w:rPr>
          <w:rFonts w:hint="eastAsia"/>
          <w:highlight w:val="cyan"/>
          <w:u w:val="single"/>
          <w:lang w:val="en-US" w:eastAsia="zh-CN"/>
        </w:rPr>
      </w:pPr>
    </w:p>
    <w:p>
      <w:pPr>
        <w:pStyle w:val="76"/>
        <w:jc w:val="right"/>
        <w:rPr>
          <w:rFonts w:hint="eastAsia"/>
          <w:highlight w:val="cyan"/>
          <w:u w:val="single"/>
          <w:lang w:val="en-US" w:eastAsia="zh-CN"/>
        </w:rPr>
      </w:pPr>
    </w:p>
    <w:p>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10</w:t>
      </w:r>
      <w:r>
        <w:rPr>
          <w:rFonts w:hint="eastAsia"/>
        </w:rPr>
        <w:t>日</w:t>
      </w:r>
    </w:p>
    <w:p>
      <w:pPr>
        <w:pStyle w:val="76"/>
      </w:pPr>
    </w:p>
    <w:p>
      <w:pPr>
        <w:pStyle w:val="71"/>
      </w:pPr>
      <w:bookmarkStart w:id="5" w:name="_Toc7753"/>
      <w:bookmarkStart w:id="6" w:name="_Toc47976595"/>
      <w:r>
        <w:rPr>
          <w:rFonts w:hint="eastAsia"/>
        </w:rPr>
        <w:t>第一部分  投标人须知</w:t>
      </w:r>
      <w:bookmarkEnd w:id="5"/>
      <w:bookmarkEnd w:id="6"/>
    </w:p>
    <w:p>
      <w:pPr>
        <w:pStyle w:val="72"/>
        <w:numPr>
          <w:ilvl w:val="0"/>
          <w:numId w:val="12"/>
        </w:numPr>
        <w:ind w:left="420"/>
        <w:jc w:val="left"/>
      </w:pPr>
      <w:bookmarkStart w:id="7" w:name="_Toc47976596"/>
      <w:r>
        <w:rPr>
          <w:rFonts w:hint="eastAsia"/>
        </w:rPr>
        <w:t>项目介绍</w:t>
      </w:r>
      <w:bookmarkEnd w:id="7"/>
    </w:p>
    <w:p>
      <w:pPr>
        <w:pStyle w:val="76"/>
        <w:numPr>
          <w:ilvl w:val="0"/>
          <w:numId w:val="13"/>
        </w:numPr>
        <w:ind w:left="425" w:leftChars="0" w:hanging="425" w:firstLineChars="0"/>
      </w:pPr>
      <w:bookmarkStart w:id="8" w:name="_Toc47112482"/>
      <w:r>
        <w:rPr>
          <w:rFonts w:hint="eastAsia"/>
          <w:lang w:val="en-US" w:eastAsia="zh-CN"/>
        </w:rPr>
        <w:t>项目概况：</w:t>
      </w:r>
      <w:r>
        <w:rPr>
          <w:rFonts w:hint="eastAsia"/>
          <w:highlight w:val="yellow"/>
        </w:rPr>
        <w:t>机加工线3台对刀仪（1台老对刀仪已使用7年，2台新对刀仪已使用5年），目前存在系统反应慢、死机及开机速度慢、尺寸调整精度降低、关键部件磨损等问题，影响刀具装调效率。</w:t>
      </w:r>
    </w:p>
    <w:p>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pPr>
        <w:pStyle w:val="72"/>
      </w:pPr>
      <w:bookmarkStart w:id="9" w:name="_Toc47976598"/>
      <w:r>
        <w:rPr>
          <w:rFonts w:hint="eastAsia"/>
        </w:rPr>
        <w:t>合格的投标人。</w:t>
      </w:r>
      <w:bookmarkEnd w:id="9"/>
    </w:p>
    <w:p>
      <w:pPr>
        <w:pStyle w:val="14"/>
        <w:spacing w:line="360" w:lineRule="auto"/>
        <w:ind w:firstLine="420" w:firstLineChars="200"/>
        <w:rPr>
          <w:b/>
          <w:highlight w:val="none"/>
        </w:rPr>
      </w:pPr>
      <w:r>
        <w:rPr>
          <w:rFonts w:hint="eastAsia" w:hAnsi="宋体"/>
          <w:highlight w:val="none"/>
        </w:rPr>
        <w:t>⑴</w:t>
      </w:r>
      <w:r>
        <w:rPr>
          <w:rFonts w:hint="eastAsia"/>
          <w:highlight w:val="none"/>
        </w:rPr>
        <w:t>投标人须遵守《中华人民共和国招标投标法》、《中华人民共和国民法典》及其他有关的法律和法规；为中华人民共和国境内注册的独立法人机构，具有独立承担民事责任能力；</w:t>
      </w:r>
    </w:p>
    <w:p>
      <w:pPr>
        <w:pStyle w:val="14"/>
        <w:spacing w:line="360" w:lineRule="auto"/>
        <w:ind w:firstLine="422" w:firstLineChars="200"/>
        <w:rPr>
          <w:b/>
          <w:bCs/>
          <w:highlight w:val="none"/>
        </w:rPr>
      </w:pPr>
      <w:r>
        <w:rPr>
          <w:rFonts w:hint="eastAsia" w:hAnsi="宋体"/>
          <w:b/>
          <w:bCs/>
          <w:highlight w:val="none"/>
        </w:rPr>
        <w:t>*⑵</w:t>
      </w:r>
      <w:r>
        <w:rPr>
          <w:rFonts w:hint="eastAsia"/>
          <w:b/>
          <w:bCs/>
          <w:highlight w:val="none"/>
        </w:rPr>
        <w:t>注册资金不少于100万元</w:t>
      </w:r>
      <w:r>
        <w:rPr>
          <w:rFonts w:hint="eastAsia" w:hAnsi="宋体"/>
          <w:b/>
          <w:bCs/>
          <w:sz w:val="24"/>
          <w:highlight w:val="none"/>
        </w:rPr>
        <w:t>；</w:t>
      </w:r>
      <w:r>
        <w:rPr>
          <w:rFonts w:hint="eastAsia"/>
          <w:b/>
          <w:bCs/>
          <w:highlight w:val="none"/>
        </w:rPr>
        <w:t>经营范围满足招标项目需求；</w:t>
      </w:r>
    </w:p>
    <w:p>
      <w:pPr>
        <w:pStyle w:val="14"/>
        <w:spacing w:line="360" w:lineRule="auto"/>
        <w:ind w:firstLine="422" w:firstLineChars="200"/>
        <w:rPr>
          <w:b/>
          <w:bCs/>
          <w:highlight w:val="none"/>
        </w:rPr>
      </w:pPr>
      <w:r>
        <w:rPr>
          <w:rFonts w:hint="eastAsia" w:hAnsi="宋体"/>
          <w:b/>
          <w:bCs/>
          <w:highlight w:val="none"/>
        </w:rPr>
        <w:t>*</w:t>
      </w:r>
      <w:r>
        <w:rPr>
          <w:rFonts w:hint="eastAsia"/>
          <w:b/>
          <w:bCs/>
          <w:highlight w:val="none"/>
        </w:rPr>
        <w:t>⑶投标人须提供具有统一社会信用代码的新版营业执照</w:t>
      </w:r>
      <w:r>
        <w:rPr>
          <w:rFonts w:hint="eastAsia"/>
          <w:b/>
          <w:bCs/>
          <w:highlight w:val="none"/>
          <w:lang w:val="en-US" w:eastAsia="zh-CN"/>
        </w:rPr>
        <w:t>电子版本</w:t>
      </w:r>
      <w:r>
        <w:rPr>
          <w:rFonts w:hint="eastAsia"/>
          <w:b/>
          <w:bCs/>
          <w:highlight w:val="none"/>
        </w:rPr>
        <w:t>（加盖公章）；</w:t>
      </w:r>
    </w:p>
    <w:p>
      <w:pPr>
        <w:pStyle w:val="14"/>
        <w:spacing w:line="360" w:lineRule="auto"/>
        <w:ind w:firstLine="420" w:firstLineChars="200"/>
        <w:rPr>
          <w:b/>
          <w:highlight w:val="none"/>
        </w:rPr>
      </w:pPr>
      <w:r>
        <w:rPr>
          <w:rFonts w:hint="eastAsia" w:hAnsi="宋体"/>
          <w:highlight w:val="none"/>
        </w:rPr>
        <w:t>⑷</w:t>
      </w:r>
      <w:r>
        <w:rPr>
          <w:rFonts w:hint="eastAsia"/>
          <w:highlight w:val="none"/>
        </w:rPr>
        <w:t>具有良好的商业信誉，在国家企业信用信息公示系统中无行政处罚、列入经营异常名录和列入严重违法失信企业名单（黑名单）信息或上述信息已被移除。</w:t>
      </w:r>
    </w:p>
    <w:p>
      <w:pPr>
        <w:pStyle w:val="14"/>
        <w:spacing w:line="360" w:lineRule="auto"/>
        <w:ind w:firstLine="420" w:firstLineChars="200"/>
        <w:rPr>
          <w:highlight w:val="none"/>
        </w:rPr>
      </w:pPr>
      <w:r>
        <w:rPr>
          <w:rFonts w:hint="eastAsia" w:hAnsi="宋体"/>
          <w:highlight w:val="none"/>
        </w:rPr>
        <w:t>⑸</w:t>
      </w:r>
      <w:r>
        <w:rPr>
          <w:rFonts w:hint="eastAsia"/>
          <w:highlight w:val="none"/>
        </w:rPr>
        <w:t>投标人在近三年内在经营活动中无违法记录。</w:t>
      </w:r>
    </w:p>
    <w:p>
      <w:pPr>
        <w:pStyle w:val="14"/>
        <w:spacing w:line="360" w:lineRule="auto"/>
        <w:ind w:firstLine="420" w:firstLineChars="200"/>
        <w:rPr>
          <w:highlight w:val="none"/>
        </w:rPr>
      </w:pPr>
      <w:r>
        <w:rPr>
          <w:rFonts w:hint="eastAsia" w:hAnsi="宋体"/>
          <w:highlight w:val="none"/>
        </w:rPr>
        <w:t>⑹</w:t>
      </w:r>
      <w:r>
        <w:rPr>
          <w:rFonts w:hint="eastAsia"/>
          <w:highlight w:val="none"/>
        </w:rPr>
        <w:t>具有健全的财务会计制度，财务状况和市场行为良好。没有处于被有权机关吊销营业执照、吊销资质、停业整顿、取消投标资格以及财产被接管、冻结或进入破产程序等。</w:t>
      </w:r>
    </w:p>
    <w:p>
      <w:pPr>
        <w:pStyle w:val="14"/>
        <w:spacing w:line="360" w:lineRule="auto"/>
        <w:ind w:firstLine="420" w:firstLineChars="200"/>
        <w:rPr>
          <w:highlight w:val="none"/>
        </w:rPr>
      </w:pPr>
      <w:r>
        <w:rPr>
          <w:rFonts w:hint="eastAsia" w:hAnsi="宋体"/>
          <w:highlight w:val="none"/>
        </w:rPr>
        <w:t>⑺</w:t>
      </w:r>
      <w:r>
        <w:rPr>
          <w:rFonts w:hint="eastAsia"/>
          <w:highlight w:val="none"/>
        </w:rPr>
        <w:t>投标人没有被列入招标人处《黑名单》（《黑名单》指投标人</w:t>
      </w:r>
      <w:r>
        <w:rPr>
          <w:highlight w:val="none"/>
        </w:rPr>
        <w:t>与招标人在以往</w:t>
      </w:r>
      <w:r>
        <w:rPr>
          <w:rFonts w:hint="eastAsia"/>
          <w:highlight w:val="none"/>
        </w:rPr>
        <w:t>或</w:t>
      </w:r>
      <w:r>
        <w:rPr>
          <w:highlight w:val="none"/>
        </w:rPr>
        <w:t>正在</w:t>
      </w:r>
      <w:r>
        <w:rPr>
          <w:rFonts w:hint="eastAsia"/>
          <w:highlight w:val="none"/>
        </w:rPr>
        <w:t>进行</w:t>
      </w:r>
      <w:r>
        <w:rPr>
          <w:highlight w:val="none"/>
        </w:rPr>
        <w:t>的合作中</w:t>
      </w:r>
      <w:r>
        <w:rPr>
          <w:rFonts w:hint="eastAsia"/>
          <w:highlight w:val="none"/>
        </w:rPr>
        <w:t>，</w:t>
      </w:r>
      <w:r>
        <w:rPr>
          <w:highlight w:val="none"/>
        </w:rPr>
        <w:t>存在</w:t>
      </w:r>
      <w:r>
        <w:rPr>
          <w:rFonts w:hint="eastAsia"/>
          <w:highlight w:val="none"/>
        </w:rPr>
        <w:t>招标人</w:t>
      </w:r>
      <w:r>
        <w:rPr>
          <w:highlight w:val="none"/>
        </w:rPr>
        <w:t>认为的</w:t>
      </w:r>
      <w:r>
        <w:rPr>
          <w:rFonts w:hint="eastAsia"/>
          <w:highlight w:val="none"/>
        </w:rPr>
        <w:t>违反合同</w:t>
      </w:r>
      <w:r>
        <w:rPr>
          <w:highlight w:val="none"/>
        </w:rPr>
        <w:t>约定或</w:t>
      </w:r>
      <w:r>
        <w:rPr>
          <w:rFonts w:hint="eastAsia"/>
          <w:highlight w:val="none"/>
        </w:rPr>
        <w:t>违反法律法规</w:t>
      </w:r>
      <w:r>
        <w:rPr>
          <w:highlight w:val="none"/>
        </w:rPr>
        <w:t>等的</w:t>
      </w:r>
      <w:r>
        <w:rPr>
          <w:rFonts w:hint="eastAsia"/>
          <w:highlight w:val="none"/>
        </w:rPr>
        <w:t>失信行为）的。</w:t>
      </w:r>
    </w:p>
    <w:p>
      <w:pPr>
        <w:spacing w:line="360" w:lineRule="auto"/>
        <w:ind w:firstLine="282" w:firstLineChars="134"/>
        <w:rPr>
          <w:rFonts w:ascii="宋体" w:hAnsi="Courier New"/>
          <w:b/>
          <w:bCs/>
          <w:highlight w:val="none"/>
        </w:rPr>
      </w:pPr>
      <w:r>
        <w:rPr>
          <w:rFonts w:hint="eastAsia" w:hAnsi="宋体"/>
          <w:b/>
          <w:bCs/>
          <w:highlight w:val="none"/>
        </w:rPr>
        <w:t>*</w:t>
      </w:r>
      <w:r>
        <w:rPr>
          <w:rFonts w:hint="eastAsia" w:ascii="宋体" w:hAnsi="宋体"/>
          <w:b/>
          <w:bCs/>
          <w:highlight w:val="none"/>
        </w:rPr>
        <w:t>⑻</w:t>
      </w:r>
      <w:r>
        <w:rPr>
          <w:rFonts w:hint="eastAsia" w:ascii="宋体" w:hAnsi="Courier New"/>
          <w:b/>
          <w:bCs/>
          <w:highlight w:val="none"/>
        </w:rPr>
        <w:t>投标人须提供近三年的公司财务报表。</w:t>
      </w:r>
    </w:p>
    <w:p>
      <w:pPr>
        <w:spacing w:line="360" w:lineRule="auto"/>
        <w:ind w:firstLine="282" w:firstLineChars="134"/>
        <w:rPr>
          <w:rFonts w:ascii="宋体" w:hAnsi="Courier New"/>
          <w:b/>
          <w:bCs/>
          <w:highlight w:val="none"/>
        </w:rPr>
      </w:pPr>
      <w:r>
        <w:rPr>
          <w:rFonts w:hint="eastAsia" w:hAnsi="宋体"/>
          <w:b/>
          <w:bCs/>
          <w:highlight w:val="none"/>
        </w:rPr>
        <w:t>*</w:t>
      </w:r>
      <w:r>
        <w:rPr>
          <w:rFonts w:hint="eastAsia" w:ascii="宋体" w:hAnsi="宋体"/>
          <w:b/>
          <w:bCs/>
          <w:highlight w:val="none"/>
        </w:rPr>
        <w:t>⑼</w:t>
      </w:r>
      <w:r>
        <w:rPr>
          <w:rFonts w:hint="eastAsia" w:ascii="宋体" w:hAnsi="Courier New"/>
          <w:b/>
          <w:bCs/>
          <w:highlight w:val="none"/>
        </w:rPr>
        <w:t>投标人须提供法人授权委托书原件（在投标文件副本中可用复印件）及投标单位的法定代表人或授权代表的身份证原件及复印件（加盖公章）；</w:t>
      </w:r>
    </w:p>
    <w:p>
      <w:pPr>
        <w:pStyle w:val="14"/>
        <w:spacing w:line="360" w:lineRule="auto"/>
        <w:ind w:firstLine="420" w:firstLineChars="200"/>
        <w:rPr>
          <w:highlight w:val="none"/>
        </w:rPr>
      </w:pPr>
      <w:r>
        <w:rPr>
          <w:rFonts w:hint="eastAsia" w:hAnsi="宋体"/>
          <w:highlight w:val="none"/>
        </w:rPr>
        <w:t>⑽</w:t>
      </w:r>
      <w:r>
        <w:rPr>
          <w:rFonts w:hint="eastAsia"/>
          <w:highlight w:val="none"/>
        </w:rPr>
        <w:t>投标人须具有履行合同所必需的设备、财务、技术、服务等方面的资质和能力；</w:t>
      </w:r>
    </w:p>
    <w:p>
      <w:pPr>
        <w:pStyle w:val="14"/>
        <w:spacing w:line="360" w:lineRule="auto"/>
        <w:ind w:firstLine="420" w:firstLineChars="200"/>
        <w:rPr>
          <w:highlight w:val="none"/>
        </w:rPr>
      </w:pPr>
      <w:r>
        <w:rPr>
          <w:rFonts w:hint="eastAsia" w:hAnsi="宋体"/>
          <w:highlight w:val="none"/>
        </w:rPr>
        <w:t>⑾</w:t>
      </w:r>
      <w:r>
        <w:rPr>
          <w:rFonts w:hint="eastAsia"/>
          <w:highlight w:val="none"/>
        </w:rPr>
        <w:t>投标人须具有完全履行招标文件的所有要求的能力；</w:t>
      </w:r>
    </w:p>
    <w:p>
      <w:pPr>
        <w:pStyle w:val="14"/>
        <w:spacing w:line="360" w:lineRule="auto"/>
        <w:ind w:firstLine="420" w:firstLineChars="200"/>
        <w:rPr>
          <w:highlight w:val="none"/>
        </w:rPr>
      </w:pPr>
      <w:r>
        <w:rPr>
          <w:rFonts w:hint="eastAsia" w:hAnsi="宋体"/>
          <w:highlight w:val="none"/>
        </w:rPr>
        <w:t>⑿</w:t>
      </w:r>
      <w:r>
        <w:rPr>
          <w:rFonts w:hint="eastAsia"/>
          <w:highlight w:val="none"/>
        </w:rPr>
        <w:t>投标人须负责提供合理地便于运输的包装物，并承担相关费用；</w:t>
      </w:r>
    </w:p>
    <w:p>
      <w:pPr>
        <w:pStyle w:val="14"/>
        <w:spacing w:line="360" w:lineRule="auto"/>
        <w:ind w:firstLine="420" w:firstLineChars="200"/>
        <w:rPr>
          <w:highlight w:val="none"/>
        </w:rPr>
      </w:pPr>
      <w:r>
        <w:rPr>
          <w:rFonts w:hint="eastAsia" w:hAnsi="宋体"/>
          <w:highlight w:val="none"/>
        </w:rPr>
        <w:t>⒀</w:t>
      </w:r>
      <w:r>
        <w:rPr>
          <w:rFonts w:hint="eastAsia"/>
          <w:highlight w:val="none"/>
        </w:rPr>
        <w:t>投标人须认可招标人的工作指令，包括节、假日能正常开展工作的要求；</w:t>
      </w:r>
    </w:p>
    <w:p>
      <w:pPr>
        <w:pStyle w:val="14"/>
        <w:spacing w:line="360" w:lineRule="auto"/>
        <w:ind w:firstLine="420" w:firstLineChars="200"/>
        <w:rPr>
          <w:highlight w:val="none"/>
        </w:rPr>
      </w:pPr>
      <w:r>
        <w:rPr>
          <w:rFonts w:hint="eastAsia" w:hAnsi="宋体"/>
          <w:highlight w:val="none"/>
        </w:rPr>
        <w:t>⒁</w:t>
      </w:r>
      <w:r>
        <w:rPr>
          <w:rFonts w:hint="eastAsia"/>
          <w:highlight w:val="none"/>
        </w:rPr>
        <w:t>投标人须认可招标人终止合同后3个月退还履约保证金的招标要求；</w:t>
      </w:r>
    </w:p>
    <w:p>
      <w:pPr>
        <w:pStyle w:val="14"/>
        <w:spacing w:line="360" w:lineRule="auto"/>
        <w:ind w:firstLine="422" w:firstLineChars="200"/>
        <w:rPr>
          <w:highlight w:val="none"/>
        </w:rPr>
      </w:pPr>
      <w:r>
        <w:rPr>
          <w:rFonts w:hint="eastAsia" w:hAnsi="宋体"/>
          <w:b/>
          <w:bCs/>
          <w:highlight w:val="none"/>
        </w:rPr>
        <w:t>*⒂</w:t>
      </w:r>
      <w:r>
        <w:rPr>
          <w:rFonts w:hint="eastAsia"/>
          <w:b/>
          <w:bCs/>
          <w:highlight w:val="none"/>
        </w:rPr>
        <w:t>投标人必须是最终投标、签订合同的单位，不得以任何理由将已中标项目以任何形式转包给其他单位；</w:t>
      </w:r>
    </w:p>
    <w:p>
      <w:pPr>
        <w:pStyle w:val="14"/>
        <w:spacing w:line="360" w:lineRule="auto"/>
        <w:ind w:firstLine="422" w:firstLineChars="200"/>
        <w:rPr>
          <w:highlight w:val="none"/>
        </w:rPr>
      </w:pPr>
      <w:r>
        <w:rPr>
          <w:rFonts w:hint="eastAsia" w:hAnsi="宋体"/>
          <w:b/>
          <w:bCs/>
          <w:highlight w:val="none"/>
        </w:rPr>
        <w:t>*⒃</w:t>
      </w:r>
      <w:r>
        <w:rPr>
          <w:rFonts w:hint="eastAsia"/>
          <w:b/>
          <w:bCs/>
          <w:highlight w:val="none"/>
        </w:rPr>
        <w:t>本次招标项目不接受联合体投标</w:t>
      </w:r>
      <w:r>
        <w:rPr>
          <w:rFonts w:hint="eastAsia"/>
          <w:highlight w:val="none"/>
        </w:rPr>
        <w:t>；</w:t>
      </w:r>
    </w:p>
    <w:p>
      <w:pPr>
        <w:spacing w:line="360" w:lineRule="auto"/>
        <w:ind w:firstLine="422" w:firstLineChars="200"/>
        <w:rPr>
          <w:rFonts w:ascii="宋体" w:hAnsi="宋体"/>
          <w:b/>
          <w:bCs/>
          <w:highlight w:val="none"/>
        </w:rPr>
      </w:pPr>
      <w:r>
        <w:rPr>
          <w:rFonts w:hint="eastAsia" w:hAnsi="宋体"/>
          <w:b/>
          <w:bCs/>
          <w:highlight w:val="none"/>
        </w:rPr>
        <w:t>*</w:t>
      </w:r>
      <w:r>
        <w:rPr>
          <w:rFonts w:hint="eastAsia" w:ascii="宋体" w:hAnsi="宋体"/>
          <w:b/>
          <w:bCs/>
          <w:highlight w:val="none"/>
        </w:rPr>
        <w:t>⒄投标人在向招标人出示《投标保证金缴纳凭证》后方可进行投标；</w:t>
      </w:r>
    </w:p>
    <w:p>
      <w:pPr>
        <w:pStyle w:val="14"/>
        <w:spacing w:line="360" w:lineRule="auto"/>
        <w:ind w:firstLine="420" w:firstLineChars="200"/>
        <w:rPr>
          <w:rFonts w:hint="eastAsia" w:cs="Times New Roman"/>
          <w:b/>
          <w:bCs w:val="0"/>
          <w:strike w:val="0"/>
          <w:dstrike w:val="0"/>
          <w:color w:val="FF0000"/>
          <w:highlight w:val="none"/>
          <w:lang w:val="en-US" w:eastAsia="zh-CN"/>
        </w:rPr>
      </w:pPr>
      <w:r>
        <w:rPr>
          <w:rFonts w:hint="eastAsia" w:hAnsi="宋体"/>
          <w:highlight w:val="none"/>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10</w:t>
      </w:r>
      <w:r>
        <w:rPr>
          <w:rFonts w:hint="eastAsia" w:ascii="宋体" w:hAnsi="Courier New" w:eastAsia="宋体" w:cs="Times New Roman"/>
          <w:highlight w:val="yellow"/>
          <w:lang w:val="en-US" w:eastAsia="zh-CN"/>
        </w:rPr>
        <w:t>日</w:t>
      </w:r>
    </w:p>
    <w:p>
      <w:pPr>
        <w:pStyle w:val="76"/>
        <w:numPr>
          <w:ilvl w:val="0"/>
          <w:numId w:val="14"/>
        </w:numPr>
        <w:jc w:val="both"/>
        <w:rPr>
          <w:highlight w:val="yellow"/>
        </w:rPr>
      </w:pPr>
      <w:r>
        <w:rPr>
          <w:rFonts w:hint="eastAsia"/>
          <w:highlight w:val="yellow"/>
        </w:rPr>
        <w:t>招标文件领取方式：线上</w:t>
      </w:r>
    </w:p>
    <w:p>
      <w:pPr>
        <w:pStyle w:val="76"/>
        <w:ind w:firstLine="210" w:firstLineChars="100"/>
        <w:jc w:val="both"/>
        <w:rPr>
          <w:highlight w:val="yellow"/>
        </w:rPr>
      </w:pPr>
      <w:r>
        <w:rPr>
          <w:rFonts w:hint="eastAsia"/>
          <w:highlight w:val="yellow"/>
        </w:rPr>
        <w:t>地点：中国重汽e采通平台</w:t>
      </w:r>
    </w:p>
    <w:p>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17</w:t>
      </w:r>
      <w:r>
        <w:rPr>
          <w:rFonts w:hint="eastAsia"/>
          <w:highlight w:val="yellow"/>
        </w:rPr>
        <w:t>日</w:t>
      </w:r>
    </w:p>
    <w:p>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17</w:t>
      </w:r>
      <w:r>
        <w:rPr>
          <w:rFonts w:hint="eastAsia"/>
          <w:highlight w:val="yellow"/>
        </w:rPr>
        <w:t>日</w:t>
      </w:r>
      <w:r>
        <w:rPr>
          <w:rFonts w:hint="eastAsia" w:hAnsi="宋体" w:cs="宋体"/>
          <w:bCs/>
          <w:szCs w:val="21"/>
          <w:highlight w:val="yellow"/>
        </w:rPr>
        <w:t>12:00:00</w:t>
      </w:r>
      <w:r>
        <w:rPr>
          <w:rFonts w:hint="eastAsia"/>
          <w:highlight w:val="yellow"/>
        </w:rPr>
        <w:t>前</w:t>
      </w:r>
    </w:p>
    <w:p>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17</w:t>
      </w:r>
      <w:r>
        <w:rPr>
          <w:rFonts w:hint="eastAsia"/>
          <w:highlight w:val="yellow"/>
        </w:rPr>
        <w:t>日</w:t>
      </w:r>
      <w:r>
        <w:rPr>
          <w:rFonts w:hint="eastAsia" w:hAnsi="宋体" w:cs="宋体"/>
          <w:bCs/>
          <w:szCs w:val="21"/>
          <w:highlight w:val="yellow"/>
        </w:rPr>
        <w:t>17:00:00</w:t>
      </w:r>
      <w:r>
        <w:rPr>
          <w:rFonts w:hint="eastAsia"/>
          <w:highlight w:val="yellow"/>
        </w:rPr>
        <w:t>前：</w:t>
      </w:r>
    </w:p>
    <w:p>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pPr>
        <w:pStyle w:val="76"/>
        <w:numPr>
          <w:ilvl w:val="0"/>
          <w:numId w:val="14"/>
        </w:numPr>
        <w:jc w:val="both"/>
        <w:rPr>
          <w:highlight w:val="yellow"/>
        </w:rPr>
      </w:pPr>
      <w:r>
        <w:rPr>
          <w:rFonts w:hint="eastAsia"/>
          <w:highlight w:val="yellow"/>
        </w:rPr>
        <w:t>报名方式：在“中国重汽e采通”平台报名</w:t>
      </w:r>
    </w:p>
    <w:p>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2</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pPr>
        <w:pStyle w:val="74"/>
        <w:numPr>
          <w:ilvl w:val="0"/>
          <w:numId w:val="16"/>
        </w:numPr>
        <w:ind w:left="425" w:leftChars="0" w:hanging="425" w:firstLineChars="0"/>
        <w:rPr>
          <w:b w:val="0"/>
          <w:bCs/>
          <w:highlight w:val="none"/>
        </w:rPr>
      </w:pPr>
      <w:r>
        <w:rPr>
          <w:rFonts w:hint="eastAsia"/>
          <w:b w:val="0"/>
          <w:bCs/>
          <w:highlight w:val="none"/>
        </w:rPr>
        <w:t>资质文件：</w:t>
      </w:r>
    </w:p>
    <w:p>
      <w:pPr>
        <w:pStyle w:val="75"/>
        <w:numPr>
          <w:ilvl w:val="0"/>
          <w:numId w:val="17"/>
        </w:numPr>
        <w:ind w:left="425" w:leftChars="0" w:hanging="425" w:firstLineChars="0"/>
        <w:rPr>
          <w:b w:val="0"/>
          <w:bCs/>
          <w:highlight w:val="none"/>
        </w:rPr>
      </w:pPr>
      <w:r>
        <w:rPr>
          <w:rFonts w:hint="eastAsia"/>
          <w:b w:val="0"/>
          <w:bCs/>
          <w:highlight w:val="none"/>
        </w:rPr>
        <w:t>法定代表人身份证明；</w:t>
      </w:r>
    </w:p>
    <w:p>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pPr>
        <w:pStyle w:val="75"/>
        <w:numPr>
          <w:ilvl w:val="0"/>
          <w:numId w:val="19"/>
        </w:numPr>
        <w:ind w:left="425" w:leftChars="0" w:hanging="425" w:firstLineChars="0"/>
        <w:rPr>
          <w:b w:val="0"/>
          <w:bCs/>
          <w:highlight w:val="yellow"/>
        </w:rPr>
      </w:pPr>
      <w:r>
        <w:rPr>
          <w:rFonts w:hint="eastAsia"/>
          <w:b w:val="0"/>
          <w:bCs/>
          <w:highlight w:val="yellow"/>
        </w:rPr>
        <w:t>投标函（格式见附件）;</w:t>
      </w:r>
    </w:p>
    <w:p>
      <w:pPr>
        <w:pStyle w:val="75"/>
        <w:numPr>
          <w:ilvl w:val="0"/>
          <w:numId w:val="19"/>
        </w:numPr>
        <w:ind w:left="425" w:leftChars="0" w:hanging="425" w:firstLineChars="0"/>
        <w:rPr>
          <w:b w:val="0"/>
          <w:bCs/>
          <w:highlight w:val="yellow"/>
        </w:rPr>
      </w:pPr>
      <w:r>
        <w:rPr>
          <w:rFonts w:hint="eastAsia"/>
          <w:b w:val="0"/>
          <w:bCs/>
          <w:highlight w:val="yellow"/>
        </w:rPr>
        <w:t>商务条款偏离表；</w:t>
      </w:r>
    </w:p>
    <w:p>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28.49 </w:t>
      </w:r>
      <w:r>
        <w:rPr>
          <w:rFonts w:hint="eastAsia" w:cs="Times New Roman"/>
          <w:b w:val="0"/>
          <w:bCs/>
          <w:highlight w:val="none"/>
        </w:rPr>
        <w:t>万元（含税），超过投标限价无法投标。</w:t>
      </w:r>
    </w:p>
    <w:p>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pPr>
        <w:pStyle w:val="75"/>
        <w:numPr>
          <w:ilvl w:val="0"/>
          <w:numId w:val="20"/>
        </w:numPr>
        <w:rPr>
          <w:bCs/>
        </w:rPr>
      </w:pPr>
      <w:r>
        <w:rPr>
          <w:rFonts w:hint="eastAsia"/>
          <w:bCs/>
        </w:rPr>
        <w:t>投标方式：</w:t>
      </w:r>
      <w:r>
        <w:rPr>
          <w:rFonts w:hint="eastAsia"/>
        </w:rPr>
        <w:t>在“中国重汽e采通”平台</w:t>
      </w:r>
      <w:r>
        <w:rPr>
          <w:rFonts w:hint="eastAsia"/>
          <w:bCs/>
        </w:rPr>
        <w:t>线上投标</w:t>
      </w:r>
    </w:p>
    <w:p>
      <w:pPr>
        <w:pStyle w:val="75"/>
        <w:numPr>
          <w:ilvl w:val="0"/>
          <w:numId w:val="20"/>
        </w:numPr>
        <w:rPr>
          <w:bCs/>
        </w:rPr>
      </w:pPr>
      <w:r>
        <w:rPr>
          <w:rFonts w:hint="eastAsia"/>
          <w:bCs/>
        </w:rPr>
        <w:t>联系人及联系方式：郭朝琛/</w:t>
      </w:r>
      <w:r>
        <w:rPr>
          <w:rFonts w:hint="eastAsia"/>
          <w:bCs/>
          <w:lang w:val="en-US" w:eastAsia="zh-CN"/>
        </w:rPr>
        <w:t>17860606311</w:t>
      </w:r>
    </w:p>
    <w:p>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23</w:t>
      </w:r>
      <w:r>
        <w:rPr>
          <w:rFonts w:hint="eastAsia"/>
          <w:bCs/>
          <w:highlight w:val="yellow"/>
        </w:rPr>
        <w:t>日9:00:00</w:t>
      </w:r>
    </w:p>
    <w:p>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ascii="宋体" w:hAnsi="宋体" w:eastAsia="宋体" w:cs="宋体"/>
          <w:sz w:val="24"/>
          <w:szCs w:val="24"/>
        </w:rPr>
        <w:t>开户银行：中国银行章丘支行</w:t>
      </w:r>
      <w:r>
        <w:rPr>
          <w:rFonts w:ascii="宋体" w:hAnsi="宋体" w:eastAsia="宋体" w:cs="宋体"/>
          <w:sz w:val="24"/>
          <w:szCs w:val="24"/>
        </w:rPr>
        <w:br w:type="textWrapping"/>
      </w:r>
      <w:r>
        <w:rPr>
          <w:rFonts w:ascii="宋体" w:hAnsi="宋体" w:eastAsia="宋体" w:cs="宋体"/>
          <w:sz w:val="24"/>
          <w:szCs w:val="24"/>
        </w:rPr>
        <w:t>户名：中国重汽集团济南动力有限公司发动机厂</w:t>
      </w:r>
      <w:r>
        <w:rPr>
          <w:rFonts w:ascii="宋体" w:hAnsi="宋体" w:eastAsia="宋体" w:cs="宋体"/>
          <w:sz w:val="24"/>
          <w:szCs w:val="24"/>
        </w:rPr>
        <w:br w:type="textWrapping"/>
      </w:r>
      <w:r>
        <w:rPr>
          <w:rFonts w:ascii="宋体" w:hAnsi="宋体" w:eastAsia="宋体" w:cs="宋体"/>
          <w:sz w:val="24"/>
          <w:szCs w:val="24"/>
        </w:rPr>
        <w:t>账号：2234 0557 4478</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23</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pPr>
        <w:pStyle w:val="72"/>
      </w:pPr>
      <w:r>
        <w:rPr>
          <w:rFonts w:hint="eastAsia"/>
          <w:lang w:val="en-US" w:eastAsia="zh-CN"/>
        </w:rPr>
        <w:t>开评标</w:t>
      </w:r>
    </w:p>
    <w:p>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23</w:t>
      </w:r>
      <w:r>
        <w:rPr>
          <w:rFonts w:hint="eastAsia" w:ascii="宋体" w:hAnsi="宋体" w:eastAsia="宋体" w:cs="宋体"/>
          <w:b w:val="0"/>
          <w:bCs w:val="0"/>
          <w:sz w:val="21"/>
          <w:szCs w:val="21"/>
          <w:highlight w:val="yellow"/>
        </w:rPr>
        <w:t>日9:00:00</w:t>
      </w:r>
    </w:p>
    <w:p>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72"/>
        <w:numPr>
          <w:ilvl w:val="0"/>
          <w:numId w:val="0"/>
        </w:numPr>
        <w:rPr>
          <w:rFonts w:hint="default" w:ascii="宋体" w:hAnsi="宋体" w:eastAsia="宋体" w:cs="宋体"/>
          <w:b w:val="0"/>
          <w:bCs w:val="0"/>
          <w:sz w:val="24"/>
          <w:szCs w:val="24"/>
          <w:highlight w:val="none"/>
          <w:lang w:val="en-US" w:eastAsia="zh-CN"/>
        </w:rPr>
      </w:pPr>
    </w:p>
    <w:p>
      <w:pPr>
        <w:pStyle w:val="72"/>
      </w:pPr>
      <w:r>
        <w:rPr>
          <w:rFonts w:hint="eastAsia"/>
          <w:lang w:val="en-US" w:eastAsia="zh-CN"/>
        </w:rPr>
        <w:t>定标</w:t>
      </w:r>
    </w:p>
    <w:p>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pPr>
        <w:pStyle w:val="72"/>
      </w:pPr>
      <w:r>
        <w:rPr>
          <w:rFonts w:hint="eastAsia"/>
          <w:lang w:val="en-US" w:eastAsia="zh-CN"/>
        </w:rPr>
        <w:t>废标及终止招标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8"/>
      <w:bookmarkStart w:id="12" w:name="OLE_LINK29"/>
      <w:bookmarkStart w:id="13" w:name="OLE_LINK25"/>
      <w:bookmarkStart w:id="14" w:name="OLE_LINK27"/>
      <w:bookmarkStart w:id="15" w:name="OLE_LINK26"/>
      <w:r>
        <w:rPr>
          <w:rFonts w:hint="eastAsia" w:ascii="宋体" w:hAnsi="宋体" w:eastAsia="宋体" w:cs="宋体"/>
          <w:bCs/>
          <w:sz w:val="21"/>
          <w:szCs w:val="21"/>
          <w:highlight w:val="none"/>
        </w:rPr>
        <w:t>；</w:t>
      </w:r>
      <w:bookmarkEnd w:id="11"/>
      <w:bookmarkEnd w:id="12"/>
      <w:bookmarkEnd w:id="13"/>
      <w:bookmarkEnd w:id="14"/>
      <w:bookmarkEnd w:id="15"/>
    </w:p>
    <w:p>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2"/>
      </w:pPr>
      <w:r>
        <w:rPr>
          <w:rFonts w:hint="eastAsia"/>
          <w:lang w:val="en-US" w:eastAsia="zh-CN"/>
        </w:rPr>
        <w:t>合同签订</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pPr>
        <w:pStyle w:val="72"/>
      </w:pPr>
      <w:r>
        <w:rPr>
          <w:rFonts w:hint="eastAsia"/>
          <w:lang w:val="en-US" w:eastAsia="zh-CN"/>
        </w:rPr>
        <w:t>交货及付款</w:t>
      </w:r>
    </w:p>
    <w:p>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pPr>
        <w:pStyle w:val="72"/>
        <w:rPr>
          <w:rFonts w:hint="eastAsia"/>
          <w:lang w:val="en-US" w:eastAsia="zh-CN"/>
        </w:rPr>
      </w:pPr>
      <w:r>
        <w:rPr>
          <w:rFonts w:hint="eastAsia"/>
          <w:lang w:val="en-US" w:eastAsia="zh-CN"/>
        </w:rPr>
        <w:t>本次招标最终解释权归中国重汽集团济南动力有限公司发动机厂。</w:t>
      </w:r>
    </w:p>
    <w:p>
      <w:pPr>
        <w:rPr>
          <w:rFonts w:hint="eastAsia"/>
        </w:rPr>
      </w:pPr>
      <w:bookmarkStart w:id="16" w:name="_Toc47976607"/>
      <w:bookmarkStart w:id="17" w:name="_Toc1910"/>
      <w:r>
        <w:rPr>
          <w:rFonts w:hint="eastAsia"/>
        </w:rPr>
        <w:br w:type="page"/>
      </w:r>
    </w:p>
    <w:p>
      <w:pPr>
        <w:pStyle w:val="71"/>
        <w:jc w:val="center"/>
        <w:rPr>
          <w:rFonts w:hint="default" w:eastAsia="黑体"/>
          <w:lang w:val="en-US" w:eastAsia="zh-CN"/>
        </w:rPr>
      </w:pPr>
      <w:r>
        <w:rPr>
          <w:rFonts w:hint="eastAsia"/>
        </w:rPr>
        <w:t>第二部分　</w:t>
      </w:r>
      <w:bookmarkEnd w:id="16"/>
      <w:r>
        <w:rPr>
          <w:rFonts w:hint="eastAsia"/>
          <w:lang w:val="en-US" w:eastAsia="zh-CN"/>
        </w:rPr>
        <w:t>技术标书</w:t>
      </w:r>
      <w:bookmarkEnd w:id="17"/>
    </w:p>
    <w:p>
      <w:pPr>
        <w:spacing w:line="360" w:lineRule="auto"/>
        <w:ind w:firstLine="3253" w:firstLineChars="900"/>
        <w:jc w:val="both"/>
        <w:rPr>
          <w:rFonts w:ascii="黑体" w:eastAsia="黑体"/>
          <w:b/>
          <w:bCs/>
          <w:sz w:val="36"/>
          <w:szCs w:val="36"/>
          <w:highlight w:val="none"/>
        </w:rPr>
      </w:pPr>
      <w:r>
        <w:rPr>
          <w:rFonts w:ascii="黑体" w:eastAsia="黑体"/>
          <w:b/>
          <w:bCs/>
          <w:sz w:val="36"/>
          <w:szCs w:val="36"/>
          <w:highlight w:val="none"/>
        </w:rPr>
        <w:t>技术</w:t>
      </w:r>
      <w:r>
        <w:rPr>
          <w:rFonts w:hint="eastAsia" w:ascii="黑体" w:eastAsia="黑体"/>
          <w:b/>
          <w:bCs/>
          <w:sz w:val="36"/>
          <w:szCs w:val="36"/>
          <w:highlight w:val="none"/>
        </w:rPr>
        <w:t>协议</w:t>
      </w:r>
      <w:r>
        <w:rPr>
          <w:rFonts w:ascii="黑体" w:eastAsia="黑体"/>
          <w:b/>
          <w:bCs/>
          <w:sz w:val="36"/>
          <w:szCs w:val="36"/>
          <w:highlight w:val="none"/>
        </w:rPr>
        <w:t>书</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一、项目名称</w:t>
      </w:r>
    </w:p>
    <w:p>
      <w:pPr>
        <w:pStyle w:val="14"/>
        <w:spacing w:line="360" w:lineRule="auto"/>
        <w:rPr>
          <w:rFonts w:hint="eastAsia"/>
          <w:highlight w:val="none"/>
        </w:rPr>
      </w:pPr>
      <w:r>
        <w:rPr>
          <w:rFonts w:hint="eastAsia"/>
          <w:highlight w:val="none"/>
        </w:rPr>
        <w:t>机加工部对刀仪大项修项目</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二、主要技术状态说明</w:t>
      </w:r>
    </w:p>
    <w:p>
      <w:pPr>
        <w:pStyle w:val="14"/>
        <w:spacing w:line="360" w:lineRule="auto"/>
        <w:ind w:firstLine="440" w:firstLineChars="200"/>
        <w:rPr>
          <w:rFonts w:hint="eastAsia"/>
          <w:sz w:val="22"/>
          <w:highlight w:val="none"/>
          <w:lang w:val="en-US" w:eastAsia="zh-CN"/>
        </w:rPr>
      </w:pPr>
      <w:r>
        <w:rPr>
          <w:rFonts w:hint="eastAsia"/>
          <w:sz w:val="22"/>
          <w:highlight w:val="none"/>
          <w:lang w:val="en-US" w:eastAsia="zh-CN"/>
        </w:rPr>
        <w:t>机加工部对刀仪</w:t>
      </w:r>
    </w:p>
    <w:p>
      <w:pPr>
        <w:pStyle w:val="14"/>
        <w:spacing w:line="360" w:lineRule="auto"/>
        <w:ind w:firstLine="440" w:firstLineChars="200"/>
        <w:rPr>
          <w:rFonts w:hint="eastAsia"/>
          <w:sz w:val="22"/>
          <w:highlight w:val="none"/>
          <w:lang w:val="en-US" w:eastAsia="zh-CN"/>
        </w:rPr>
      </w:pPr>
      <w:r>
        <w:rPr>
          <w:rFonts w:hint="eastAsia"/>
          <w:sz w:val="22"/>
          <w:highlight w:val="none"/>
          <w:lang w:val="en-US" w:eastAsia="zh-CN"/>
        </w:rPr>
        <w:t>1.缸盖新对刀仪（4518-jx-570-00001）：自2025.03月份电脑无法启动，自行维修失败，无相同型号的电脑可以更换。</w:t>
      </w:r>
    </w:p>
    <w:p>
      <w:pPr>
        <w:pStyle w:val="14"/>
        <w:spacing w:line="360" w:lineRule="auto"/>
        <w:ind w:firstLine="440" w:firstLineChars="200"/>
        <w:rPr>
          <w:rFonts w:hint="eastAsia"/>
          <w:sz w:val="22"/>
          <w:highlight w:val="none"/>
          <w:lang w:val="en-US" w:eastAsia="zh-CN"/>
        </w:rPr>
      </w:pPr>
      <w:r>
        <w:rPr>
          <w:rFonts w:hint="eastAsia"/>
          <w:sz w:val="22"/>
          <w:highlight w:val="none"/>
          <w:lang w:val="en-US" w:eastAsia="zh-CN"/>
        </w:rPr>
        <w:t>2.缸体新对刀仪（4517-jx-570-00015） ：触屏玻璃膜裂痕，刀具直径测量不准，比另外两台测量结果偏小。</w:t>
      </w:r>
    </w:p>
    <w:p>
      <w:pPr>
        <w:pStyle w:val="14"/>
        <w:spacing w:line="360" w:lineRule="auto"/>
        <w:ind w:firstLine="440" w:firstLineChars="200"/>
        <w:rPr>
          <w:rFonts w:hint="eastAsia"/>
          <w:sz w:val="22"/>
          <w:highlight w:val="none"/>
          <w:lang w:val="en-US" w:eastAsia="zh-CN"/>
        </w:rPr>
      </w:pPr>
      <w:r>
        <w:rPr>
          <w:rFonts w:hint="eastAsia"/>
          <w:sz w:val="22"/>
          <w:highlight w:val="none"/>
          <w:lang w:val="en-US" w:eastAsia="zh-CN"/>
        </w:rPr>
        <w:t>3.三台对刀仪均需要进行精度校准及保养。</w:t>
      </w:r>
    </w:p>
    <w:p>
      <w:pPr>
        <w:pStyle w:val="14"/>
        <w:numPr>
          <w:ilvl w:val="0"/>
          <w:numId w:val="28"/>
        </w:numPr>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技术要求</w:t>
      </w:r>
    </w:p>
    <w:p>
      <w:pPr>
        <w:pStyle w:val="14"/>
        <w:spacing w:line="360" w:lineRule="auto"/>
        <w:ind w:firstLine="440" w:firstLineChars="200"/>
        <w:rPr>
          <w:rFonts w:hint="eastAsia"/>
          <w:sz w:val="22"/>
          <w:highlight w:val="none"/>
        </w:rPr>
      </w:pPr>
      <w:r>
        <w:rPr>
          <w:rFonts w:hint="eastAsia"/>
          <w:sz w:val="22"/>
          <w:highlight w:val="none"/>
          <w:lang w:val="en-US" w:eastAsia="zh-CN"/>
        </w:rPr>
        <w:t>1、</w:t>
      </w:r>
      <w:r>
        <w:rPr>
          <w:rFonts w:hint="eastAsia"/>
          <w:sz w:val="22"/>
          <w:highlight w:val="none"/>
        </w:rPr>
        <w:t>乙方负责对</w:t>
      </w:r>
      <w:r>
        <w:rPr>
          <w:rFonts w:hint="eastAsia"/>
          <w:sz w:val="22"/>
          <w:highlight w:val="none"/>
          <w:lang w:val="en-US" w:eastAsia="zh-CN"/>
        </w:rPr>
        <w:t>机加工部对刀仪</w:t>
      </w:r>
      <w:r>
        <w:rPr>
          <w:rFonts w:hint="eastAsia"/>
          <w:sz w:val="22"/>
          <w:highlight w:val="none"/>
        </w:rPr>
        <w:t>进行维修维保，对24寸一体机显示屏</w:t>
      </w:r>
      <w:r>
        <w:rPr>
          <w:rFonts w:hint="eastAsia"/>
          <w:sz w:val="22"/>
          <w:highlight w:val="none"/>
          <w:lang w:eastAsia="zh-CN"/>
        </w:rPr>
        <w:t>、主轴、主轴铜衬套、24寸一体机（</w:t>
      </w:r>
      <w:r>
        <w:rPr>
          <w:rFonts w:hint="eastAsia"/>
          <w:sz w:val="22"/>
          <w:highlight w:val="none"/>
          <w:lang w:val="en-US" w:eastAsia="zh-CN"/>
        </w:rPr>
        <w:t>含测量软件）进行更换及</w:t>
      </w:r>
      <w:r>
        <w:rPr>
          <w:rFonts w:hint="eastAsia"/>
          <w:sz w:val="22"/>
          <w:highlight w:val="none"/>
        </w:rPr>
        <w:t>精度校准，出具维保检测报告，检测报告包括各维保部位检测结果、关键零部件使用情况。</w:t>
      </w:r>
    </w:p>
    <w:p>
      <w:pPr>
        <w:pStyle w:val="14"/>
        <w:spacing w:line="360" w:lineRule="auto"/>
        <w:ind w:firstLine="440" w:firstLineChars="200"/>
        <w:rPr>
          <w:rFonts w:hint="eastAsia"/>
          <w:sz w:val="22"/>
          <w:highlight w:val="none"/>
        </w:rPr>
      </w:pPr>
      <w:r>
        <w:rPr>
          <w:rFonts w:hint="eastAsia"/>
          <w:sz w:val="22"/>
          <w:highlight w:val="none"/>
          <w:lang w:val="en-US" w:eastAsia="zh-CN"/>
        </w:rPr>
        <w:t>2、</w:t>
      </w:r>
      <w:r>
        <w:rPr>
          <w:rFonts w:hint="eastAsia"/>
          <w:sz w:val="22"/>
          <w:highlight w:val="none"/>
        </w:rPr>
        <w:t>精度校准要求：径向重复精度≤0.00</w:t>
      </w:r>
      <w:r>
        <w:rPr>
          <w:rFonts w:hint="eastAsia"/>
          <w:sz w:val="22"/>
          <w:highlight w:val="none"/>
          <w:lang w:val="en-US" w:eastAsia="zh-CN"/>
        </w:rPr>
        <w:t>5</w:t>
      </w:r>
      <w:r>
        <w:rPr>
          <w:rFonts w:hint="eastAsia"/>
          <w:sz w:val="22"/>
          <w:highlight w:val="none"/>
        </w:rPr>
        <w:t>mm</w:t>
      </w:r>
      <w:r>
        <w:rPr>
          <w:rFonts w:hint="eastAsia"/>
          <w:sz w:val="22"/>
          <w:highlight w:val="none"/>
          <w:lang w:eastAsia="zh-CN"/>
        </w:rPr>
        <w:t>，</w:t>
      </w:r>
      <w:r>
        <w:rPr>
          <w:rFonts w:hint="eastAsia"/>
          <w:sz w:val="22"/>
          <w:highlight w:val="none"/>
        </w:rPr>
        <w:t>轴向重复精度≤0.00</w:t>
      </w:r>
      <w:r>
        <w:rPr>
          <w:rFonts w:hint="eastAsia"/>
          <w:sz w:val="22"/>
          <w:highlight w:val="none"/>
          <w:lang w:val="en-US" w:eastAsia="zh-CN"/>
        </w:rPr>
        <w:t>5</w:t>
      </w:r>
      <w:r>
        <w:rPr>
          <w:rFonts w:hint="eastAsia"/>
          <w:sz w:val="22"/>
          <w:highlight w:val="none"/>
        </w:rPr>
        <w:t>mm</w:t>
      </w:r>
    </w:p>
    <w:p>
      <w:pPr>
        <w:pStyle w:val="14"/>
        <w:spacing w:line="360" w:lineRule="auto"/>
        <w:ind w:firstLine="440" w:firstLineChars="200"/>
        <w:rPr>
          <w:rFonts w:hint="eastAsia"/>
          <w:sz w:val="22"/>
          <w:highlight w:val="none"/>
        </w:rPr>
      </w:pPr>
      <w:r>
        <w:rPr>
          <w:rFonts w:hint="eastAsia"/>
          <w:sz w:val="22"/>
          <w:highlight w:val="none"/>
          <w:lang w:val="en-US" w:eastAsia="zh-CN"/>
        </w:rPr>
        <w:t>3、</w:t>
      </w:r>
      <w:r>
        <w:rPr>
          <w:rFonts w:hint="eastAsia"/>
          <w:sz w:val="22"/>
          <w:highlight w:val="none"/>
        </w:rPr>
        <w:t>关键部件检查：测头灵敏度检测</w:t>
      </w:r>
      <w:r>
        <w:rPr>
          <w:rFonts w:hint="eastAsia"/>
          <w:sz w:val="22"/>
          <w:highlight w:val="none"/>
          <w:lang w:eastAsia="zh-CN"/>
        </w:rPr>
        <w:t>，</w:t>
      </w:r>
      <w:r>
        <w:rPr>
          <w:rFonts w:hint="eastAsia"/>
          <w:sz w:val="22"/>
          <w:highlight w:val="none"/>
        </w:rPr>
        <w:t>信号传输系统校验</w:t>
      </w:r>
      <w:r>
        <w:rPr>
          <w:rFonts w:hint="eastAsia"/>
          <w:sz w:val="22"/>
          <w:highlight w:val="none"/>
          <w:lang w:eastAsia="zh-CN"/>
        </w:rPr>
        <w:t>，</w:t>
      </w:r>
      <w:r>
        <w:rPr>
          <w:rFonts w:hint="eastAsia"/>
          <w:sz w:val="22"/>
          <w:highlight w:val="none"/>
        </w:rPr>
        <w:t>防碰撞机构测试</w:t>
      </w:r>
    </w:p>
    <w:p>
      <w:pPr>
        <w:pStyle w:val="14"/>
        <w:spacing w:line="360" w:lineRule="auto"/>
        <w:ind w:firstLine="440" w:firstLineChars="200"/>
        <w:rPr>
          <w:rFonts w:hint="eastAsia"/>
          <w:sz w:val="22"/>
          <w:highlight w:val="none"/>
        </w:rPr>
      </w:pPr>
      <w:r>
        <w:rPr>
          <w:rFonts w:hint="eastAsia"/>
          <w:sz w:val="22"/>
          <w:highlight w:val="none"/>
          <w:lang w:val="en-US" w:eastAsia="zh-CN"/>
        </w:rPr>
        <w:t>4、</w:t>
      </w:r>
      <w:r>
        <w:rPr>
          <w:rFonts w:hint="eastAsia"/>
          <w:sz w:val="22"/>
          <w:highlight w:val="none"/>
        </w:rPr>
        <w:t>维修后必须进行：静态精度验证</w:t>
      </w:r>
      <w:r>
        <w:rPr>
          <w:rFonts w:hint="eastAsia"/>
          <w:sz w:val="22"/>
          <w:highlight w:val="none"/>
          <w:lang w:eastAsia="zh-CN"/>
        </w:rPr>
        <w:t>，</w:t>
      </w:r>
      <w:r>
        <w:rPr>
          <w:rFonts w:hint="eastAsia"/>
          <w:sz w:val="22"/>
          <w:highlight w:val="none"/>
        </w:rPr>
        <w:t>动态测试（≥</w:t>
      </w:r>
      <w:r>
        <w:rPr>
          <w:rFonts w:hint="eastAsia"/>
          <w:sz w:val="22"/>
          <w:highlight w:val="none"/>
          <w:lang w:val="en-US" w:eastAsia="zh-CN"/>
        </w:rPr>
        <w:t>2</w:t>
      </w:r>
      <w:r>
        <w:rPr>
          <w:rFonts w:hint="eastAsia"/>
          <w:sz w:val="22"/>
          <w:highlight w:val="none"/>
        </w:rPr>
        <w:t>0次重复测量）</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四、施工要求：</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1</w:t>
      </w:r>
      <w:r>
        <w:rPr>
          <w:rFonts w:hint="eastAsia" w:ascii="宋体" w:hAnsi="Courier New"/>
          <w:sz w:val="22"/>
          <w:szCs w:val="22"/>
          <w:highlight w:val="none"/>
        </w:rPr>
        <w:t>、施工人员需取得相关证件，施工过程中使用的机械及工具类均应符合国家安全要求。</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2</w:t>
      </w:r>
      <w:r>
        <w:rPr>
          <w:rFonts w:hint="eastAsia" w:ascii="宋体" w:hAnsi="Courier New"/>
          <w:sz w:val="22"/>
          <w:szCs w:val="22"/>
          <w:highlight w:val="none"/>
        </w:rPr>
        <w:t>、安全环保要求：乙方在施工期间，必须服从甲方的管理，遵守甲方的厂规厂纪，必须符合甲方环保/职业健康安全的有关规定，做到安全施工文明生产，否则甲方有权停止乙方的工作，并有权要求乙方更换工作人员。因乙方责任造成的安全事故，由乙方承担全部责任。需另签安全施工协议。 </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3</w:t>
      </w:r>
      <w:r>
        <w:rPr>
          <w:rFonts w:hint="eastAsia" w:ascii="宋体" w:hAnsi="Courier New"/>
          <w:sz w:val="22"/>
          <w:szCs w:val="22"/>
          <w:highlight w:val="none"/>
        </w:rPr>
        <w:t>、项目施工时间需服从甲方安排，不得影响甲方正常生产。</w:t>
      </w:r>
    </w:p>
    <w:p>
      <w:pPr>
        <w:spacing w:line="360" w:lineRule="auto"/>
        <w:ind w:firstLine="440" w:firstLineChars="200"/>
        <w:rPr>
          <w:rFonts w:ascii="宋体" w:hAnsi="Courier New"/>
          <w:sz w:val="22"/>
          <w:szCs w:val="22"/>
          <w:highlight w:val="none"/>
        </w:rPr>
      </w:pPr>
      <w:r>
        <w:rPr>
          <w:rFonts w:ascii="宋体" w:hAnsi="Courier New"/>
          <w:sz w:val="22"/>
          <w:szCs w:val="22"/>
          <w:highlight w:val="none"/>
        </w:rPr>
        <w:t>4</w:t>
      </w:r>
      <w:r>
        <w:rPr>
          <w:rFonts w:hint="eastAsia" w:ascii="宋体" w:hAnsi="Courier New"/>
          <w:sz w:val="22"/>
          <w:szCs w:val="22"/>
          <w:highlight w:val="none"/>
        </w:rPr>
        <w:t>、乙方应具备相应的资质：</w:t>
      </w:r>
    </w:p>
    <w:p>
      <w:pPr>
        <w:spacing w:line="360" w:lineRule="auto"/>
        <w:ind w:firstLine="440" w:firstLineChars="200"/>
        <w:rPr>
          <w:rFonts w:ascii="宋体" w:hAnsi="Courier New"/>
          <w:sz w:val="22"/>
          <w:szCs w:val="22"/>
          <w:highlight w:val="none"/>
        </w:rPr>
      </w:pPr>
      <w:r>
        <w:rPr>
          <w:rFonts w:hint="eastAsia" w:ascii="宋体" w:hAnsi="Courier New"/>
          <w:sz w:val="22"/>
          <w:szCs w:val="22"/>
          <w:highlight w:val="none"/>
        </w:rPr>
        <w:t>施工高度在2M以上项目需提供人员《高空类作业证》，接电作业者需提供《电工类作业证》。</w:t>
      </w:r>
    </w:p>
    <w:p>
      <w:pPr>
        <w:pStyle w:val="14"/>
        <w:spacing w:line="360" w:lineRule="auto"/>
        <w:ind w:firstLine="440" w:firstLineChars="200"/>
        <w:rPr>
          <w:sz w:val="22"/>
          <w:highlight w:val="none"/>
        </w:rPr>
      </w:pPr>
      <w:r>
        <w:rPr>
          <w:sz w:val="22"/>
          <w:highlight w:val="none"/>
        </w:rPr>
        <w:t>5</w:t>
      </w:r>
      <w:r>
        <w:rPr>
          <w:rFonts w:hint="eastAsia"/>
          <w:sz w:val="22"/>
          <w:highlight w:val="none"/>
        </w:rPr>
        <w:t>、由于乙方责任，造成甲方设备的损坏、丢失的，应当赔偿甲方因此造成的损失。赔偿金额视设备的损坏程度及价值而定。</w:t>
      </w:r>
    </w:p>
    <w:p>
      <w:pPr>
        <w:pStyle w:val="14"/>
        <w:spacing w:line="360" w:lineRule="auto"/>
        <w:ind w:firstLine="440" w:firstLineChars="200"/>
        <w:rPr>
          <w:sz w:val="22"/>
          <w:highlight w:val="none"/>
        </w:rPr>
      </w:pPr>
      <w:r>
        <w:rPr>
          <w:sz w:val="22"/>
          <w:highlight w:val="none"/>
        </w:rPr>
        <w:t>6</w:t>
      </w:r>
      <w:r>
        <w:rPr>
          <w:rFonts w:hint="eastAsia"/>
          <w:sz w:val="22"/>
          <w:highlight w:val="none"/>
        </w:rPr>
        <w:t>、乙方完成的工作少于合同规定时，甲方仍然需要的，应当照数补齐，补齐部分按逾期交付处理；少交迟交部分甲方不再需要的，乙方应承担因此造成的损失。</w:t>
      </w:r>
    </w:p>
    <w:p>
      <w:pPr>
        <w:pStyle w:val="14"/>
        <w:spacing w:line="360" w:lineRule="auto"/>
        <w:ind w:firstLine="440" w:firstLineChars="200"/>
        <w:rPr>
          <w:sz w:val="22"/>
          <w:highlight w:val="none"/>
        </w:rPr>
      </w:pPr>
      <w:r>
        <w:rPr>
          <w:sz w:val="22"/>
          <w:highlight w:val="none"/>
        </w:rPr>
        <w:t>7</w:t>
      </w:r>
      <w:r>
        <w:rPr>
          <w:rFonts w:hint="eastAsia"/>
          <w:sz w:val="22"/>
          <w:highlight w:val="none"/>
        </w:rPr>
        <w:t>、乙方保证全部按照合同条款规定和交货期向甲方主提供上述合格的设备和服务，并对材料及安装服务提供一年的质保，质保期自验收合格之日起开始计算，质保期内发生质量问题由乙方负责免费整改。</w:t>
      </w:r>
    </w:p>
    <w:p>
      <w:pPr>
        <w:pStyle w:val="14"/>
        <w:spacing w:line="360" w:lineRule="auto"/>
        <w:ind w:firstLine="440" w:firstLineChars="200"/>
        <w:rPr>
          <w:sz w:val="22"/>
          <w:highlight w:val="none"/>
        </w:rPr>
      </w:pPr>
      <w:r>
        <w:rPr>
          <w:sz w:val="22"/>
          <w:highlight w:val="none"/>
        </w:rPr>
        <w:t>8</w:t>
      </w:r>
      <w:r>
        <w:rPr>
          <w:rFonts w:hint="eastAsia"/>
          <w:sz w:val="22"/>
          <w:highlight w:val="none"/>
        </w:rPr>
        <w:t>、质保期终止之日起一年内重复出现的质保期之内出现的故障，仍属质保范围而且应当免费。</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五、验收标准：</w:t>
      </w:r>
    </w:p>
    <w:p>
      <w:pPr>
        <w:pStyle w:val="14"/>
        <w:spacing w:line="360" w:lineRule="auto"/>
        <w:ind w:firstLine="440" w:firstLineChars="200"/>
        <w:rPr>
          <w:rFonts w:hint="eastAsia" w:hAnsi="宋体" w:cs="宋体"/>
          <w:sz w:val="22"/>
          <w:highlight w:val="none"/>
        </w:rPr>
      </w:pPr>
      <w:r>
        <w:rPr>
          <w:rFonts w:hint="eastAsia" w:hAnsi="宋体" w:cs="宋体"/>
          <w:color w:val="000000"/>
          <w:sz w:val="22"/>
          <w:highlight w:val="none"/>
        </w:rPr>
        <w:t>1</w:t>
      </w:r>
      <w:r>
        <w:rPr>
          <w:rFonts w:hint="eastAsia" w:hAnsi="宋体" w:cs="宋体"/>
          <w:color w:val="auto"/>
          <w:sz w:val="22"/>
          <w:highlight w:val="none"/>
        </w:rPr>
        <w:t>.</w:t>
      </w:r>
      <w:r>
        <w:rPr>
          <w:rFonts w:hint="eastAsia" w:hAnsi="宋体" w:cs="宋体"/>
          <w:sz w:val="22"/>
          <w:highlight w:val="none"/>
        </w:rPr>
        <w:t>维</w:t>
      </w:r>
      <w:r>
        <w:rPr>
          <w:rFonts w:hint="eastAsia" w:hAnsi="宋体" w:cs="宋体"/>
          <w:sz w:val="22"/>
          <w:highlight w:val="none"/>
          <w:lang w:val="en-US" w:eastAsia="zh-CN"/>
        </w:rPr>
        <w:t>修</w:t>
      </w:r>
      <w:r>
        <w:rPr>
          <w:rFonts w:hint="eastAsia" w:hAnsi="宋体" w:cs="宋体"/>
          <w:sz w:val="22"/>
          <w:highlight w:val="none"/>
        </w:rPr>
        <w:t>保</w:t>
      </w:r>
      <w:r>
        <w:rPr>
          <w:rFonts w:hint="eastAsia" w:hAnsi="宋体" w:cs="宋体"/>
          <w:sz w:val="22"/>
          <w:highlight w:val="none"/>
          <w:lang w:val="en-US" w:eastAsia="zh-CN"/>
        </w:rPr>
        <w:t>养</w:t>
      </w:r>
      <w:r>
        <w:rPr>
          <w:rFonts w:hint="eastAsia" w:hAnsi="宋体" w:cs="宋体"/>
          <w:sz w:val="22"/>
          <w:highlight w:val="none"/>
        </w:rPr>
        <w:t>完成后，设备运行稳定</w:t>
      </w:r>
      <w:r>
        <w:rPr>
          <w:rFonts w:hint="eastAsia" w:hAnsi="宋体" w:cs="宋体"/>
          <w:sz w:val="22"/>
          <w:highlight w:val="none"/>
          <w:lang w:eastAsia="zh-CN"/>
        </w:rPr>
        <w:t>，</w:t>
      </w:r>
      <w:r>
        <w:rPr>
          <w:rFonts w:hint="eastAsia" w:hAnsi="宋体" w:cs="宋体"/>
          <w:sz w:val="22"/>
          <w:highlight w:val="none"/>
          <w:lang w:val="en-US" w:eastAsia="zh-CN"/>
        </w:rPr>
        <w:t>测量精度，测量效率满足使用要求，并</w:t>
      </w:r>
      <w:r>
        <w:rPr>
          <w:rFonts w:hint="eastAsia" w:hAnsi="宋体" w:cs="宋体"/>
          <w:sz w:val="22"/>
          <w:highlight w:val="none"/>
        </w:rPr>
        <w:t xml:space="preserve">出具维保检测报告。 </w:t>
      </w:r>
    </w:p>
    <w:p>
      <w:pPr>
        <w:pStyle w:val="14"/>
        <w:spacing w:line="360" w:lineRule="auto"/>
        <w:ind w:firstLine="440" w:firstLineChars="200"/>
        <w:rPr>
          <w:rFonts w:hAnsi="宋体" w:cs="宋体"/>
          <w:sz w:val="22"/>
          <w:highlight w:val="none"/>
        </w:rPr>
      </w:pPr>
      <w:r>
        <w:rPr>
          <w:rFonts w:hint="eastAsia" w:hAnsi="宋体" w:cs="宋体"/>
          <w:sz w:val="22"/>
          <w:highlight w:val="none"/>
        </w:rPr>
        <w:t>2.</w:t>
      </w:r>
      <w:r>
        <w:rPr>
          <w:rFonts w:hint="eastAsia" w:hAnsi="宋体" w:cs="宋体"/>
          <w:sz w:val="22"/>
          <w:highlight w:val="none"/>
          <w:lang w:val="en-US" w:eastAsia="zh-CN"/>
        </w:rPr>
        <w:t>对刀仪</w:t>
      </w:r>
      <w:r>
        <w:rPr>
          <w:rFonts w:hint="eastAsia" w:hAnsi="宋体" w:cs="宋体"/>
          <w:sz w:val="22"/>
          <w:highlight w:val="none"/>
        </w:rPr>
        <w:t>维修后应连续运转</w:t>
      </w:r>
      <w:r>
        <w:rPr>
          <w:rFonts w:hint="eastAsia" w:hAnsi="宋体" w:cs="宋体"/>
          <w:sz w:val="22"/>
          <w:highlight w:val="none"/>
          <w:lang w:val="en-US" w:eastAsia="zh-CN"/>
        </w:rPr>
        <w:t>一月</w:t>
      </w:r>
      <w:r>
        <w:rPr>
          <w:rFonts w:hint="eastAsia" w:hAnsi="宋体" w:cs="宋体"/>
          <w:sz w:val="22"/>
          <w:highlight w:val="none"/>
        </w:rPr>
        <w:t>，运行平稳，</w:t>
      </w:r>
      <w:r>
        <w:rPr>
          <w:rFonts w:hint="eastAsia" w:hAnsi="宋体" w:cs="宋体"/>
          <w:sz w:val="22"/>
          <w:highlight w:val="none"/>
          <w:lang w:val="en-US" w:eastAsia="zh-CN"/>
        </w:rPr>
        <w:t>测量精度，测量效率满足使用要求</w:t>
      </w:r>
      <w:r>
        <w:rPr>
          <w:rFonts w:hint="eastAsia" w:hAnsi="宋体" w:cs="宋体"/>
          <w:sz w:val="22"/>
          <w:highlight w:val="none"/>
        </w:rPr>
        <w:t>。</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六、服务</w:t>
      </w:r>
    </w:p>
    <w:p>
      <w:pPr>
        <w:pStyle w:val="14"/>
        <w:spacing w:line="360" w:lineRule="auto"/>
        <w:ind w:firstLine="440" w:firstLineChars="200"/>
        <w:rPr>
          <w:sz w:val="22"/>
          <w:highlight w:val="none"/>
        </w:rPr>
      </w:pPr>
      <w:r>
        <w:rPr>
          <w:sz w:val="22"/>
          <w:highlight w:val="none"/>
        </w:rPr>
        <w:t>1</w:t>
      </w:r>
      <w:r>
        <w:rPr>
          <w:rFonts w:hint="eastAsia"/>
          <w:sz w:val="22"/>
          <w:highlight w:val="none"/>
        </w:rPr>
        <w:t>、维修工作完成后，并达到甲方验收标准，乙方应及时通报给甲方，按甲方技术要求和国家有关标准共同验收，并填写验收记录，双方签字认可。</w:t>
      </w:r>
    </w:p>
    <w:p>
      <w:pPr>
        <w:spacing w:line="360" w:lineRule="auto"/>
        <w:ind w:firstLine="440" w:firstLineChars="200"/>
        <w:rPr>
          <w:rFonts w:ascii="宋体" w:hAnsi="Courier New"/>
          <w:sz w:val="22"/>
          <w:szCs w:val="22"/>
          <w:highlight w:val="none"/>
        </w:rPr>
      </w:pPr>
      <w:r>
        <w:rPr>
          <w:rFonts w:hint="eastAsia" w:ascii="宋体" w:hAnsi="Courier New"/>
          <w:sz w:val="22"/>
          <w:szCs w:val="22"/>
          <w:highlight w:val="none"/>
        </w:rPr>
        <w:t>2、乙方派往甲方使用现场的人员，应具有较高的业务素质；现场解决问题时，不得无故拖延或推迟，应为甲方提供最佳的服务。</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七、技术资料及培训服务</w:t>
      </w:r>
    </w:p>
    <w:p>
      <w:pPr>
        <w:pStyle w:val="14"/>
        <w:spacing w:line="360" w:lineRule="auto"/>
        <w:ind w:firstLine="440" w:firstLineChars="200"/>
        <w:rPr>
          <w:sz w:val="22"/>
          <w:highlight w:val="none"/>
        </w:rPr>
      </w:pPr>
      <w:r>
        <w:rPr>
          <w:rFonts w:hint="eastAsia"/>
          <w:sz w:val="22"/>
          <w:highlight w:val="none"/>
        </w:rPr>
        <w:t>1、乙方负责对甲方技术、维修和操作人员提供免费的技术和操作、维修等方面的技术指导和培训。</w:t>
      </w:r>
    </w:p>
    <w:p>
      <w:pPr>
        <w:pStyle w:val="14"/>
        <w:spacing w:line="360" w:lineRule="auto"/>
        <w:ind w:firstLine="440" w:firstLineChars="200"/>
        <w:rPr>
          <w:sz w:val="22"/>
          <w:highlight w:val="none"/>
        </w:rPr>
      </w:pPr>
      <w:r>
        <w:rPr>
          <w:rFonts w:hint="eastAsia"/>
          <w:sz w:val="22"/>
          <w:highlight w:val="none"/>
        </w:rPr>
        <w:t>2、乙方按要求免费积极协助和提供甲方以及甲方所委托的工程设计单位有关人员所需要的、与设备有关的工程设计资料、技术咨询等。</w:t>
      </w:r>
    </w:p>
    <w:p>
      <w:pPr>
        <w:pStyle w:val="14"/>
        <w:spacing w:line="360" w:lineRule="auto"/>
        <w:ind w:firstLine="440" w:firstLineChars="200"/>
        <w:rPr>
          <w:sz w:val="22"/>
          <w:highlight w:val="none"/>
        </w:rPr>
      </w:pPr>
      <w:r>
        <w:rPr>
          <w:rFonts w:hint="eastAsia"/>
          <w:sz w:val="22"/>
          <w:highlight w:val="none"/>
        </w:rPr>
        <w:t>3、若乙方提供的设备涉及到外购外协货物、而且该货物的技术质量等较为关键时，应保证能得到供应商的技术支持，并免费为甲方提供安装使用现场的指导与培训。</w:t>
      </w:r>
    </w:p>
    <w:p>
      <w:pPr>
        <w:pStyle w:val="14"/>
        <w:spacing w:line="360" w:lineRule="auto"/>
        <w:ind w:firstLine="440" w:firstLineChars="200"/>
        <w:rPr>
          <w:highlight w:val="none"/>
        </w:rPr>
      </w:pPr>
      <w:r>
        <w:rPr>
          <w:rFonts w:hint="eastAsia"/>
          <w:sz w:val="22"/>
          <w:highlight w:val="none"/>
        </w:rPr>
        <w:t>4、</w:t>
      </w:r>
      <w:r>
        <w:rPr>
          <w:sz w:val="22"/>
          <w:highlight w:val="none"/>
        </w:rPr>
        <w:t>设备使用（操作）说明书，使用说明书包括调试说明、使用说明、操作说明、设备说明、维修资料等操作、安装、调试、保养和维修所需的全部资料(机械的、电气的以及合同规定的其他资料)</w:t>
      </w:r>
      <w:r>
        <w:rPr>
          <w:rFonts w:hint="eastAsia"/>
          <w:sz w:val="22"/>
          <w:highlight w:val="none"/>
        </w:rPr>
        <w:t>。</w:t>
      </w:r>
    </w:p>
    <w:p>
      <w:pPr>
        <w:pStyle w:val="14"/>
        <w:spacing w:line="360" w:lineRule="auto"/>
        <w:rPr>
          <w:rFonts w:hint="eastAsia" w:ascii="黑体" w:hAnsi="黑体" w:eastAsia="黑体"/>
          <w:b/>
          <w:bCs/>
          <w:sz w:val="28"/>
          <w:szCs w:val="28"/>
          <w:highlight w:val="none"/>
        </w:rPr>
      </w:pPr>
      <w:r>
        <w:rPr>
          <w:rFonts w:hint="eastAsia" w:ascii="黑体" w:hAnsi="黑体" w:eastAsia="黑体"/>
          <w:b/>
          <w:bCs/>
          <w:sz w:val="28"/>
          <w:szCs w:val="28"/>
          <w:highlight w:val="none"/>
        </w:rPr>
        <w:t>八、其他</w:t>
      </w:r>
    </w:p>
    <w:p>
      <w:pPr>
        <w:pStyle w:val="14"/>
        <w:spacing w:line="360" w:lineRule="auto"/>
        <w:ind w:firstLine="440" w:firstLineChars="200"/>
        <w:rPr>
          <w:sz w:val="22"/>
          <w:highlight w:val="none"/>
        </w:rPr>
      </w:pPr>
      <w:r>
        <w:rPr>
          <w:rFonts w:hint="eastAsia"/>
          <w:sz w:val="22"/>
          <w:highlight w:val="none"/>
        </w:rPr>
        <w:t>1.乙人承诺对参与该项目所获得的与甲人产品相关的所有信息都予以保密，并承担与此相关的所有法律责任。</w:t>
      </w:r>
    </w:p>
    <w:p>
      <w:pPr>
        <w:pStyle w:val="14"/>
        <w:spacing w:line="360" w:lineRule="auto"/>
        <w:ind w:firstLine="440" w:firstLineChars="200"/>
        <w:rPr>
          <w:sz w:val="22"/>
          <w:highlight w:val="none"/>
        </w:rPr>
      </w:pPr>
      <w:r>
        <w:rPr>
          <w:rFonts w:hint="eastAsia"/>
          <w:sz w:val="22"/>
          <w:highlight w:val="none"/>
        </w:rPr>
        <w:t>2.其余未尽事宜，乙人应与甲人指派的答疑人员充分沟通，理解认可并接受相关技术规范及服务要求。</w:t>
      </w:r>
    </w:p>
    <w:p/>
    <w:p>
      <w:pPr>
        <w:pStyle w:val="76"/>
      </w:pPr>
    </w:p>
    <w:p>
      <w:pPr>
        <w:rPr>
          <w:rFonts w:hint="eastAsia"/>
        </w:rPr>
      </w:pPr>
      <w:bookmarkStart w:id="18" w:name="_Toc47976609"/>
      <w:bookmarkStart w:id="19" w:name="_Toc20595"/>
      <w:r>
        <w:rPr>
          <w:rFonts w:hint="eastAsia"/>
        </w:rPr>
        <w:br w:type="page"/>
      </w:r>
    </w:p>
    <w:p>
      <w:pPr>
        <w:pStyle w:val="71"/>
      </w:pPr>
      <w:r>
        <w:rPr>
          <w:rFonts w:hint="eastAsia"/>
        </w:rPr>
        <w:t>第三部分　合同主要条款</w:t>
      </w:r>
      <w:bookmarkEnd w:id="18"/>
      <w:bookmarkEnd w:id="19"/>
    </w:p>
    <w:p>
      <w:pPr>
        <w:pStyle w:val="72"/>
        <w:numPr>
          <w:ilvl w:val="0"/>
          <w:numId w:val="29"/>
        </w:numPr>
        <w:ind w:left="420"/>
      </w:pPr>
      <w:bookmarkStart w:id="20" w:name="_Toc47976610"/>
      <w:r>
        <w:rPr>
          <w:rFonts w:hint="eastAsia"/>
          <w:lang w:val="en-US" w:eastAsia="zh-CN"/>
        </w:rPr>
        <w:t>标的、数量、</w:t>
      </w:r>
      <w:r>
        <w:rPr>
          <w:rFonts w:hint="eastAsia"/>
        </w:rPr>
        <w:t>交货期</w:t>
      </w:r>
      <w:bookmarkEnd w:id="20"/>
    </w:p>
    <w:p>
      <w:pPr>
        <w:pStyle w:val="72"/>
      </w:pPr>
      <w:bookmarkStart w:id="21" w:name="_Toc47976611"/>
      <w:r>
        <w:rPr>
          <w:rFonts w:hint="eastAsia"/>
        </w:rPr>
        <w:t>交货地点</w:t>
      </w:r>
      <w:bookmarkEnd w:id="21"/>
    </w:p>
    <w:p>
      <w:pPr>
        <w:pStyle w:val="72"/>
      </w:pPr>
      <w:bookmarkStart w:id="22" w:name="_Toc47976612"/>
      <w:r>
        <w:rPr>
          <w:rFonts w:hint="eastAsia"/>
          <w:lang w:val="en-US" w:eastAsia="zh-CN"/>
        </w:rPr>
        <w:t>价款及</w:t>
      </w:r>
      <w:r>
        <w:rPr>
          <w:rFonts w:hint="eastAsia"/>
        </w:rPr>
        <w:t>付款方式</w:t>
      </w:r>
      <w:bookmarkEnd w:id="22"/>
    </w:p>
    <w:p>
      <w:pPr>
        <w:pStyle w:val="72"/>
      </w:pPr>
      <w:bookmarkStart w:id="23" w:name="_Toc47976613"/>
      <w:r>
        <w:rPr>
          <w:rFonts w:hint="eastAsia"/>
          <w:lang w:val="en-US" w:eastAsia="zh-CN"/>
        </w:rPr>
        <w:t>质量要求、</w:t>
      </w:r>
      <w:r>
        <w:rPr>
          <w:rFonts w:hint="eastAsia"/>
        </w:rPr>
        <w:t>保修期及售后服务</w:t>
      </w:r>
      <w:bookmarkEnd w:id="23"/>
    </w:p>
    <w:p>
      <w:pPr>
        <w:pStyle w:val="72"/>
      </w:pPr>
      <w:bookmarkStart w:id="24" w:name="_Toc47976614"/>
      <w:r>
        <w:rPr>
          <w:rFonts w:hint="eastAsia"/>
        </w:rPr>
        <w:t>安装、调试及验收要求</w:t>
      </w:r>
      <w:bookmarkEnd w:id="24"/>
    </w:p>
    <w:p>
      <w:pPr>
        <w:pStyle w:val="72"/>
      </w:pPr>
      <w:r>
        <w:rPr>
          <w:rFonts w:hint="eastAsia"/>
          <w:lang w:val="en-US" w:eastAsia="zh-CN"/>
        </w:rPr>
        <w:t>违约责任</w:t>
      </w:r>
    </w:p>
    <w:p>
      <w:pPr>
        <w:pStyle w:val="72"/>
      </w:pPr>
      <w:r>
        <w:rPr>
          <w:rFonts w:hint="eastAsia"/>
          <w:lang w:val="en-US" w:eastAsia="zh-CN"/>
        </w:rPr>
        <w:t>争议解决方式</w:t>
      </w: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6"/>
      </w:pPr>
    </w:p>
    <w:p>
      <w:pPr>
        <w:pStyle w:val="71"/>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pPr>
        <w:pStyle w:val="71"/>
        <w:jc w:val="left"/>
        <w:rPr>
          <w:rFonts w:hint="eastAsia" w:ascii="宋体" w:hAnsi="宋体" w:eastAsia="宋体" w:cs="宋体"/>
          <w:sz w:val="32"/>
          <w:szCs w:val="32"/>
          <w:highlight w:val="yellow"/>
          <w:lang w:eastAsia="zh-CN"/>
        </w:rPr>
      </w:pPr>
      <w:bookmarkStart w:id="27" w:name="_Toc4225"/>
      <w:bookmarkStart w:id="28" w:name="_Toc47976616"/>
      <w:r>
        <w:rPr>
          <w:rFonts w:hint="eastAsia" w:ascii="宋体" w:hAnsi="宋体" w:eastAsia="宋体" w:cs="宋体"/>
          <w:sz w:val="32"/>
          <w:szCs w:val="32"/>
          <w:highlight w:val="yellow"/>
        </w:rPr>
        <w:t>附件</w:t>
      </w:r>
      <w:bookmarkEnd w:id="27"/>
      <w:bookmarkEnd w:id="28"/>
      <w:r>
        <w:rPr>
          <w:rFonts w:hint="eastAsia" w:ascii="宋体" w:hAnsi="宋体" w:eastAsia="宋体" w:cs="宋体"/>
          <w:sz w:val="32"/>
          <w:szCs w:val="32"/>
          <w:highlight w:val="yellow"/>
          <w:lang w:val="en-US" w:eastAsia="zh-CN"/>
        </w:rPr>
        <w:t>1</w:t>
      </w:r>
    </w:p>
    <w:p>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jc w:val="both"/>
        <w:rPr>
          <w:rFonts w:ascii="宋体"/>
          <w:b/>
          <w:color w:val="000000"/>
          <w:szCs w:val="24"/>
        </w:rPr>
      </w:pPr>
    </w:p>
    <w:p>
      <w:pPr>
        <w:pStyle w:val="72"/>
        <w:numPr>
          <w:ilvl w:val="0"/>
          <w:numId w:val="0"/>
        </w:numPr>
        <w:ind w:leftChars="0"/>
        <w:rPr>
          <w:rFonts w:hint="eastAsia" w:ascii="宋体" w:hAnsi="宋体" w:eastAsia="宋体" w:cs="宋体"/>
          <w:sz w:val="32"/>
          <w:szCs w:val="32"/>
          <w:highlight w:val="yellow"/>
          <w:lang w:val="en-US" w:eastAsia="zh-CN"/>
        </w:rPr>
      </w:pPr>
      <w:bookmarkStart w:id="29" w:name="_Toc47976618"/>
      <w:bookmarkStart w:id="30" w:name="_Toc29366869"/>
      <w:bookmarkStart w:id="31" w:name="_Toc29366865"/>
      <w:r>
        <w:rPr>
          <w:rFonts w:hint="eastAsia" w:ascii="宋体" w:hAnsi="宋体" w:eastAsia="宋体" w:cs="宋体"/>
          <w:sz w:val="32"/>
          <w:szCs w:val="32"/>
          <w:highlight w:val="yellow"/>
          <w:lang w:val="en-US" w:eastAsia="zh-CN"/>
        </w:rPr>
        <w:t>附件2</w:t>
      </w:r>
    </w:p>
    <w:bookmarkEnd w:id="29"/>
    <w:p>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line="360" w:lineRule="auto"/>
        <w:ind w:firstLine="4800" w:firstLineChars="2000"/>
        <w:rPr>
          <w:rFonts w:ascii="宋体" w:hAnsi="宋体" w:cs="宋体"/>
          <w:sz w:val="24"/>
          <w:szCs w:val="21"/>
        </w:rPr>
      </w:pPr>
    </w:p>
    <w:p>
      <w:pPr>
        <w:spacing w:line="360" w:lineRule="auto"/>
        <w:ind w:firstLine="4800" w:firstLineChars="2000"/>
        <w:rPr>
          <w:rFonts w:ascii="宋体" w:hAnsi="宋体" w:cs="宋体"/>
          <w:sz w:val="24"/>
          <w:szCs w:val="21"/>
        </w:rPr>
      </w:pPr>
    </w:p>
    <w:p>
      <w:pPr>
        <w:spacing w:line="360" w:lineRule="auto"/>
        <w:ind w:firstLine="4800" w:firstLineChars="2000"/>
        <w:rPr>
          <w:rFonts w:ascii="宋体" w:hAnsi="宋体" w:cs="宋体"/>
          <w:sz w:val="24"/>
          <w:szCs w:val="21"/>
        </w:rPr>
      </w:pPr>
    </w:p>
    <w:p>
      <w:pPr>
        <w:spacing w:line="360" w:lineRule="auto"/>
        <w:ind w:firstLine="4800" w:firstLineChars="2000"/>
        <w:rPr>
          <w:rFonts w:ascii="宋体" w:hAnsi="宋体" w:cs="宋体"/>
          <w:sz w:val="24"/>
          <w:szCs w:val="21"/>
        </w:rPr>
      </w:pPr>
    </w:p>
    <w:p>
      <w:pPr>
        <w:pStyle w:val="14"/>
      </w:pPr>
    </w:p>
    <w:p>
      <w:pPr>
        <w:spacing w:line="360" w:lineRule="auto"/>
        <w:rPr>
          <w:rFonts w:ascii="宋体" w:hAnsi="宋体" w:cs="宋体"/>
          <w:sz w:val="24"/>
          <w:szCs w:val="21"/>
        </w:rPr>
      </w:pPr>
    </w:p>
    <w:bookmarkEnd w:id="30"/>
    <w:bookmarkEnd w:id="31"/>
    <w:p>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pPr>
        <w:pStyle w:val="72"/>
        <w:numPr>
          <w:ilvl w:val="0"/>
          <w:numId w:val="0"/>
        </w:numPr>
        <w:ind w:leftChars="0"/>
        <w:jc w:val="center"/>
        <w:rPr>
          <w:rFonts w:hint="eastAsia"/>
          <w:lang w:val="en-US" w:eastAsia="zh-CN"/>
        </w:rPr>
      </w:pPr>
      <w:r>
        <w:rPr>
          <w:rFonts w:hint="eastAsia"/>
          <w:lang w:val="en-US" w:eastAsia="zh-CN"/>
        </w:rPr>
        <w:t>开标一览表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p>
        </w:tc>
        <w:tc>
          <w:tcPr>
            <w:tcW w:w="1518" w:type="dxa"/>
            <w:vAlign w:val="center"/>
          </w:tcPr>
          <w:p>
            <w:pPr>
              <w:jc w:val="center"/>
              <w:rPr>
                <w:rFonts w:hint="eastAsia" w:ascii="Times New Roman" w:hAnsi="Times New Roman" w:eastAsia="宋体" w:cs="Times New Roman"/>
                <w:b/>
                <w:szCs w:val="20"/>
                <w:lang w:eastAsia="zh-CN"/>
              </w:rPr>
            </w:pPr>
          </w:p>
        </w:tc>
        <w:tc>
          <w:tcPr>
            <w:tcW w:w="848" w:type="dxa"/>
            <w:vAlign w:val="center"/>
          </w:tcPr>
          <w:p>
            <w:pPr>
              <w:jc w:val="center"/>
              <w:rPr>
                <w:rFonts w:hint="eastAsia" w:ascii="Times New Roman" w:hAnsi="Times New Roman" w:eastAsia="宋体" w:cs="Times New Roman"/>
                <w:b/>
                <w:szCs w:val="20"/>
                <w:lang w:val="en-US" w:eastAsia="zh-CN"/>
              </w:rPr>
            </w:pPr>
          </w:p>
        </w:tc>
        <w:tc>
          <w:tcPr>
            <w:tcW w:w="2270" w:type="dxa"/>
            <w:vAlign w:val="center"/>
          </w:tcPr>
          <w:p>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pPr>
        <w:pStyle w:val="14"/>
        <w:rPr>
          <w:rFonts w:hint="eastAsia" w:hAnsi="宋体" w:eastAsia="宋体" w:cs="Times New Roman"/>
          <w:b/>
          <w:bCs/>
          <w:szCs w:val="21"/>
          <w:highlight w:val="yellow"/>
        </w:rPr>
      </w:pPr>
    </w:p>
    <w:p>
      <w:pPr>
        <w:pStyle w:val="14"/>
        <w:rPr>
          <w:rFonts w:hint="eastAsia" w:hAnsi="宋体" w:eastAsia="宋体" w:cs="Times New Roman"/>
          <w:b/>
          <w:bCs/>
          <w:szCs w:val="21"/>
          <w:highlight w:val="yellow"/>
        </w:rPr>
      </w:pP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72"/>
        <w:numPr>
          <w:ilvl w:val="0"/>
          <w:numId w:val="0"/>
        </w:numPr>
        <w:ind w:leftChars="0"/>
      </w:pPr>
      <w:r>
        <w:t xml:space="preserve"> </w:t>
      </w:r>
    </w:p>
    <w:p>
      <w:pPr>
        <w:pStyle w:val="72"/>
        <w:numPr>
          <w:ilvl w:val="0"/>
          <w:numId w:val="0"/>
        </w:numPr>
        <w:ind w:leftChars="0"/>
      </w:pPr>
    </w:p>
    <w:p>
      <w:pPr>
        <w:pStyle w:val="72"/>
        <w:numPr>
          <w:ilvl w:val="0"/>
          <w:numId w:val="0"/>
        </w:numPr>
        <w:ind w:leftChars="0"/>
      </w:pPr>
    </w:p>
    <w:p>
      <w:pPr>
        <w:pStyle w:val="72"/>
        <w:numPr>
          <w:ilvl w:val="0"/>
          <w:numId w:val="0"/>
        </w:numPr>
        <w:ind w:leftChars="0"/>
      </w:pPr>
    </w:p>
    <w:p>
      <w:pPr>
        <w:pStyle w:val="72"/>
        <w:numPr>
          <w:ilvl w:val="0"/>
          <w:numId w:val="0"/>
        </w:numPr>
        <w:ind w:leftChars="0"/>
      </w:pPr>
    </w:p>
    <w:p>
      <w:pPr>
        <w:pStyle w:val="72"/>
        <w:numPr>
          <w:ilvl w:val="0"/>
          <w:numId w:val="0"/>
        </w:numPr>
        <w:ind w:leftChars="0"/>
      </w:pPr>
    </w:p>
    <w:p>
      <w:pPr>
        <w:pStyle w:val="72"/>
        <w:numPr>
          <w:ilvl w:val="0"/>
          <w:numId w:val="0"/>
        </w:numPr>
        <w:ind w:leftChars="0"/>
      </w:pPr>
    </w:p>
    <w:p>
      <w:pPr>
        <w:pStyle w:val="76"/>
        <w:ind w:firstLine="630" w:firstLineChars="300"/>
        <w:rPr>
          <w:rFonts w:hint="eastAsia"/>
        </w:rPr>
      </w:pPr>
    </w:p>
    <w:p>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pPr>
        <w:rPr>
          <w:rFonts w:ascii="宋体" w:hAnsi="宋体"/>
          <w:highlight w:val="none"/>
        </w:rPr>
      </w:pPr>
      <w:r>
        <w:rPr>
          <w:rFonts w:hint="eastAsia" w:ascii="宋体" w:hAnsi="宋体"/>
          <w:highlight w:val="none"/>
        </w:rPr>
        <w:t>项目名称：(XX项目)</w:t>
      </w:r>
    </w:p>
    <w:p>
      <w:pPr>
        <w:rPr>
          <w:rFonts w:ascii="宋体" w:hAnsi="宋体"/>
          <w:highlight w:val="none"/>
        </w:rPr>
      </w:pPr>
    </w:p>
    <w:p>
      <w:pPr>
        <w:rPr>
          <w:rFonts w:ascii="宋体" w:hAnsi="宋体"/>
          <w:szCs w:val="21"/>
          <w:highlight w:val="none"/>
        </w:rPr>
      </w:pPr>
      <w:r>
        <w:rPr>
          <w:rFonts w:hint="eastAsia" w:ascii="宋体" w:hAnsi="宋体"/>
          <w:szCs w:val="21"/>
          <w:highlight w:val="none"/>
        </w:rPr>
        <w:t>日期：  年   月   日</w:t>
      </w:r>
    </w:p>
    <w:p>
      <w:pPr>
        <w:jc w:val="center"/>
        <w:rPr>
          <w:rFonts w:eastAsia="黑体"/>
          <w:b/>
          <w:bCs/>
          <w:sz w:val="28"/>
          <w:highlight w:val="none"/>
        </w:rPr>
      </w:pPr>
    </w:p>
    <w:p>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pPr>
              <w:jc w:val="center"/>
              <w:rPr>
                <w:rFonts w:ascii="宋体" w:hAnsi="宋体"/>
                <w:sz w:val="24"/>
                <w:highlight w:val="none"/>
              </w:rPr>
            </w:pPr>
            <w:r>
              <w:rPr>
                <w:rFonts w:hint="eastAsia" w:ascii="宋体" w:hAnsi="宋体"/>
                <w:sz w:val="24"/>
                <w:highlight w:val="none"/>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highlight w:val="none"/>
              </w:rPr>
            </w:pPr>
          </w:p>
        </w:tc>
        <w:tc>
          <w:tcPr>
            <w:tcW w:w="1080" w:type="dxa"/>
            <w:vAlign w:val="center"/>
          </w:tcPr>
          <w:p>
            <w:pPr>
              <w:jc w:val="center"/>
              <w:rPr>
                <w:rFonts w:ascii="宋体" w:hAnsi="宋体"/>
                <w:sz w:val="24"/>
                <w:highlight w:val="none"/>
              </w:rPr>
            </w:pPr>
            <w:r>
              <w:rPr>
                <w:rFonts w:hint="eastAsia" w:ascii="宋体" w:hAnsi="宋体"/>
                <w:sz w:val="24"/>
                <w:highlight w:val="none"/>
              </w:rPr>
              <w:t>条款号</w:t>
            </w:r>
          </w:p>
        </w:tc>
        <w:tc>
          <w:tcPr>
            <w:tcW w:w="3060" w:type="dxa"/>
            <w:vAlign w:val="center"/>
          </w:tcPr>
          <w:p>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pPr>
              <w:jc w:val="cente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1</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2</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3</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4</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5</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6</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7</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8</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9</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10</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bl>
    <w:p>
      <w:pPr>
        <w:rPr>
          <w:rFonts w:ascii="宋体" w:hAnsi="宋体"/>
          <w:sz w:val="24"/>
          <w:highlight w:val="none"/>
        </w:rPr>
      </w:pPr>
    </w:p>
    <w:p>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pPr>
        <w:rPr>
          <w:rFonts w:ascii="宋体" w:hAnsi="宋体"/>
          <w:sz w:val="24"/>
          <w:highlight w:val="none"/>
        </w:rPr>
      </w:pPr>
    </w:p>
    <w:p>
      <w:pPr>
        <w:rPr>
          <w:rFonts w:ascii="宋体" w:hAnsi="宋体"/>
          <w:sz w:val="24"/>
          <w:highlight w:val="none"/>
        </w:rPr>
      </w:pPr>
    </w:p>
    <w:p>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pPr>
        <w:rPr>
          <w:rFonts w:hint="eastAsia" w:ascii="宋体" w:hAnsi="宋体"/>
          <w:sz w:val="24"/>
          <w:highlight w:val="none"/>
        </w:rPr>
      </w:pPr>
      <w:r>
        <w:rPr>
          <w:rFonts w:hint="eastAsia" w:ascii="宋体" w:hAnsi="宋体"/>
          <w:sz w:val="24"/>
          <w:highlight w:val="none"/>
        </w:rPr>
        <w:br w:type="page"/>
      </w:r>
    </w:p>
    <w:p>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pPr>
        <w:pStyle w:val="14"/>
      </w:pPr>
    </w:p>
    <w:p>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pPr>
        <w:pStyle w:val="14"/>
      </w:pPr>
    </w:p>
    <w:p>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pPr>
        <w:pStyle w:val="14"/>
      </w:pPr>
    </w:p>
    <w:p>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pPr>
        <w:pStyle w:val="14"/>
        <w:outlineLvl w:val="2"/>
        <w:rPr>
          <w:rFonts w:hAnsi="宋体"/>
          <w:b/>
          <w:color w:val="000000"/>
          <w:sz w:val="24"/>
          <w:szCs w:val="24"/>
        </w:rPr>
      </w:pPr>
      <w:r>
        <w:rPr>
          <w:rFonts w:hint="eastAsia" w:hAnsi="宋体"/>
          <w:b/>
          <w:color w:val="000000"/>
          <w:sz w:val="24"/>
          <w:szCs w:val="24"/>
        </w:rPr>
        <w:t>SRM系统供应商用户手册</w:t>
      </w:r>
    </w:p>
    <w:p>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7"/>
                    <a:stretch>
                      <a:fillRect/>
                    </a:stretch>
                  </pic:blipFill>
                  <pic:spPr>
                    <a:xfrm>
                      <a:off x="0" y="0"/>
                      <a:ext cx="5760085" cy="2269864"/>
                    </a:xfrm>
                    <a:prstGeom prst="rect">
                      <a:avLst/>
                    </a:prstGeom>
                  </pic:spPr>
                </pic:pic>
              </a:graphicData>
            </a:graphic>
          </wp:inline>
        </w:drawing>
      </w:r>
    </w:p>
    <w:p/>
    <w:p>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14"/>
      </w:pPr>
      <w:r>
        <w:rPr>
          <w:rFonts w:hint="eastAsia" w:hAnsi="宋体" w:cs="宋体"/>
          <w:color w:val="000000"/>
          <w:sz w:val="24"/>
          <w:szCs w:val="28"/>
          <w:highlight w:val="yellow"/>
        </w:rPr>
        <w:t>注意：系统内的投标报价单位为“万元”，如开标现场发现填错报价，即直接淘汰。</w:t>
      </w:r>
    </w:p>
    <w:p>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pPr>
        <w:pStyle w:val="76"/>
        <w:rPr>
          <w:rFonts w:hint="default" w:ascii="宋体" w:hAnsi="宋体"/>
          <w:sz w:val="24"/>
          <w:highlight w:val="none"/>
          <w:lang w:val="en-US"/>
        </w:rPr>
      </w:pPr>
    </w:p>
    <w:p>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framePr w:wrap="around" w:vAnchor="text" w:hAnchor="margin" w:xAlign="center" w:y="1"/>
      <w:rPr>
        <w:rStyle w:val="34"/>
      </w:rPr>
    </w:pPr>
    <w:r>
      <w:fldChar w:fldCharType="begin"/>
    </w:r>
    <w:r>
      <w:rPr>
        <w:rStyle w:val="34"/>
      </w:rPr>
      <w:instrText xml:space="preserve">PAGE  </w:instrText>
    </w:r>
    <w:r>
      <w:fldChar w:fldCharType="end"/>
    </w:r>
  </w:p>
  <w:p>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8"/>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A7141CE"/>
    <w:multiLevelType w:val="singleLevel"/>
    <w:tmpl w:val="BA7141CE"/>
    <w:lvl w:ilvl="0" w:tentative="0">
      <w:start w:val="3"/>
      <w:numFmt w:val="chineseCounting"/>
      <w:suff w:val="nothing"/>
      <w:lvlText w:val="%1、"/>
      <w:lvlJc w:val="left"/>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3"/>
  </w:num>
  <w:num w:numId="6">
    <w:abstractNumId w:val="15"/>
  </w:num>
  <w:num w:numId="7">
    <w:abstractNumId w:val="16"/>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5"/>
  </w:num>
  <w:num w:numId="15">
    <w:abstractNumId w:val="0"/>
  </w:num>
  <w:num w:numId="16">
    <w:abstractNumId w:val="3"/>
  </w:num>
  <w:num w:numId="17">
    <w:abstractNumId w:val="23"/>
  </w:num>
  <w:num w:numId="18">
    <w:abstractNumId w:val="25"/>
  </w:num>
  <w:num w:numId="19">
    <w:abstractNumId w:val="10"/>
  </w:num>
  <w:num w:numId="20">
    <w:abstractNumId w:val="9"/>
  </w:num>
  <w:num w:numId="21">
    <w:abstractNumId w:val="4"/>
  </w:num>
  <w:num w:numId="22">
    <w:abstractNumId w:val="1"/>
  </w:num>
  <w:num w:numId="23">
    <w:abstractNumId w:val="6"/>
  </w:num>
  <w:num w:numId="24">
    <w:abstractNumId w:val="12"/>
  </w:num>
  <w:num w:numId="25">
    <w:abstractNumId w:val="11"/>
  </w:num>
  <w:num w:numId="26">
    <w:abstractNumId w:val="18"/>
  </w:num>
  <w:num w:numId="27">
    <w:abstractNumId w:val="17"/>
  </w:num>
  <w:num w:numId="28">
    <w:abstractNumId w:val="7"/>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BD4504B"/>
    <w:rsid w:val="2CF6734C"/>
    <w:rsid w:val="2D663463"/>
    <w:rsid w:val="2EF96EE4"/>
    <w:rsid w:val="361219A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62261"/>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next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24</Pages>
  <Words>7550</Words>
  <Characters>7815</Characters>
  <Lines>127</Lines>
  <Paragraphs>35</Paragraphs>
  <TotalTime>1</TotalTime>
  <ScaleCrop>false</ScaleCrop>
  <LinksUpToDate>false</LinksUpToDate>
  <CharactersWithSpaces>8583</CharactersWithSpaces>
  <Application>WPS Office_11.8.6.11825_F1E327BC-269C-435d-A152-05C5408002CA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admin</cp:lastModifiedBy>
  <cp:lastPrinted>2020-06-28T02:28:00Z</cp:lastPrinted>
  <dcterms:modified xsi:type="dcterms:W3CDTF">2025-12-10T03:11:50Z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