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rPr>
          <w:rFonts w:hint="eastAsia" w:ascii="微软雅黑" w:hAnsi="微软雅黑" w:eastAsia="微软雅黑" w:cs="微软雅黑"/>
        </w:rPr>
      </w:pPr>
      <w:r>
        <w:rPr>
          <w:rFonts w:hint="eastAsia" w:ascii="微软雅黑" w:hAnsi="微软雅黑" w:eastAsia="微软雅黑" w:cs="微软雅黑"/>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hint="eastAsia" w:ascii="微软雅黑" w:hAnsi="微软雅黑" w:eastAsia="微软雅黑" w:cs="微软雅黑"/>
          <w:sz w:val="48"/>
          <w:szCs w:val="48"/>
        </w:rPr>
      </w:pPr>
    </w:p>
    <w:p w14:paraId="3EA24C15">
      <w:pPr>
        <w:ind w:right="280"/>
        <w:jc w:val="center"/>
        <w:rPr>
          <w:rFonts w:hint="eastAsia" w:ascii="微软雅黑" w:hAnsi="微软雅黑" w:eastAsia="微软雅黑" w:cs="微软雅黑"/>
          <w:sz w:val="48"/>
          <w:szCs w:val="48"/>
        </w:rPr>
      </w:pPr>
    </w:p>
    <w:p w14:paraId="07CDE389">
      <w:pPr>
        <w:ind w:right="280"/>
        <w:jc w:val="center"/>
        <w:rPr>
          <w:rFonts w:hint="eastAsia" w:ascii="微软雅黑" w:hAnsi="微软雅黑" w:eastAsia="微软雅黑" w:cs="微软雅黑"/>
          <w:sz w:val="52"/>
          <w:szCs w:val="52"/>
        </w:rPr>
      </w:pPr>
    </w:p>
    <w:p w14:paraId="612663B5">
      <w:pPr>
        <w:ind w:right="280"/>
        <w:jc w:val="center"/>
        <w:rPr>
          <w:rFonts w:hint="eastAsia" w:ascii="微软雅黑" w:hAnsi="微软雅黑" w:eastAsia="微软雅黑" w:cs="微软雅黑"/>
          <w:sz w:val="56"/>
          <w:szCs w:val="56"/>
          <w:lang w:val="en-US" w:eastAsia="zh-CN"/>
        </w:rPr>
      </w:pPr>
      <w:r>
        <w:rPr>
          <w:rFonts w:hint="eastAsia" w:ascii="微软雅黑" w:hAnsi="微软雅黑" w:eastAsia="微软雅黑" w:cs="微软雅黑"/>
          <w:sz w:val="56"/>
          <w:szCs w:val="56"/>
          <w:lang w:val="en-US" w:eastAsia="zh-CN"/>
        </w:rPr>
        <w:t>中国重汽集团济南商用车制造公司</w:t>
      </w:r>
    </w:p>
    <w:p w14:paraId="55750864">
      <w:pPr>
        <w:ind w:right="280"/>
        <w:jc w:val="center"/>
        <w:rPr>
          <w:rFonts w:hint="eastAsia" w:ascii="微软雅黑" w:hAnsi="微软雅黑" w:eastAsia="微软雅黑" w:cs="微软雅黑"/>
          <w:sz w:val="60"/>
          <w:szCs w:val="60"/>
          <w:lang w:val="en-US" w:eastAsia="zh-CN"/>
        </w:rPr>
      </w:pPr>
      <w:r>
        <w:rPr>
          <w:rFonts w:hint="eastAsia" w:ascii="微软雅黑" w:hAnsi="微软雅黑" w:eastAsia="微软雅黑" w:cs="微软雅黑"/>
          <w:sz w:val="60"/>
          <w:szCs w:val="60"/>
          <w:lang w:val="en-US" w:eastAsia="zh-CN"/>
        </w:rPr>
        <w:t>会议室升级改造技改项目</w:t>
      </w:r>
    </w:p>
    <w:p w14:paraId="18CBF8EA">
      <w:pPr>
        <w:ind w:right="280"/>
        <w:jc w:val="center"/>
        <w:rPr>
          <w:rFonts w:hint="eastAsia" w:ascii="微软雅黑" w:hAnsi="微软雅黑" w:eastAsia="微软雅黑" w:cs="微软雅黑"/>
          <w:sz w:val="28"/>
          <w:szCs w:val="28"/>
        </w:rPr>
      </w:pPr>
    </w:p>
    <w:p w14:paraId="2A3C624C">
      <w:pPr>
        <w:jc w:val="center"/>
        <w:rPr>
          <w:rFonts w:hint="eastAsia" w:ascii="微软雅黑" w:hAnsi="微软雅黑" w:eastAsia="微软雅黑" w:cs="微软雅黑"/>
          <w:sz w:val="48"/>
          <w:szCs w:val="48"/>
        </w:rPr>
      </w:pPr>
      <w:r>
        <w:rPr>
          <w:rFonts w:hint="eastAsia" w:ascii="微软雅黑" w:hAnsi="微软雅黑" w:eastAsia="微软雅黑" w:cs="微软雅黑"/>
          <w:sz w:val="72"/>
          <w:szCs w:val="72"/>
        </w:rPr>
        <w:t>招标文件</w:t>
      </w:r>
    </w:p>
    <w:p w14:paraId="6993BE58">
      <w:pPr>
        <w:jc w:val="center"/>
        <w:rPr>
          <w:rFonts w:hint="eastAsia" w:ascii="微软雅黑" w:hAnsi="微软雅黑" w:eastAsia="微软雅黑" w:cs="微软雅黑"/>
          <w:sz w:val="48"/>
          <w:szCs w:val="48"/>
        </w:rPr>
      </w:pPr>
    </w:p>
    <w:p w14:paraId="10A10BCC">
      <w:pPr>
        <w:widowControl/>
        <w:spacing w:line="360" w:lineRule="auto"/>
        <w:jc w:val="center"/>
        <w:rPr>
          <w:rFonts w:hint="default" w:ascii="微软雅黑" w:hAnsi="微软雅黑" w:eastAsia="微软雅黑" w:cs="微软雅黑"/>
          <w:sz w:val="48"/>
          <w:szCs w:val="48"/>
          <w:lang w:val="en-US" w:eastAsia="zh-CN"/>
        </w:rPr>
      </w:pPr>
      <w:r>
        <w:rPr>
          <w:rFonts w:hint="eastAsia" w:ascii="微软雅黑" w:hAnsi="微软雅黑" w:eastAsia="微软雅黑" w:cs="微软雅黑"/>
          <w:b/>
          <w:bCs/>
          <w:kern w:val="0"/>
          <w:sz w:val="32"/>
          <w:szCs w:val="32"/>
        </w:rPr>
        <w:t>项目编号：</w:t>
      </w:r>
      <w:r>
        <w:rPr>
          <w:rFonts w:hint="eastAsia" w:ascii="微软雅黑" w:hAnsi="微软雅黑" w:eastAsia="微软雅黑" w:cs="微软雅黑"/>
          <w:b/>
          <w:bCs/>
          <w:kern w:val="0"/>
          <w:sz w:val="32"/>
          <w:szCs w:val="32"/>
          <w:highlight w:val="none"/>
          <w:u w:val="single"/>
          <w:lang w:eastAsia="zh-CN"/>
        </w:rPr>
        <w:t>FSCZB2025120124</w:t>
      </w:r>
    </w:p>
    <w:p w14:paraId="111CA3F9">
      <w:pPr>
        <w:jc w:val="center"/>
        <w:rPr>
          <w:rFonts w:hint="eastAsia" w:ascii="微软雅黑" w:hAnsi="微软雅黑" w:eastAsia="微软雅黑" w:cs="微软雅黑"/>
          <w:sz w:val="28"/>
          <w:szCs w:val="28"/>
        </w:rPr>
      </w:pPr>
    </w:p>
    <w:p w14:paraId="12CB50D1">
      <w:pPr>
        <w:jc w:val="center"/>
        <w:rPr>
          <w:rFonts w:hint="eastAsia" w:ascii="微软雅黑" w:hAnsi="微软雅黑" w:eastAsia="微软雅黑" w:cs="微软雅黑"/>
          <w:sz w:val="28"/>
          <w:szCs w:val="28"/>
        </w:rPr>
      </w:pPr>
    </w:p>
    <w:p w14:paraId="1CE80EBC">
      <w:pPr>
        <w:jc w:val="center"/>
        <w:rPr>
          <w:rFonts w:hint="eastAsia" w:ascii="微软雅黑" w:hAnsi="微软雅黑" w:eastAsia="微软雅黑" w:cs="微软雅黑"/>
          <w:sz w:val="28"/>
          <w:szCs w:val="28"/>
          <w:lang w:eastAsia="zh-CN"/>
        </w:rPr>
      </w:pPr>
      <w:r>
        <w:rPr>
          <w:rFonts w:hint="eastAsia" w:ascii="微软雅黑" w:hAnsi="微软雅黑" w:eastAsia="微软雅黑" w:cs="微软雅黑"/>
          <w:sz w:val="28"/>
          <w:szCs w:val="28"/>
        </w:rPr>
        <w:t>招 标 人：</w:t>
      </w:r>
      <w:r>
        <w:rPr>
          <w:rFonts w:hint="eastAsia" w:ascii="微软雅黑" w:hAnsi="微软雅黑" w:eastAsia="微软雅黑" w:cs="微软雅黑"/>
          <w:sz w:val="28"/>
          <w:szCs w:val="28"/>
          <w:lang w:eastAsia="zh-CN"/>
        </w:rPr>
        <w:t>中国重汽集团济南商用车制造公司</w:t>
      </w:r>
    </w:p>
    <w:p w14:paraId="0D8A0D9A">
      <w:pPr>
        <w:jc w:val="center"/>
        <w:rPr>
          <w:rFonts w:hint="eastAsia" w:ascii="微软雅黑" w:hAnsi="微软雅黑" w:eastAsia="微软雅黑" w:cs="微软雅黑"/>
          <w:sz w:val="28"/>
          <w:szCs w:val="28"/>
        </w:rPr>
      </w:pPr>
    </w:p>
    <w:p w14:paraId="09CB3C92">
      <w:pPr>
        <w:jc w:val="center"/>
        <w:rPr>
          <w:rFonts w:hint="eastAsia" w:ascii="微软雅黑" w:hAnsi="微软雅黑" w:eastAsia="微软雅黑" w:cs="微软雅黑"/>
          <w:b/>
          <w:bCs/>
          <w:sz w:val="48"/>
          <w:szCs w:val="48"/>
        </w:rPr>
      </w:pPr>
      <w:r>
        <w:rPr>
          <w:rFonts w:hint="eastAsia" w:ascii="微软雅黑" w:hAnsi="微软雅黑" w:eastAsia="微软雅黑" w:cs="微软雅黑"/>
          <w:sz w:val="28"/>
          <w:szCs w:val="28"/>
          <w:u w:val="single"/>
        </w:rPr>
        <w:t>20</w:t>
      </w:r>
      <w:r>
        <w:rPr>
          <w:rFonts w:hint="eastAsia" w:ascii="微软雅黑" w:hAnsi="微软雅黑" w:eastAsia="微软雅黑" w:cs="微软雅黑"/>
          <w:sz w:val="28"/>
          <w:szCs w:val="28"/>
          <w:u w:val="single"/>
          <w:lang w:val="en-US" w:eastAsia="zh-CN"/>
        </w:rPr>
        <w:t>25</w:t>
      </w:r>
      <w:r>
        <w:rPr>
          <w:rFonts w:hint="eastAsia" w:ascii="微软雅黑" w:hAnsi="微软雅黑" w:eastAsia="微软雅黑" w:cs="微软雅黑"/>
          <w:sz w:val="28"/>
          <w:szCs w:val="28"/>
          <w:u w:val="single"/>
        </w:rPr>
        <w:t>年</w:t>
      </w:r>
      <w:r>
        <w:rPr>
          <w:rFonts w:hint="eastAsia" w:ascii="微软雅黑" w:hAnsi="微软雅黑" w:eastAsia="微软雅黑" w:cs="微软雅黑"/>
          <w:sz w:val="28"/>
          <w:szCs w:val="28"/>
          <w:u w:val="single"/>
          <w:lang w:val="en-US" w:eastAsia="zh-CN"/>
        </w:rPr>
        <w:t>12</w:t>
      </w:r>
      <w:r>
        <w:rPr>
          <w:rFonts w:hint="eastAsia" w:ascii="微软雅黑" w:hAnsi="微软雅黑" w:eastAsia="微软雅黑" w:cs="微软雅黑"/>
          <w:sz w:val="28"/>
          <w:szCs w:val="28"/>
          <w:u w:val="single"/>
        </w:rPr>
        <w:t>月</w:t>
      </w:r>
    </w:p>
    <w:p w14:paraId="11D50421">
      <w:pPr>
        <w:spacing w:line="480" w:lineRule="auto"/>
        <w:jc w:val="center"/>
        <w:rPr>
          <w:rFonts w:hint="eastAsia" w:ascii="微软雅黑" w:hAnsi="微软雅黑" w:eastAsia="微软雅黑" w:cs="微软雅黑"/>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hint="eastAsia" w:ascii="微软雅黑" w:hAnsi="微软雅黑" w:eastAsia="微软雅黑" w:cs="微软雅黑"/>
          <w:color w:val="auto"/>
          <w:kern w:val="2"/>
          <w:sz w:val="21"/>
          <w:szCs w:val="20"/>
          <w:lang w:val="zh-CN"/>
        </w:rPr>
        <w:id w:val="-629018532"/>
        <w:docPartObj>
          <w:docPartGallery w:val="Table of Contents"/>
          <w:docPartUnique/>
        </w:docPartObj>
      </w:sdtPr>
      <w:sdtEndPr>
        <w:rPr>
          <w:rFonts w:hint="eastAsia" w:ascii="微软雅黑" w:hAnsi="微软雅黑" w:eastAsia="微软雅黑" w:cs="微软雅黑"/>
          <w:b/>
          <w:bCs/>
          <w:color w:val="auto"/>
          <w:kern w:val="2"/>
          <w:sz w:val="21"/>
          <w:szCs w:val="20"/>
          <w:lang w:val="zh-CN"/>
        </w:rPr>
      </w:sdtEndPr>
      <w:sdtContent>
        <w:p w14:paraId="176426B1">
          <w:pPr>
            <w:pStyle w:val="69"/>
            <w:jc w:val="center"/>
            <w:rPr>
              <w:rFonts w:hint="eastAsia" w:ascii="微软雅黑" w:hAnsi="微软雅黑" w:eastAsia="微软雅黑" w:cs="微软雅黑"/>
              <w:b/>
              <w:color w:val="auto"/>
              <w:sz w:val="44"/>
              <w:szCs w:val="44"/>
              <w:lang w:val="zh-CN"/>
            </w:rPr>
          </w:pPr>
          <w:r>
            <w:rPr>
              <w:rFonts w:hint="eastAsia" w:ascii="微软雅黑" w:hAnsi="微软雅黑" w:eastAsia="微软雅黑" w:cs="微软雅黑"/>
              <w:b/>
              <w:color w:val="auto"/>
              <w:sz w:val="44"/>
              <w:szCs w:val="44"/>
              <w:lang w:val="zh-CN"/>
            </w:rPr>
            <w:t>目     录</w:t>
          </w:r>
        </w:p>
        <w:p w14:paraId="46B5AC1E">
          <w:pPr>
            <w:pStyle w:val="21"/>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 w:val="36"/>
              <w:szCs w:val="44"/>
            </w:rPr>
            <w:fldChar w:fldCharType="begin"/>
          </w:r>
          <w:r>
            <w:rPr>
              <w:rFonts w:hint="eastAsia" w:ascii="微软雅黑" w:hAnsi="微软雅黑" w:eastAsia="微软雅黑" w:cs="微软雅黑"/>
              <w:bCs/>
              <w:kern w:val="44"/>
              <w:sz w:val="36"/>
              <w:szCs w:val="44"/>
            </w:rPr>
            <w:instrText xml:space="preserve">TOC \o "1-1" \h \u </w:instrText>
          </w:r>
          <w:r>
            <w:rPr>
              <w:rFonts w:hint="eastAsia" w:ascii="微软雅黑" w:hAnsi="微软雅黑" w:eastAsia="微软雅黑" w:cs="微软雅黑"/>
              <w:bCs/>
              <w:kern w:val="44"/>
              <w:sz w:val="36"/>
              <w:szCs w:val="44"/>
            </w:rPr>
            <w:fldChar w:fldCharType="separate"/>
          </w: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_Toc7104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招标公告</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_Toc7104 \h </w:instrText>
          </w:r>
          <w:r>
            <w:rPr>
              <w:rFonts w:hint="eastAsia" w:ascii="微软雅黑" w:hAnsi="微软雅黑" w:eastAsia="微软雅黑" w:cs="微软雅黑"/>
            </w:rPr>
            <w:fldChar w:fldCharType="separate"/>
          </w:r>
          <w:r>
            <w:rPr>
              <w:rFonts w:hint="eastAsia" w:ascii="微软雅黑" w:hAnsi="微软雅黑" w:eastAsia="微软雅黑" w:cs="微软雅黑"/>
            </w:rPr>
            <w:t>- 1 -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3718B9B5">
          <w:pPr>
            <w:pStyle w:val="21"/>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_Toc7753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第一部分  投标人须知</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_Toc7753 \h </w:instrText>
          </w:r>
          <w:r>
            <w:rPr>
              <w:rFonts w:hint="eastAsia" w:ascii="微软雅黑" w:hAnsi="微软雅黑" w:eastAsia="微软雅黑" w:cs="微软雅黑"/>
            </w:rPr>
            <w:fldChar w:fldCharType="separate"/>
          </w:r>
          <w:r>
            <w:rPr>
              <w:rFonts w:hint="eastAsia" w:ascii="微软雅黑" w:hAnsi="微软雅黑" w:eastAsia="微软雅黑" w:cs="微软雅黑"/>
            </w:rPr>
            <w:t>- 2 -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4D6E9C52">
          <w:pPr>
            <w:pStyle w:val="21"/>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_Toc1910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第二部分　</w:t>
          </w:r>
          <w:r>
            <w:rPr>
              <w:rFonts w:hint="eastAsia" w:ascii="微软雅黑" w:hAnsi="微软雅黑" w:eastAsia="微软雅黑" w:cs="微软雅黑"/>
              <w:lang w:val="en-US" w:eastAsia="zh-CN"/>
            </w:rPr>
            <w:t>技术标书</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_Toc1910 \h </w:instrText>
          </w:r>
          <w:r>
            <w:rPr>
              <w:rFonts w:hint="eastAsia" w:ascii="微软雅黑" w:hAnsi="微软雅黑" w:eastAsia="微软雅黑" w:cs="微软雅黑"/>
            </w:rPr>
            <w:fldChar w:fldCharType="separate"/>
          </w:r>
          <w:r>
            <w:rPr>
              <w:rFonts w:hint="eastAsia" w:ascii="微软雅黑" w:hAnsi="微软雅黑" w:eastAsia="微软雅黑" w:cs="微软雅黑"/>
            </w:rPr>
            <w:t>- 8 -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5D6BEB3E">
          <w:pPr>
            <w:pStyle w:val="21"/>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_Toc20595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第三部分　</w:t>
          </w:r>
          <w:r>
            <w:rPr>
              <w:rFonts w:hint="eastAsia" w:ascii="微软雅黑" w:hAnsi="微软雅黑" w:eastAsia="微软雅黑" w:cs="微软雅黑"/>
              <w:lang w:val="en-US" w:eastAsia="zh-CN"/>
            </w:rPr>
            <w:t>设备采购合同</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_Toc20595 \h </w:instrText>
          </w:r>
          <w:r>
            <w:rPr>
              <w:rFonts w:hint="eastAsia" w:ascii="微软雅黑" w:hAnsi="微软雅黑" w:eastAsia="微软雅黑" w:cs="微软雅黑"/>
            </w:rPr>
            <w:fldChar w:fldCharType="separate"/>
          </w:r>
          <w:r>
            <w:rPr>
              <w:rFonts w:hint="eastAsia" w:ascii="微软雅黑" w:hAnsi="微软雅黑" w:eastAsia="微软雅黑" w:cs="微软雅黑"/>
            </w:rPr>
            <w:t>- 8 -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7691DBF9">
          <w:pPr>
            <w:pStyle w:val="21"/>
            <w:tabs>
              <w:tab w:val="right" w:leader="middleDot" w:pos="9070"/>
              <w:tab w:val="clear" w:pos="8729"/>
            </w:tabs>
            <w:rPr>
              <w:rFonts w:hint="eastAsia" w:ascii="微软雅黑" w:hAnsi="微软雅黑" w:eastAsia="微软雅黑" w:cs="微软雅黑"/>
            </w:rPr>
          </w:pPr>
          <w:r>
            <w:rPr>
              <w:rFonts w:hint="eastAsia" w:ascii="微软雅黑" w:hAnsi="微软雅黑" w:eastAsia="微软雅黑" w:cs="微软雅黑"/>
              <w:bCs/>
              <w:kern w:val="44"/>
              <w:szCs w:val="44"/>
            </w:rPr>
            <w:fldChar w:fldCharType="begin"/>
          </w:r>
          <w:r>
            <w:rPr>
              <w:rFonts w:hint="eastAsia" w:ascii="微软雅黑" w:hAnsi="微软雅黑" w:eastAsia="微软雅黑" w:cs="微软雅黑"/>
              <w:bCs/>
              <w:kern w:val="44"/>
              <w:szCs w:val="44"/>
            </w:rPr>
            <w:instrText xml:space="preserve"> HYPERLINK \l _Toc5925 </w:instrText>
          </w:r>
          <w:r>
            <w:rPr>
              <w:rFonts w:hint="eastAsia" w:ascii="微软雅黑" w:hAnsi="微软雅黑" w:eastAsia="微软雅黑" w:cs="微软雅黑"/>
              <w:bCs/>
              <w:kern w:val="44"/>
              <w:szCs w:val="44"/>
            </w:rPr>
            <w:fldChar w:fldCharType="separate"/>
          </w:r>
          <w:r>
            <w:rPr>
              <w:rFonts w:hint="eastAsia" w:ascii="微软雅黑" w:hAnsi="微软雅黑" w:eastAsia="微软雅黑" w:cs="微软雅黑"/>
            </w:rPr>
            <w:t>第四部分　</w:t>
          </w:r>
          <w:r>
            <w:rPr>
              <w:rFonts w:hint="eastAsia" w:ascii="微软雅黑" w:hAnsi="微软雅黑" w:eastAsia="微软雅黑" w:cs="微软雅黑"/>
              <w:lang w:val="en-US" w:eastAsia="zh-CN"/>
            </w:rPr>
            <w:t>投标文件附件</w:t>
          </w:r>
          <w:r>
            <w:rPr>
              <w:rFonts w:hint="eastAsia" w:ascii="微软雅黑" w:hAnsi="微软雅黑" w:eastAsia="微软雅黑" w:cs="微软雅黑"/>
            </w:rPr>
            <w:tab/>
          </w: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PAGEREF _Toc5925 \h </w:instrText>
          </w:r>
          <w:r>
            <w:rPr>
              <w:rFonts w:hint="eastAsia" w:ascii="微软雅黑" w:hAnsi="微软雅黑" w:eastAsia="微软雅黑" w:cs="微软雅黑"/>
            </w:rPr>
            <w:fldChar w:fldCharType="separate"/>
          </w:r>
          <w:r>
            <w:rPr>
              <w:rFonts w:hint="eastAsia" w:ascii="微软雅黑" w:hAnsi="微软雅黑" w:eastAsia="微软雅黑" w:cs="微软雅黑"/>
            </w:rPr>
            <w:t>- 9 -</w:t>
          </w:r>
          <w:r>
            <w:rPr>
              <w:rFonts w:hint="eastAsia" w:ascii="微软雅黑" w:hAnsi="微软雅黑" w:eastAsia="微软雅黑" w:cs="微软雅黑"/>
            </w:rPr>
            <w:fldChar w:fldCharType="end"/>
          </w:r>
          <w:r>
            <w:rPr>
              <w:rFonts w:hint="eastAsia" w:ascii="微软雅黑" w:hAnsi="微软雅黑" w:eastAsia="微软雅黑" w:cs="微软雅黑"/>
              <w:bCs/>
              <w:kern w:val="44"/>
              <w:szCs w:val="44"/>
            </w:rPr>
            <w:fldChar w:fldCharType="end"/>
          </w:r>
        </w:p>
        <w:p w14:paraId="6617A57C">
          <w:pPr>
            <w:pStyle w:val="21"/>
            <w:rPr>
              <w:rFonts w:hint="eastAsia" w:ascii="微软雅黑" w:hAnsi="微软雅黑" w:eastAsia="微软雅黑" w:cs="微软雅黑"/>
            </w:rPr>
          </w:pPr>
          <w:r>
            <w:rPr>
              <w:rFonts w:hint="eastAsia" w:ascii="微软雅黑" w:hAnsi="微软雅黑" w:eastAsia="微软雅黑" w:cs="微软雅黑"/>
              <w:bCs/>
              <w:kern w:val="44"/>
              <w:szCs w:val="44"/>
            </w:rPr>
            <w:fldChar w:fldCharType="end"/>
          </w:r>
        </w:p>
      </w:sdtContent>
    </w:sdt>
    <w:p w14:paraId="582BF911">
      <w:pPr>
        <w:pStyle w:val="15"/>
        <w:tabs>
          <w:tab w:val="left" w:pos="2940"/>
        </w:tabs>
        <w:spacing w:line="360" w:lineRule="auto"/>
        <w:rPr>
          <w:rFonts w:hint="eastAsia" w:ascii="微软雅黑" w:hAnsi="微软雅黑" w:eastAsia="微软雅黑" w:cs="微软雅黑"/>
        </w:rPr>
      </w:pPr>
      <w:r>
        <w:rPr>
          <w:rFonts w:hint="eastAsia" w:ascii="微软雅黑" w:hAnsi="微软雅黑" w:eastAsia="微软雅黑" w:cs="微软雅黑"/>
        </w:rPr>
        <w:tab/>
      </w:r>
    </w:p>
    <w:p w14:paraId="29FEE1FC">
      <w:pPr>
        <w:pStyle w:val="15"/>
        <w:spacing w:line="360" w:lineRule="auto"/>
        <w:jc w:val="center"/>
        <w:rPr>
          <w:rFonts w:hint="eastAsia" w:ascii="微软雅黑" w:hAnsi="微软雅黑" w:eastAsia="微软雅黑" w:cs="微软雅黑"/>
        </w:rPr>
      </w:pPr>
    </w:p>
    <w:p w14:paraId="4F93AE89">
      <w:pPr>
        <w:pStyle w:val="15"/>
        <w:spacing w:line="360" w:lineRule="auto"/>
        <w:jc w:val="center"/>
        <w:rPr>
          <w:rFonts w:hint="eastAsia" w:ascii="微软雅黑" w:hAnsi="微软雅黑" w:eastAsia="微软雅黑" w:cs="微软雅黑"/>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2"/>
        <w:rPr>
          <w:rFonts w:hint="eastAsia" w:ascii="微软雅黑" w:hAnsi="微软雅黑" w:eastAsia="微软雅黑" w:cs="微软雅黑"/>
        </w:rPr>
      </w:pPr>
      <w:bookmarkStart w:id="0" w:name="_Toc47976587"/>
      <w:bookmarkStart w:id="1" w:name="_Toc7104"/>
      <w:r>
        <w:rPr>
          <w:rFonts w:hint="eastAsia" w:ascii="微软雅黑" w:hAnsi="微软雅黑" w:eastAsia="微软雅黑" w:cs="微软雅黑"/>
        </w:rPr>
        <w:t>招标公告</w:t>
      </w:r>
      <w:bookmarkEnd w:id="0"/>
      <w:bookmarkEnd w:id="1"/>
    </w:p>
    <w:p w14:paraId="5953C7BF">
      <w:pPr>
        <w:pStyle w:val="72"/>
        <w:rPr>
          <w:rFonts w:hint="eastAsia" w:ascii="微软雅黑" w:hAnsi="微软雅黑" w:eastAsia="微软雅黑" w:cs="微软雅黑"/>
          <w:sz w:val="28"/>
        </w:rPr>
      </w:pPr>
      <w:bookmarkStart w:id="2" w:name="_Toc32474"/>
      <w:r>
        <w:rPr>
          <w:rFonts w:hint="eastAsia" w:ascii="微软雅黑" w:hAnsi="微软雅黑" w:eastAsia="微软雅黑" w:cs="微软雅黑"/>
          <w:sz w:val="28"/>
          <w:highlight w:val="none"/>
          <w:u w:val="single"/>
          <w:lang w:val="en-US" w:eastAsia="zh-CN"/>
        </w:rPr>
        <w:t>济南商用车制造公司会议室升级改造技改项目</w:t>
      </w:r>
      <w:r>
        <w:rPr>
          <w:rFonts w:hint="eastAsia" w:ascii="微软雅黑" w:hAnsi="微软雅黑" w:eastAsia="微软雅黑" w:cs="微软雅黑"/>
          <w:sz w:val="28"/>
        </w:rPr>
        <w:t>招标公告</w:t>
      </w:r>
      <w:bookmarkEnd w:id="2"/>
    </w:p>
    <w:p w14:paraId="3B867C39">
      <w:pPr>
        <w:pStyle w:val="72"/>
        <w:rPr>
          <w:rFonts w:hint="eastAsia" w:ascii="微软雅黑" w:hAnsi="微软雅黑" w:eastAsia="微软雅黑" w:cs="微软雅黑"/>
        </w:rPr>
      </w:pPr>
    </w:p>
    <w:p w14:paraId="2A47C58A">
      <w:pPr>
        <w:pStyle w:val="73"/>
        <w:rPr>
          <w:rFonts w:hint="eastAsia" w:ascii="微软雅黑" w:hAnsi="微软雅黑" w:eastAsia="微软雅黑" w:cs="微软雅黑"/>
        </w:rPr>
      </w:pPr>
      <w:bookmarkStart w:id="3" w:name="_Toc47976588"/>
      <w:r>
        <w:rPr>
          <w:rFonts w:hint="eastAsia" w:ascii="微软雅黑" w:hAnsi="微软雅黑" w:eastAsia="微软雅黑" w:cs="微软雅黑"/>
        </w:rPr>
        <w:t>项目名称及项目编号</w:t>
      </w:r>
      <w:bookmarkEnd w:id="3"/>
    </w:p>
    <w:p w14:paraId="1E71F649">
      <w:pPr>
        <w:pStyle w:val="74"/>
        <w:rPr>
          <w:rFonts w:hint="eastAsia" w:ascii="微软雅黑" w:hAnsi="微软雅黑" w:eastAsia="微软雅黑" w:cs="微软雅黑"/>
          <w:highlight w:val="none"/>
        </w:rPr>
      </w:pPr>
      <w:r>
        <w:rPr>
          <w:rFonts w:hint="eastAsia" w:ascii="微软雅黑" w:hAnsi="微软雅黑" w:eastAsia="微软雅黑" w:cs="微软雅黑"/>
          <w:highlight w:val="none"/>
        </w:rPr>
        <w:t>项目名称：</w:t>
      </w:r>
      <w:r>
        <w:rPr>
          <w:rFonts w:hint="eastAsia" w:ascii="微软雅黑" w:hAnsi="微软雅黑" w:eastAsia="微软雅黑" w:cs="微软雅黑"/>
          <w:highlight w:val="none"/>
          <w:lang w:val="en-US" w:eastAsia="zh-CN"/>
        </w:rPr>
        <w:t>济南商用车制造公司会议室升级改造技改项目</w:t>
      </w:r>
    </w:p>
    <w:p w14:paraId="15020D03">
      <w:pPr>
        <w:pStyle w:val="74"/>
        <w:rPr>
          <w:rFonts w:hint="eastAsia" w:ascii="微软雅黑" w:hAnsi="微软雅黑" w:eastAsia="微软雅黑" w:cs="微软雅黑"/>
        </w:rPr>
      </w:pPr>
      <w:r>
        <w:rPr>
          <w:rFonts w:hint="eastAsia" w:ascii="微软雅黑" w:hAnsi="微软雅黑" w:eastAsia="微软雅黑" w:cs="微软雅黑"/>
        </w:rPr>
        <w:t>项目编号：</w:t>
      </w:r>
      <w:r>
        <w:rPr>
          <w:rFonts w:hint="eastAsia" w:ascii="微软雅黑" w:hAnsi="微软雅黑" w:eastAsia="微软雅黑" w:cs="微软雅黑"/>
          <w:highlight w:val="none"/>
          <w:lang w:eastAsia="zh-CN"/>
        </w:rPr>
        <w:t>FSCZB2025120124</w:t>
      </w:r>
    </w:p>
    <w:p w14:paraId="0AB9F24D">
      <w:pPr>
        <w:pStyle w:val="73"/>
        <w:rPr>
          <w:rFonts w:hint="eastAsia" w:ascii="微软雅黑" w:hAnsi="微软雅黑" w:eastAsia="微软雅黑" w:cs="微软雅黑"/>
        </w:rPr>
      </w:pPr>
      <w:bookmarkStart w:id="4" w:name="_Toc47976589"/>
      <w:r>
        <w:rPr>
          <w:rFonts w:hint="eastAsia" w:ascii="微软雅黑" w:hAnsi="微软雅黑" w:eastAsia="微软雅黑" w:cs="微软雅黑"/>
          <w:lang w:val="en-US" w:eastAsia="zh-CN"/>
        </w:rPr>
        <w:t>项目概况</w:t>
      </w:r>
      <w:r>
        <w:rPr>
          <w:rFonts w:hint="eastAsia" w:ascii="微软雅黑" w:hAnsi="微软雅黑" w:eastAsia="微软雅黑" w:cs="微软雅黑"/>
        </w:rPr>
        <w:t>及招标形式</w:t>
      </w:r>
      <w:bookmarkEnd w:id="4"/>
    </w:p>
    <w:p w14:paraId="448F823F">
      <w:pPr>
        <w:pStyle w:val="15"/>
        <w:numPr>
          <w:ilvl w:val="0"/>
          <w:numId w:val="0"/>
        </w:numPr>
        <w:spacing w:line="360" w:lineRule="auto"/>
        <w:ind w:left="420" w:leftChars="0"/>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b/>
          <w:bCs/>
          <w:color w:val="000000"/>
          <w:sz w:val="21"/>
          <w:szCs w:val="21"/>
          <w:highlight w:val="none"/>
          <w:lang w:val="en-US" w:eastAsia="zh-CN"/>
        </w:rPr>
        <w:t>1、招标内容：</w:t>
      </w:r>
      <w:r>
        <w:rPr>
          <w:rFonts w:hint="eastAsia" w:ascii="微软雅黑" w:hAnsi="微软雅黑" w:eastAsia="微软雅黑" w:cs="微软雅黑"/>
          <w:lang w:val="en-US" w:eastAsia="zh-CN"/>
        </w:rPr>
        <w:t>2F第一会议室会议系统设备已使用多年，使用效果差，故障率高，线路老化，无法满足基本的会议要求；2F第二会议室无会议系统设备，无法进行基本的会议。为满足会议的需求，增强公司多媒体会议室和视频会议系统的功能，解决现有系统能力与业务发展需求之间不匹配的问题，现对上述会议室进行升级改造。该项目旨在构建一个畅通无阻、安全可靠的视频会议和本地会议，确保多类会议的稳定举行、会议精神的有效传达以及资源开发和市场销售工作的顺利进行。</w:t>
      </w:r>
    </w:p>
    <w:p w14:paraId="4EC58B63">
      <w:pPr>
        <w:pStyle w:val="74"/>
        <w:numPr>
          <w:ilvl w:val="0"/>
          <w:numId w:val="0"/>
        </w:numPr>
        <w:ind w:firstLine="420" w:firstLineChars="200"/>
        <w:rPr>
          <w:rFonts w:hint="eastAsia" w:ascii="微软雅黑" w:hAnsi="微软雅黑" w:eastAsia="微软雅黑" w:cs="微软雅黑"/>
          <w:b/>
          <w:bCs w:val="0"/>
          <w:sz w:val="21"/>
          <w:szCs w:val="21"/>
        </w:rPr>
      </w:pPr>
      <w:r>
        <w:rPr>
          <w:rFonts w:hint="eastAsia" w:ascii="微软雅黑" w:hAnsi="微软雅黑" w:eastAsia="微软雅黑" w:cs="微软雅黑"/>
          <w:b/>
          <w:bCs/>
          <w:color w:val="000000"/>
          <w:kern w:val="2"/>
          <w:sz w:val="21"/>
          <w:szCs w:val="21"/>
          <w:highlight w:val="none"/>
          <w:lang w:val="en-US" w:eastAsia="zh-CN" w:bidi="ar-SA"/>
        </w:rPr>
        <w:t>2、招标形式：</w:t>
      </w:r>
      <w:r>
        <w:rPr>
          <w:rFonts w:hint="eastAsia" w:ascii="微软雅黑" w:hAnsi="微软雅黑" w:eastAsia="微软雅黑" w:cs="微软雅黑"/>
          <w:b w:val="0"/>
          <w:bCs/>
          <w:sz w:val="21"/>
          <w:szCs w:val="21"/>
          <w:highlight w:val="none"/>
          <w:lang w:val="en-US" w:eastAsia="zh-CN"/>
        </w:rPr>
        <w:t>公开招标</w:t>
      </w:r>
    </w:p>
    <w:p w14:paraId="0B813421">
      <w:pPr>
        <w:pStyle w:val="73"/>
        <w:rPr>
          <w:rFonts w:hint="eastAsia" w:ascii="微软雅黑" w:hAnsi="微软雅黑" w:eastAsia="微软雅黑" w:cs="微软雅黑"/>
          <w:highlight w:val="none"/>
        </w:rPr>
      </w:pPr>
      <w:bookmarkStart w:id="5" w:name="_Toc47976590"/>
      <w:r>
        <w:rPr>
          <w:rFonts w:hint="eastAsia" w:ascii="微软雅黑" w:hAnsi="微软雅黑" w:eastAsia="微软雅黑" w:cs="微软雅黑"/>
          <w:highlight w:val="none"/>
        </w:rPr>
        <w:t>投标人资格要求</w:t>
      </w:r>
      <w:bookmarkEnd w:id="5"/>
    </w:p>
    <w:p w14:paraId="78900C7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ascii="微软雅黑" w:hAnsi="微软雅黑" w:eastAsia="微软雅黑" w:cs="微软雅黑"/>
          <w:lang w:val="en-US" w:eastAsia="zh-CN"/>
        </w:rPr>
      </w:pPr>
      <w:r>
        <w:rPr>
          <w:rFonts w:hint="eastAsia" w:ascii="微软雅黑" w:hAnsi="微软雅黑" w:eastAsia="微软雅黑" w:cs="微软雅黑"/>
          <w:lang w:val="en-US" w:eastAsia="zh-CN"/>
        </w:rPr>
        <w:t>(一)投标人条件</w:t>
      </w:r>
    </w:p>
    <w:p w14:paraId="736915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1.在中国境内注册具有独立法人资格的单位，且成立三年及以上（含三年，从成立日期开始计算，至开标之日不少于三年），具有有效的营业执照；</w:t>
      </w:r>
    </w:p>
    <w:p w14:paraId="34DE9249">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 拟标投人必须是在中华人民共和国境内注册的独立法人机构，具有独立承担民事责任能力；注册资金不少于300万人民币（或等值其他货币）；公司成立3年以上（以营业执照成立日期到开标当日满3年为准），且经营范围满足招标人需求；并在人员、设备、资金等方面具有承担本项目的能力；</w:t>
      </w:r>
    </w:p>
    <w:p w14:paraId="6FA33D4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3. 投标人须具有良好的商业信誉和健全的财务会计制度，财务状况和市场行为良好。没有处于被有权机关吊销营业执照、吊销资质、停业整顿、取消投标资格以及财产被接管、冻结或进入破产程序等；</w:t>
      </w:r>
    </w:p>
    <w:p w14:paraId="5C61D12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4.投标人在“信用中国”中未列入联合惩戒失信人名单，且工商行政管理局的《国家企业信用信息公示系统》中查询不存在不良记录；</w:t>
      </w:r>
    </w:p>
    <w:p w14:paraId="2FA1579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5.无招标违规、谎报年度报告信息、提供虚假资质资料等行为或其他行政处罚记录；</w:t>
      </w:r>
    </w:p>
    <w:p w14:paraId="5BAA7CA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6.近三年内在经营活动中无与本项目有关的违法及重大违规情况；</w:t>
      </w:r>
    </w:p>
    <w:p w14:paraId="367CADA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7.投标人没有被列入招标人处《黑名单》（《黑名单》指投标人与招标人在以往或正在进行的合作中，存在招标人认为的违反合同约定或违反法律法规等的失信行为）的；</w:t>
      </w:r>
    </w:p>
    <w:p w14:paraId="27ECCF1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8.公司经营范围满足招标项目需求；</w:t>
      </w:r>
    </w:p>
    <w:p w14:paraId="42D1232F">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9.投标人须具有履行招标文件所有设备、专业技术等要求的能力；</w:t>
      </w:r>
    </w:p>
    <w:p w14:paraId="6C3F91A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10.投标人须有依法缴纳税收和社会保障资金的良好记录；</w:t>
      </w:r>
    </w:p>
    <w:p w14:paraId="5DC3636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11.具有本次招标货物的供货、安装、售后服务等的相应资质；</w:t>
      </w:r>
    </w:p>
    <w:p w14:paraId="2BC90EA8">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12.投标人须负责提供合理的便于运输的包装物，并承担相关费用；</w:t>
      </w:r>
    </w:p>
    <w:p w14:paraId="5B440B4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13.投标人须认可招标人的工作指令，包括节、假日能正常开展工作的要求。</w:t>
      </w:r>
    </w:p>
    <w:p w14:paraId="5C70E71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14.拟投标人的直接或间接股东、法定代表人、董事、监事、高管非重汽员工及其亲属；</w:t>
      </w:r>
    </w:p>
    <w:p w14:paraId="725DA6A8">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15.投标人必须是最终投标、签订合同的单位，不得以任何理由将已中标项目以任何形式转包或者分包给其他单位；</w:t>
      </w:r>
    </w:p>
    <w:p w14:paraId="0DCF644F">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16.本次招标项目（接受/不接受）联合体及代理商投标；</w:t>
      </w:r>
    </w:p>
    <w:p w14:paraId="016B3BB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ascii="微软雅黑" w:hAnsi="微软雅黑" w:eastAsia="微软雅黑" w:cs="微软雅黑"/>
          <w:lang w:val="en-US" w:eastAsia="zh-CN"/>
        </w:rPr>
      </w:pPr>
      <w:r>
        <w:rPr>
          <w:rFonts w:hint="eastAsia" w:ascii="微软雅黑" w:hAnsi="微软雅黑" w:eastAsia="微软雅黑" w:cs="微软雅黑"/>
          <w:lang w:val="en-US" w:eastAsia="zh-CN"/>
        </w:rPr>
        <w:t>（二）资质标文件组成</w:t>
      </w:r>
    </w:p>
    <w:p w14:paraId="6C415F8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2.1营业执照副本原件或复印件（需加盖公章）；</w:t>
      </w:r>
    </w:p>
    <w:p w14:paraId="08C59B1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2.2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62D2C67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2.3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2）；</w:t>
      </w:r>
    </w:p>
    <w:p w14:paraId="323F170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2.4企业最近半年完税证明、信用证明材料（中国人民银行信用代码证+征信报告）；</w:t>
      </w:r>
    </w:p>
    <w:p w14:paraId="63017888">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2.5年度纳税信用评价信息（可从电子税务局查询截图，需加盖公章）；</w:t>
      </w:r>
    </w:p>
    <w:p w14:paraId="224CA41C">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2.6企业对外担保说明（写明贵单位对外有无对外担保和质押业务，需加盖公章）；</w:t>
      </w:r>
    </w:p>
    <w:p w14:paraId="196DE8D4">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2.7投标人在国家企业信用信息公示系统中无与本项目有关的行政处罚、经营异常和失信信息的声明（附投标当日系统内相关截图）；</w:t>
      </w:r>
    </w:p>
    <w:p w14:paraId="38BE163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2.8保密承诺函（附件3，需盖章）；</w:t>
      </w:r>
    </w:p>
    <w:p w14:paraId="19D12542">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2.9 2022年1月1日至今，企业近三年同类项目业绩证明，须提供用户清单、采购合同复印件；</w:t>
      </w:r>
    </w:p>
    <w:p w14:paraId="77EC5262">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2.10投标保证金缴纳凭证，同时正文描述付款账号、户名、开户行名称、开户行行号、保证金金额。</w:t>
      </w:r>
    </w:p>
    <w:p w14:paraId="7A818F3B">
      <w:pPr>
        <w:pStyle w:val="73"/>
        <w:numPr>
          <w:ilvl w:val="0"/>
          <w:numId w:val="0"/>
        </w:numPr>
        <w:ind w:leftChars="0"/>
        <w:rPr>
          <w:rFonts w:hint="eastAsia" w:ascii="微软雅黑" w:hAnsi="微软雅黑" w:eastAsia="微软雅黑" w:cs="微软雅黑"/>
          <w:highlight w:val="yellow"/>
          <w:lang w:val="en-US" w:eastAsia="zh-CN"/>
        </w:rPr>
      </w:pPr>
    </w:p>
    <w:p w14:paraId="76B97D53">
      <w:pPr>
        <w:pStyle w:val="73"/>
        <w:rPr>
          <w:rFonts w:hint="eastAsia" w:ascii="微软雅黑" w:hAnsi="微软雅黑" w:eastAsia="微软雅黑" w:cs="微软雅黑"/>
          <w:highlight w:val="none"/>
        </w:rPr>
      </w:pPr>
      <w:bookmarkStart w:id="6" w:name="_Toc47976591"/>
      <w:r>
        <w:rPr>
          <w:rFonts w:hint="eastAsia" w:ascii="微软雅黑" w:hAnsi="微软雅黑" w:eastAsia="微软雅黑" w:cs="微软雅黑"/>
          <w:highlight w:val="none"/>
        </w:rPr>
        <w:t>报名及招标文件的获取</w:t>
      </w:r>
      <w:bookmarkEnd w:id="6"/>
    </w:p>
    <w:p w14:paraId="485CA7D6">
      <w:pPr>
        <w:pStyle w:val="74"/>
        <w:numPr>
          <w:ilvl w:val="0"/>
          <w:numId w:val="9"/>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应标报名截止时间：</w:t>
      </w:r>
      <w:r>
        <w:rPr>
          <w:rFonts w:hint="eastAsia" w:ascii="微软雅黑" w:hAnsi="微软雅黑" w:eastAsia="微软雅黑" w:cs="微软雅黑"/>
          <w:highlight w:val="yellow"/>
          <w:lang w:val="en-US" w:eastAsia="zh-CN"/>
        </w:rPr>
        <w:t>2025年12月16日17:00</w:t>
      </w:r>
    </w:p>
    <w:p w14:paraId="40DCF92F">
      <w:pPr>
        <w:pStyle w:val="74"/>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招标文件获取方式：投标人应标报名成功后，在中国重汽e采通平台上获取招标文件。</w:t>
      </w:r>
    </w:p>
    <w:p w14:paraId="04DB969B">
      <w:pPr>
        <w:pStyle w:val="74"/>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报名方式：拟投标人根据招标人在中国重汽官网等公开媒体上发布的招标信息，在“中国重汽e采通”平台报名。按照中国重汽e采通“SRM非生产供应商注册手册”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进行注册，注册完毕后按照“SRM系统供应商用户手册”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，登录重汽e采通平台后进入“供应商应标”，选择对应的项目，点击“应标”后按照招标公告中“投标人资格要求-资质文件”中的</w:t>
      </w:r>
      <w:r>
        <w:rPr>
          <w:rFonts w:hint="eastAsia" w:ascii="微软雅黑" w:hAnsi="微软雅黑" w:eastAsia="微软雅黑" w:cs="微软雅黑"/>
          <w:highlight w:val="none"/>
          <w:lang w:val="en-US" w:eastAsia="zh-CN"/>
        </w:rPr>
        <w:t>2.1-2.10准</w:t>
      </w:r>
      <w:r>
        <w:rPr>
          <w:rFonts w:hint="eastAsia" w:ascii="微软雅黑" w:hAnsi="微软雅黑" w:eastAsia="微软雅黑" w:cs="微软雅黑"/>
          <w:lang w:val="en-US" w:eastAsia="zh-CN"/>
        </w:rPr>
        <w:t>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b/>
          <w:bCs/>
          <w:lang w:val="en-US" w:eastAsia="zh-CN"/>
        </w:rPr>
        <w:t>注：请务必在应标截止时间前完成注册及应标操作，注册审核需2-4日，应标截止时间精确到秒，逾期将无法应标。请自行掌握时间，避免无法应标。</w:t>
      </w:r>
    </w:p>
    <w:p w14:paraId="4509C0DA">
      <w:pPr>
        <w:pStyle w:val="73"/>
        <w:rPr>
          <w:rFonts w:hint="eastAsia" w:ascii="微软雅黑" w:hAnsi="微软雅黑" w:eastAsia="微软雅黑" w:cs="微软雅黑"/>
          <w:highlight w:val="none"/>
        </w:rPr>
      </w:pPr>
      <w:bookmarkStart w:id="7" w:name="_Toc47976592"/>
      <w:r>
        <w:rPr>
          <w:rFonts w:hint="eastAsia" w:ascii="微软雅黑" w:hAnsi="微软雅黑" w:eastAsia="微软雅黑" w:cs="微软雅黑"/>
          <w:highlight w:val="none"/>
        </w:rPr>
        <w:t>投标文件的递交</w:t>
      </w:r>
      <w:bookmarkEnd w:id="7"/>
    </w:p>
    <w:p w14:paraId="7FBD455B">
      <w:pPr>
        <w:pStyle w:val="74"/>
        <w:numPr>
          <w:ilvl w:val="0"/>
          <w:numId w:val="10"/>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投标截止时间：</w:t>
      </w:r>
      <w:r>
        <w:rPr>
          <w:rFonts w:hint="eastAsia" w:ascii="微软雅黑" w:hAnsi="微软雅黑" w:eastAsia="微软雅黑" w:cs="微软雅黑"/>
          <w:highlight w:val="yellow"/>
          <w:lang w:val="en-US" w:eastAsia="zh-CN"/>
        </w:rPr>
        <w:t>2025年12月22日9:00（北京时间）</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lang w:val="en-US" w:eastAsia="zh-CN"/>
        </w:rPr>
        <w:t>注：请务必在投标文件递交截止时间前完成投标操作，截止时间精确到秒，逾期将无法投标。请自行掌握时间，避免无法投标。</w:t>
      </w:r>
    </w:p>
    <w:p w14:paraId="787E4E9B">
      <w:pPr>
        <w:pStyle w:val="74"/>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投标文件的组成：项目投标文件为电子版投标文件（电子版为纸质盖章版的扫描件或加盖电子章，不盖章无效），由</w:t>
      </w:r>
      <w:r>
        <w:rPr>
          <w:rFonts w:hint="eastAsia" w:ascii="微软雅黑" w:hAnsi="微软雅黑" w:eastAsia="微软雅黑" w:cs="微软雅黑"/>
          <w:highlight w:val="none"/>
          <w:lang w:val="en-US" w:eastAsia="zh-CN"/>
        </w:rPr>
        <w:t>《投标文件（资质标）》、《投标文件（商务标）》（开标一览表）</w:t>
      </w:r>
      <w:r>
        <w:rPr>
          <w:rFonts w:hint="eastAsia" w:ascii="微软雅黑" w:hAnsi="微软雅黑" w:eastAsia="微软雅黑" w:cs="微软雅黑"/>
          <w:lang w:val="en-US" w:eastAsia="zh-CN"/>
        </w:rPr>
        <w:t>文件组成，共计</w:t>
      </w:r>
      <w:r>
        <w:rPr>
          <w:rFonts w:hint="eastAsia" w:ascii="微软雅黑" w:hAnsi="微软雅黑" w:eastAsia="微软雅黑" w:cs="微软雅黑"/>
          <w:highlight w:val="none"/>
          <w:lang w:val="en-US" w:eastAsia="zh-CN"/>
        </w:rPr>
        <w:t>2</w:t>
      </w:r>
      <w:r>
        <w:rPr>
          <w:rFonts w:hint="eastAsia" w:ascii="微软雅黑" w:hAnsi="微软雅黑" w:eastAsia="微软雅黑" w:cs="微软雅黑"/>
          <w:lang w:val="en-US" w:eastAsia="zh-CN"/>
        </w:rPr>
        <w:t>个文件。</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highlight w:val="none"/>
          <w:lang w:val="en-US" w:eastAsia="zh-CN"/>
        </w:rPr>
        <w:t>《投标文件（资质标）》一个文件（里面是全部资质投标书），《投标文件（商务标）》（开标一览表）一个文件（里面是全部商务投标书）</w:t>
      </w:r>
      <w:r>
        <w:rPr>
          <w:rFonts w:hint="eastAsia" w:ascii="微软雅黑" w:hAnsi="微软雅黑" w:eastAsia="微软雅黑" w:cs="微软雅黑"/>
          <w:b/>
          <w:bCs/>
          <w:lang w:val="en-US" w:eastAsia="zh-CN"/>
        </w:rPr>
        <w:t>，具体组成等详细要求见招标文件</w:t>
      </w:r>
      <w:r>
        <w:rPr>
          <w:rFonts w:hint="eastAsia" w:ascii="微软雅黑" w:hAnsi="微软雅黑" w:eastAsia="微软雅黑" w:cs="微软雅黑"/>
          <w:b/>
          <w:bCs/>
          <w:highlight w:val="none"/>
          <w:lang w:val="en-US" w:eastAsia="zh-CN"/>
        </w:rPr>
        <w:t>“第一部分投标人须知-投标说明-投标文件的组成”</w:t>
      </w:r>
      <w:r>
        <w:rPr>
          <w:rFonts w:hint="eastAsia" w:ascii="微软雅黑" w:hAnsi="微软雅黑" w:eastAsia="微软雅黑" w:cs="微软雅黑"/>
          <w:b/>
          <w:bCs/>
          <w:lang w:val="en-US" w:eastAsia="zh-CN"/>
        </w:rPr>
        <w:t>。</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lang w:val="en-US" w:eastAsia="zh-CN"/>
        </w:rPr>
      </w:pPr>
      <w:r>
        <w:rPr>
          <w:rFonts w:hint="eastAsia" w:ascii="微软雅黑" w:hAnsi="微软雅黑" w:eastAsia="微软雅黑" w:cs="微软雅黑"/>
          <w:b/>
          <w:bCs/>
          <w:lang w:val="en-US" w:eastAsia="zh-CN"/>
        </w:rPr>
        <w:t>注意不按此要求提供投标文件的，投标文件做无效标处理。以中国重汽e采通系统提交的材料为准。</w:t>
      </w:r>
    </w:p>
    <w:p w14:paraId="4B64074D">
      <w:pPr>
        <w:pStyle w:val="74"/>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投标方式：在中国重汽e采通平台应标成功后，进入“供应商投标”环节，投递盖章扫描版电子标书</w:t>
      </w:r>
      <w:r>
        <w:rPr>
          <w:rFonts w:hint="eastAsia" w:ascii="微软雅黑" w:hAnsi="微软雅黑" w:eastAsia="微软雅黑" w:cs="微软雅黑"/>
          <w:highlight w:val="none"/>
          <w:lang w:val="en-US" w:eastAsia="zh-CN"/>
        </w:rPr>
        <w:t>（包含资质标书、商务标书）</w:t>
      </w:r>
      <w:r>
        <w:rPr>
          <w:rFonts w:hint="eastAsia" w:ascii="微软雅黑" w:hAnsi="微软雅黑" w:eastAsia="微软雅黑" w:cs="微软雅黑"/>
          <w:lang w:val="en-US" w:eastAsia="zh-CN"/>
        </w:rPr>
        <w:t>，若逾期未在中国重汽e采通平台上传电子标书，一律视为无效投标。</w:t>
      </w:r>
    </w:p>
    <w:p w14:paraId="51FD183E">
      <w:pPr>
        <w:pStyle w:val="74"/>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投标文件有效期：自开标之日起90个日历日。</w:t>
      </w:r>
    </w:p>
    <w:p w14:paraId="27B65ABD">
      <w:pPr>
        <w:pStyle w:val="73"/>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开标时间和地点</w:t>
      </w:r>
    </w:p>
    <w:p w14:paraId="114306E8">
      <w:pPr>
        <w:pStyle w:val="74"/>
        <w:numPr>
          <w:ilvl w:val="0"/>
          <w:numId w:val="11"/>
        </w:numPr>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开标时间：</w:t>
      </w:r>
      <w:r>
        <w:rPr>
          <w:rFonts w:hint="eastAsia" w:ascii="微软雅黑" w:hAnsi="微软雅黑" w:eastAsia="微软雅黑" w:cs="微软雅黑"/>
          <w:highlight w:val="yellow"/>
          <w:lang w:val="en-US" w:eastAsia="zh-CN"/>
        </w:rPr>
        <w:t>2025年12月22日9:00（北京时间）</w:t>
      </w:r>
      <w:r>
        <w:rPr>
          <w:rFonts w:hint="eastAsia" w:ascii="微软雅黑" w:hAnsi="微软雅黑" w:eastAsia="微软雅黑" w:cs="微软雅黑"/>
          <w:highlight w:val="none"/>
          <w:lang w:val="en-US" w:eastAsia="zh-CN"/>
        </w:rPr>
        <w:t>（若有变动，另行通知）</w:t>
      </w:r>
    </w:p>
    <w:p w14:paraId="1EEA171A">
      <w:pPr>
        <w:pStyle w:val="74"/>
        <w:bidi w:val="0"/>
        <w:rPr>
          <w:rFonts w:hint="eastAsia" w:ascii="微软雅黑" w:hAnsi="微软雅黑" w:eastAsia="微软雅黑" w:cs="微软雅黑"/>
          <w:highlight w:val="none"/>
          <w:lang w:val="en-US" w:eastAsia="zh-CN"/>
        </w:rPr>
      </w:pPr>
      <w:r>
        <w:rPr>
          <w:rFonts w:hint="eastAsia" w:ascii="微软雅黑" w:hAnsi="微软雅黑" w:eastAsia="微软雅黑" w:cs="微软雅黑"/>
          <w:lang w:val="en-US" w:eastAsia="zh-CN"/>
        </w:rPr>
        <w:t>开标地点：</w:t>
      </w:r>
      <w:r>
        <w:rPr>
          <w:rFonts w:hint="eastAsia" w:ascii="微软雅黑" w:hAnsi="微软雅黑" w:eastAsia="微软雅黑" w:cs="微软雅黑"/>
          <w:highlight w:val="yellow"/>
          <w:lang w:val="en-US" w:eastAsia="zh-CN"/>
        </w:rPr>
        <w:t>中国重汽集团济南商用车制造公司（待定）</w:t>
      </w:r>
    </w:p>
    <w:p w14:paraId="22385406">
      <w:pPr>
        <w:pStyle w:val="73"/>
        <w:rPr>
          <w:rFonts w:hint="eastAsia" w:ascii="微软雅黑" w:hAnsi="微软雅黑" w:eastAsia="微软雅黑" w:cs="微软雅黑"/>
        </w:rPr>
      </w:pPr>
      <w:bookmarkStart w:id="8" w:name="_Toc47976593"/>
      <w:r>
        <w:rPr>
          <w:rFonts w:hint="eastAsia" w:ascii="微软雅黑" w:hAnsi="微软雅黑" w:eastAsia="微软雅黑" w:cs="微软雅黑"/>
        </w:rPr>
        <w:t>招标公告发布媒介</w:t>
      </w:r>
      <w:bookmarkEnd w:id="8"/>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b/>
          <w:bCs/>
        </w:rPr>
      </w:pPr>
      <w:r>
        <w:rPr>
          <w:rFonts w:hint="eastAsia" w:ascii="微软雅黑" w:hAnsi="微软雅黑" w:eastAsia="微软雅黑" w:cs="微软雅黑"/>
          <w:b/>
          <w:bCs/>
        </w:rPr>
        <w:t>本次招标公告同时在</w:t>
      </w:r>
      <w:r>
        <w:rPr>
          <w:rFonts w:hint="eastAsia" w:ascii="微软雅黑" w:hAnsi="微软雅黑" w:eastAsia="微软雅黑" w:cs="微软雅黑"/>
          <w:b/>
          <w:bCs/>
          <w:highlight w:val="none"/>
        </w:rPr>
        <w:t>中国重汽官网</w:t>
      </w:r>
      <w:r>
        <w:rPr>
          <w:rFonts w:hint="eastAsia" w:ascii="微软雅黑" w:hAnsi="微软雅黑" w:eastAsia="微软雅黑" w:cs="微软雅黑"/>
          <w:b/>
          <w:bCs/>
        </w:rPr>
        <w:t>等公开媒体上发布。</w:t>
      </w:r>
    </w:p>
    <w:p w14:paraId="65FC2213">
      <w:pPr>
        <w:pStyle w:val="73"/>
        <w:rPr>
          <w:rFonts w:hint="eastAsia" w:ascii="微软雅黑" w:hAnsi="微软雅黑" w:eastAsia="微软雅黑" w:cs="微软雅黑"/>
          <w:highlight w:val="none"/>
        </w:rPr>
      </w:pPr>
      <w:bookmarkStart w:id="9" w:name="_Toc47976594"/>
      <w:r>
        <w:rPr>
          <w:rFonts w:hint="eastAsia" w:ascii="微软雅黑" w:hAnsi="微软雅黑" w:eastAsia="微软雅黑" w:cs="微软雅黑"/>
          <w:highlight w:val="none"/>
        </w:rPr>
        <w:t>联系方式</w:t>
      </w:r>
      <w:bookmarkEnd w:id="9"/>
    </w:p>
    <w:p w14:paraId="42E108E9">
      <w:pPr>
        <w:pStyle w:val="74"/>
        <w:numPr>
          <w:ilvl w:val="0"/>
          <w:numId w:val="12"/>
        </w:numPr>
        <w:bidi w:val="0"/>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招标人名称：</w:t>
      </w:r>
      <w:r>
        <w:rPr>
          <w:rFonts w:hint="eastAsia" w:ascii="微软雅黑" w:hAnsi="微软雅黑" w:eastAsia="微软雅黑" w:cs="微软雅黑"/>
          <w:highlight w:val="none"/>
          <w:lang w:val="en-US" w:eastAsia="zh-CN"/>
        </w:rPr>
        <w:t>中国重汽集团济南商用车制造公司</w:t>
      </w:r>
    </w:p>
    <w:p w14:paraId="6C22F13D">
      <w:pPr>
        <w:pStyle w:val="74"/>
        <w:numPr>
          <w:ilvl w:val="0"/>
          <w:numId w:val="12"/>
        </w:numPr>
        <w:bidi w:val="0"/>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yellow"/>
          <w:lang w:val="en-US" w:eastAsia="zh-CN"/>
        </w:rPr>
        <w:t>商务联系人：苏启蒙/17553108182; 邮箱：suqiemng@sinotruk.com</w:t>
      </w:r>
    </w:p>
    <w:p w14:paraId="0424277F">
      <w:pPr>
        <w:pStyle w:val="74"/>
        <w:numPr>
          <w:ilvl w:val="0"/>
          <w:numId w:val="12"/>
        </w:numPr>
        <w:bidi w:val="0"/>
        <w:rPr>
          <w:rFonts w:hint="eastAsia" w:ascii="微软雅黑" w:hAnsi="微软雅黑" w:eastAsia="微软雅黑" w:cs="微软雅黑"/>
        </w:rPr>
      </w:pPr>
      <w:r>
        <w:rPr>
          <w:rFonts w:hint="eastAsia" w:ascii="微软雅黑" w:hAnsi="微软雅黑" w:eastAsia="微软雅黑" w:cs="微软雅黑"/>
          <w:lang w:val="en-US" w:eastAsia="zh-CN"/>
        </w:rPr>
        <w:t>技术联系人</w:t>
      </w:r>
      <w:r>
        <w:rPr>
          <w:rFonts w:hint="eastAsia" w:ascii="微软雅黑" w:hAnsi="微软雅黑" w:eastAsia="微软雅黑" w:cs="微软雅黑"/>
          <w:highlight w:val="none"/>
          <w:lang w:val="en-US" w:eastAsia="zh-CN"/>
        </w:rPr>
        <w:t>：李娜/15628847667；邮箱：li_na@sinotruk.com</w:t>
      </w:r>
    </w:p>
    <w:p w14:paraId="5F538BD8">
      <w:pPr>
        <w:pStyle w:val="77"/>
        <w:rPr>
          <w:rFonts w:hint="eastAsia" w:ascii="微软雅黑" w:hAnsi="微软雅黑" w:eastAsia="微软雅黑" w:cs="微软雅黑"/>
        </w:rPr>
      </w:pPr>
    </w:p>
    <w:p w14:paraId="04C96706">
      <w:pPr>
        <w:pStyle w:val="77"/>
        <w:rPr>
          <w:rFonts w:hint="eastAsia" w:ascii="微软雅黑" w:hAnsi="微软雅黑" w:eastAsia="微软雅黑" w:cs="微软雅黑"/>
        </w:rPr>
      </w:pPr>
    </w:p>
    <w:p w14:paraId="6EDC305D">
      <w:pPr>
        <w:pStyle w:val="77"/>
        <w:rPr>
          <w:rFonts w:hint="eastAsia" w:ascii="微软雅黑" w:hAnsi="微软雅黑" w:eastAsia="微软雅黑" w:cs="微软雅黑"/>
        </w:rPr>
      </w:pPr>
    </w:p>
    <w:p w14:paraId="3A18A8DF">
      <w:pPr>
        <w:pStyle w:val="77"/>
        <w:rPr>
          <w:rFonts w:hint="eastAsia" w:ascii="微软雅黑" w:hAnsi="微软雅黑" w:eastAsia="微软雅黑" w:cs="微软雅黑"/>
        </w:rPr>
      </w:pPr>
    </w:p>
    <w:p w14:paraId="41861551">
      <w:pPr>
        <w:pStyle w:val="77"/>
        <w:rPr>
          <w:rFonts w:hint="eastAsia" w:ascii="微软雅黑" w:hAnsi="微软雅黑" w:eastAsia="微软雅黑" w:cs="微软雅黑"/>
        </w:rPr>
      </w:pPr>
    </w:p>
    <w:p w14:paraId="2281DB54">
      <w:pPr>
        <w:rPr>
          <w:rFonts w:hint="eastAsia" w:ascii="微软雅黑" w:hAnsi="微软雅黑" w:eastAsia="微软雅黑" w:cs="微软雅黑"/>
        </w:rPr>
      </w:pPr>
      <w:r>
        <w:rPr>
          <w:rFonts w:hint="eastAsia" w:ascii="微软雅黑" w:hAnsi="微软雅黑" w:eastAsia="微软雅黑" w:cs="微软雅黑"/>
        </w:rPr>
        <w:br w:type="page"/>
      </w:r>
    </w:p>
    <w:p w14:paraId="31AF4FB4">
      <w:pPr>
        <w:pStyle w:val="77"/>
        <w:rPr>
          <w:rFonts w:hint="eastAsia" w:ascii="微软雅黑" w:hAnsi="微软雅黑" w:eastAsia="微软雅黑" w:cs="微软雅黑"/>
        </w:rPr>
      </w:pPr>
    </w:p>
    <w:p w14:paraId="3D820EEC">
      <w:pPr>
        <w:pStyle w:val="72"/>
        <w:rPr>
          <w:rFonts w:hint="eastAsia" w:ascii="微软雅黑" w:hAnsi="微软雅黑" w:eastAsia="微软雅黑" w:cs="微软雅黑"/>
        </w:rPr>
      </w:pPr>
      <w:bookmarkStart w:id="10" w:name="_Toc7753"/>
      <w:bookmarkStart w:id="11" w:name="_Toc47976595"/>
      <w:r>
        <w:rPr>
          <w:rFonts w:hint="eastAsia" w:ascii="微软雅黑" w:hAnsi="微软雅黑" w:eastAsia="微软雅黑" w:cs="微软雅黑"/>
        </w:rPr>
        <w:t>第一部分  投标人须知</w:t>
      </w:r>
      <w:bookmarkEnd w:id="10"/>
      <w:bookmarkEnd w:id="11"/>
    </w:p>
    <w:p w14:paraId="418340FC">
      <w:pPr>
        <w:pStyle w:val="73"/>
        <w:numPr>
          <w:ilvl w:val="0"/>
          <w:numId w:val="13"/>
        </w:numPr>
        <w:ind w:left="420"/>
        <w:jc w:val="left"/>
        <w:rPr>
          <w:rFonts w:hint="eastAsia" w:ascii="微软雅黑" w:hAnsi="微软雅黑" w:eastAsia="微软雅黑" w:cs="微软雅黑"/>
        </w:rPr>
      </w:pPr>
      <w:bookmarkStart w:id="12" w:name="_Toc47976596"/>
      <w:r>
        <w:rPr>
          <w:rFonts w:hint="eastAsia" w:ascii="微软雅黑" w:hAnsi="微软雅黑" w:eastAsia="微软雅黑" w:cs="微软雅黑"/>
        </w:rPr>
        <w:t>项目介绍</w:t>
      </w:r>
      <w:bookmarkEnd w:id="12"/>
    </w:p>
    <w:p w14:paraId="6360E7CD">
      <w:pPr>
        <w:pStyle w:val="77"/>
        <w:numPr>
          <w:ilvl w:val="0"/>
          <w:numId w:val="14"/>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项目名称</w:t>
      </w:r>
      <w:r>
        <w:rPr>
          <w:rFonts w:hint="eastAsia" w:ascii="微软雅黑" w:hAnsi="微软雅黑" w:eastAsia="微软雅黑" w:cs="微软雅黑"/>
          <w:highlight w:val="none"/>
        </w:rPr>
        <w:t>：</w:t>
      </w:r>
      <w:r>
        <w:rPr>
          <w:rFonts w:hint="eastAsia" w:ascii="微软雅黑" w:hAnsi="微软雅黑" w:eastAsia="微软雅黑" w:cs="微软雅黑"/>
          <w:highlight w:val="none"/>
          <w:lang w:val="en-US" w:eastAsia="zh-CN"/>
        </w:rPr>
        <w:t>济南商用车制造公司会议室升级改造技改项目</w:t>
      </w:r>
    </w:p>
    <w:p w14:paraId="17A97EAA">
      <w:pPr>
        <w:pStyle w:val="77"/>
        <w:numPr>
          <w:ilvl w:val="0"/>
          <w:numId w:val="14"/>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项目编号：</w:t>
      </w:r>
      <w:r>
        <w:rPr>
          <w:rFonts w:hint="eastAsia" w:ascii="微软雅黑" w:hAnsi="微软雅黑" w:eastAsia="微软雅黑" w:cs="微软雅黑"/>
          <w:highlight w:val="none"/>
          <w:lang w:val="en-US" w:eastAsia="zh-CN"/>
        </w:rPr>
        <w:t>FSCZB2025120124</w:t>
      </w:r>
    </w:p>
    <w:p w14:paraId="5C6CF568">
      <w:pPr>
        <w:pStyle w:val="77"/>
        <w:numPr>
          <w:ilvl w:val="0"/>
          <w:numId w:val="14"/>
        </w:numPr>
        <w:ind w:left="425" w:leftChars="0" w:hanging="425" w:firstLineChars="0"/>
        <w:rPr>
          <w:rFonts w:hint="eastAsia" w:ascii="微软雅黑" w:hAnsi="微软雅黑" w:eastAsia="微软雅黑" w:cs="微软雅黑"/>
        </w:rPr>
      </w:pPr>
      <w:r>
        <w:rPr>
          <w:rFonts w:hint="eastAsia" w:ascii="微软雅黑" w:hAnsi="微软雅黑" w:eastAsia="微软雅黑" w:cs="微软雅黑"/>
        </w:rPr>
        <w:t>招标形式：</w:t>
      </w:r>
      <w:bookmarkStart w:id="13" w:name="_Toc47112482"/>
      <w:r>
        <w:rPr>
          <w:rFonts w:hint="eastAsia" w:ascii="微软雅黑" w:hAnsi="微软雅黑" w:eastAsia="微软雅黑" w:cs="微软雅黑"/>
          <w:lang w:val="en-US" w:eastAsia="zh-CN"/>
        </w:rPr>
        <w:t>公开</w:t>
      </w:r>
      <w:r>
        <w:rPr>
          <w:rFonts w:hint="eastAsia" w:ascii="微软雅黑" w:hAnsi="微软雅黑" w:eastAsia="微软雅黑" w:cs="微软雅黑"/>
          <w:highlight w:val="none"/>
          <w:lang w:val="en-US" w:eastAsia="zh-CN"/>
        </w:rPr>
        <w:t>招标</w:t>
      </w:r>
    </w:p>
    <w:p w14:paraId="742B3A80">
      <w:pPr>
        <w:pStyle w:val="77"/>
        <w:numPr>
          <w:ilvl w:val="0"/>
          <w:numId w:val="14"/>
        </w:numPr>
        <w:ind w:left="0" w:leftChars="0" w:firstLine="0" w:firstLineChars="0"/>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项目概况</w:t>
      </w:r>
      <w:r>
        <w:rPr>
          <w:rFonts w:hint="eastAsia" w:ascii="微软雅黑" w:hAnsi="微软雅黑" w:eastAsia="微软雅黑" w:cs="微软雅黑"/>
          <w:lang w:val="en-US" w:eastAsia="zh-CN"/>
        </w:rPr>
        <w:t>：2F第一会议室会议系统设备已使用多年，使用效果差，故障率高，线路老化，无法满足基本的会议要求；2F第二会议室无会议系统设备，无法进行基本的会议。为满足会议的需求，增强公司多媒体会议室和视频会议系统的功能，解决现有系统能力与业务发展需求之间不匹配的问题，现对上述会议室进行升级改造。该项目旨在构建一个畅通无阻、安全可靠的视频会议和本地会议，确保多类会议的稳定举行、会议精神的有效传达以及资源开发和市场销售工作的顺利进行。</w:t>
      </w:r>
    </w:p>
    <w:p w14:paraId="0D721996">
      <w:pPr>
        <w:pStyle w:val="77"/>
        <w:numPr>
          <w:ilvl w:val="0"/>
          <w:numId w:val="14"/>
        </w:numPr>
        <w:ind w:left="425" w:leftChars="0" w:hanging="425" w:firstLineChars="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招标内容具体要求详见《技术要求》。</w:t>
      </w:r>
    </w:p>
    <w:p w14:paraId="10BC6F77">
      <w:pPr>
        <w:pStyle w:val="77"/>
        <w:numPr>
          <w:ilvl w:val="0"/>
          <w:numId w:val="14"/>
        </w:numPr>
        <w:ind w:left="425" w:leftChars="0" w:hanging="425" w:firstLineChars="0"/>
        <w:rPr>
          <w:rFonts w:hint="eastAsia" w:ascii="微软雅黑" w:hAnsi="微软雅黑" w:eastAsia="微软雅黑" w:cs="微软雅黑"/>
          <w:u w:val="none"/>
          <w:lang w:val="en-US" w:eastAsia="zh-CN"/>
        </w:rPr>
      </w:pPr>
      <w:r>
        <w:rPr>
          <w:rFonts w:hint="eastAsia" w:ascii="微软雅黑" w:hAnsi="微软雅黑" w:eastAsia="微软雅黑" w:cs="微软雅黑"/>
          <w:lang w:val="en-US" w:eastAsia="zh-CN"/>
        </w:rPr>
        <w:t>报价：</w:t>
      </w:r>
    </w:p>
    <w:p w14:paraId="01FD9D48">
      <w:pPr>
        <w:pStyle w:val="77"/>
        <w:numPr>
          <w:ilvl w:val="0"/>
          <w:numId w:val="0"/>
        </w:numPr>
        <w:ind w:leftChars="0"/>
        <w:rPr>
          <w:rFonts w:hint="eastAsia" w:ascii="微软雅黑" w:hAnsi="微软雅黑" w:eastAsia="微软雅黑" w:cs="微软雅黑"/>
          <w:b w:val="0"/>
          <w:bCs w:val="0"/>
          <w:color w:val="auto"/>
          <w:highlight w:val="none"/>
          <w:u w:val="none"/>
          <w:lang w:val="en-US" w:eastAsia="zh-CN"/>
        </w:rPr>
      </w:pPr>
      <w:r>
        <w:rPr>
          <w:rFonts w:hint="eastAsia" w:ascii="微软雅黑" w:hAnsi="微软雅黑" w:eastAsia="微软雅黑" w:cs="微软雅黑"/>
          <w:b w:val="0"/>
          <w:bCs w:val="0"/>
          <w:color w:val="auto"/>
          <w:highlight w:val="none"/>
          <w:u w:val="none"/>
          <w:lang w:val="en-US" w:eastAsia="zh-CN"/>
        </w:rPr>
        <w:t>(1)本项目的所有报价均以人民币填报。投标人应分别报出不含税金额、税率和价税合计金额。</w:t>
      </w:r>
    </w:p>
    <w:p w14:paraId="6648D6C5">
      <w:pPr>
        <w:pStyle w:val="77"/>
        <w:numPr>
          <w:ilvl w:val="0"/>
          <w:numId w:val="0"/>
        </w:numPr>
        <w:ind w:leftChars="0"/>
        <w:rPr>
          <w:rFonts w:hint="eastAsia" w:ascii="微软雅黑" w:hAnsi="微软雅黑" w:eastAsia="微软雅黑" w:cs="微软雅黑"/>
          <w:b w:val="0"/>
          <w:bCs w:val="0"/>
          <w:color w:val="auto"/>
          <w:highlight w:val="none"/>
          <w:u w:val="none"/>
          <w:lang w:val="en-US" w:eastAsia="zh-CN"/>
        </w:rPr>
      </w:pPr>
      <w:r>
        <w:rPr>
          <w:rFonts w:hint="eastAsia" w:ascii="微软雅黑" w:hAnsi="微软雅黑" w:eastAsia="微软雅黑" w:cs="微软雅黑"/>
          <w:b w:val="0"/>
          <w:bCs w:val="0"/>
          <w:color w:val="auto"/>
          <w:highlight w:val="none"/>
          <w:u w:val="none"/>
          <w:lang w:val="en-US" w:eastAsia="zh-CN"/>
        </w:rPr>
        <w:t>(2)项目报价不超40万（含税），超过投标限价无法投标。</w:t>
      </w:r>
    </w:p>
    <w:p w14:paraId="2A2F2260">
      <w:pPr>
        <w:pStyle w:val="77"/>
        <w:numPr>
          <w:ilvl w:val="0"/>
          <w:numId w:val="14"/>
        </w:numPr>
        <w:ind w:left="425" w:leftChars="0" w:hanging="425" w:firstLineChars="0"/>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招标人信息：</w:t>
      </w:r>
    </w:p>
    <w:p w14:paraId="65218C5D">
      <w:pPr>
        <w:pStyle w:val="77"/>
        <w:numPr>
          <w:ilvl w:val="0"/>
          <w:numId w:val="15"/>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招标人名称：中国重汽集团济南商用车制造公司</w:t>
      </w:r>
    </w:p>
    <w:p w14:paraId="3895460C">
      <w:pPr>
        <w:pStyle w:val="77"/>
        <w:numPr>
          <w:ilvl w:val="0"/>
          <w:numId w:val="15"/>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商务联系人：苏启蒙</w:t>
      </w:r>
      <w:r>
        <w:rPr>
          <w:rFonts w:hint="eastAsia" w:ascii="微软雅黑" w:hAnsi="微软雅黑" w:eastAsia="微软雅黑" w:cs="微软雅黑"/>
          <w:b w:val="0"/>
          <w:bCs w:val="0"/>
          <w:color w:val="auto"/>
          <w:highlight w:val="yellow"/>
          <w:lang w:val="en-US" w:eastAsia="zh-CN"/>
        </w:rPr>
        <w:t>/17553108182; 邮箱：suqimeng@sinotruk.com</w:t>
      </w:r>
    </w:p>
    <w:p w14:paraId="4902D5AB">
      <w:pPr>
        <w:pStyle w:val="77"/>
        <w:numPr>
          <w:ilvl w:val="0"/>
          <w:numId w:val="15"/>
        </w:numPr>
        <w:ind w:leftChars="0"/>
        <w:rPr>
          <w:rFonts w:hint="eastAsia" w:ascii="微软雅黑" w:hAnsi="微软雅黑" w:eastAsia="微软雅黑" w:cs="微软雅黑"/>
          <w:b w:val="0"/>
          <w:bCs w:val="0"/>
          <w:color w:val="auto"/>
          <w:highlight w:val="none"/>
          <w:lang w:val="en-US" w:eastAsia="zh-CN"/>
        </w:rPr>
      </w:pPr>
      <w:r>
        <w:rPr>
          <w:rFonts w:hint="eastAsia" w:ascii="微软雅黑" w:hAnsi="微软雅黑" w:eastAsia="微软雅黑" w:cs="微软雅黑"/>
          <w:b w:val="0"/>
          <w:bCs w:val="0"/>
          <w:color w:val="auto"/>
          <w:highlight w:val="none"/>
          <w:lang w:val="en-US" w:eastAsia="zh-CN"/>
        </w:rPr>
        <w:t>技术联系人：</w:t>
      </w:r>
      <w:r>
        <w:rPr>
          <w:rFonts w:hint="eastAsia" w:ascii="微软雅黑" w:hAnsi="微软雅黑" w:eastAsia="微软雅黑" w:cs="微软雅黑"/>
          <w:highlight w:val="none"/>
          <w:lang w:val="en-US" w:eastAsia="zh-CN"/>
        </w:rPr>
        <w:t>李娜/15628847667；邮箱：li_na@sinotruk.com</w:t>
      </w:r>
    </w:p>
    <w:bookmarkEnd w:id="13"/>
    <w:p w14:paraId="50DC6C75">
      <w:pPr>
        <w:pStyle w:val="73"/>
        <w:rPr>
          <w:rFonts w:hint="eastAsia" w:ascii="微软雅黑" w:hAnsi="微软雅黑" w:eastAsia="微软雅黑" w:cs="微软雅黑"/>
          <w:highlight w:val="none"/>
        </w:rPr>
      </w:pPr>
      <w:bookmarkStart w:id="14" w:name="_Toc47976598"/>
      <w:r>
        <w:rPr>
          <w:rFonts w:hint="eastAsia" w:ascii="微软雅黑" w:hAnsi="微软雅黑" w:eastAsia="微软雅黑" w:cs="微软雅黑"/>
          <w:highlight w:val="none"/>
        </w:rPr>
        <w:t>合格的投标人</w:t>
      </w:r>
      <w:bookmarkEnd w:id="14"/>
    </w:p>
    <w:p w14:paraId="112609AF">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1.在中国境内注册具有独立法人资格的单位，且成立三年及以上（含三年，从成立日期开始计算，至开标之日不少于三年），具有有效的营业执照；</w:t>
      </w:r>
    </w:p>
    <w:p w14:paraId="7519CCC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2. 拟标投人必须是在中华人民共和国境内注册的独立法人机构，具有独立承担民事责任能力；注册资金不少于300万人民币（或等值其他货币）；公司成立3年以上（以营业执照成立日期到开标当日满3年为准），且经营范围满足招标人需求；并在人员、设备、资金等方面具有承担本项目的能力；</w:t>
      </w:r>
    </w:p>
    <w:p w14:paraId="604A00B8">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3. 投标人须具有良好的商业信誉和健全的财务会计制度，财务状况和市场行为良好。没有处于被有权机关吊销营业执照、吊销资质、停业整顿、取消投标资格以及财产被接管、冻结或进入破产程序等；</w:t>
      </w:r>
    </w:p>
    <w:p w14:paraId="6AD5FA8E">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4.投标人在“信用中国”中未列入联合惩戒失信人名单，且工商行政管理局的《国家企业信用信息公示系统》中查询不存在不良记录；</w:t>
      </w:r>
    </w:p>
    <w:p w14:paraId="3F2B9244">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5.无招标违规、谎报年度报告信息、提供虚假资质资料等行为或其他行政处罚记录；</w:t>
      </w:r>
    </w:p>
    <w:p w14:paraId="7BBEA76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6.近三年内在经营活动中无与本项目有关的违法及重大违规情况；</w:t>
      </w:r>
    </w:p>
    <w:p w14:paraId="7308B97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7.投标人没有被列入招标人处《黑名单》（《黑名单》指投标人与招标人在以往或正在进行的合作中，存在招标人认为的违反合同约定或违反法律法规等的失信行为）的；</w:t>
      </w:r>
    </w:p>
    <w:p w14:paraId="2FB350E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8.公司经营范围满足招标项目需求；</w:t>
      </w:r>
    </w:p>
    <w:p w14:paraId="0B900E2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9.投标人须具有履行招标文件所有设备、专业技术等要求的能力；</w:t>
      </w:r>
    </w:p>
    <w:p w14:paraId="19A0C30F">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10.投标人须有依法缴纳税收和社会保障资金的良好记录；</w:t>
      </w:r>
    </w:p>
    <w:p w14:paraId="55D0521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11.具有本次招标货物的供货、安装、售后服务等的相应资质；</w:t>
      </w:r>
    </w:p>
    <w:p w14:paraId="61C6BB54">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12.投标人须负责提供合理的便于运输的包装物，并承担相关费用；</w:t>
      </w:r>
    </w:p>
    <w:p w14:paraId="460A210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13.投标人须认可招标人的工作指令，包括节、假日能正常开展工作的要求。</w:t>
      </w:r>
    </w:p>
    <w:p w14:paraId="297E186E">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14.拟投标人的直接或间接股东、法定代表人、董事、监事、高管非重汽员工及其亲属；</w:t>
      </w:r>
    </w:p>
    <w:p w14:paraId="53EF475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15.投标人必须是最终投标、签订合同的单位，不得以任何理由将已中标项目以任何形式转包或者分包给其他单位；</w:t>
      </w:r>
    </w:p>
    <w:p w14:paraId="6FCF4D1D">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16.本次招标项目（接受/不接受）联合体及代理商投标；</w:t>
      </w:r>
    </w:p>
    <w:p w14:paraId="31CA8C38">
      <w:pPr>
        <w:pStyle w:val="73"/>
        <w:rPr>
          <w:rFonts w:hint="eastAsia" w:ascii="微软雅黑" w:hAnsi="微软雅黑" w:eastAsia="微软雅黑" w:cs="微软雅黑"/>
          <w:highlight w:val="none"/>
        </w:rPr>
      </w:pPr>
      <w:r>
        <w:rPr>
          <w:rFonts w:hint="eastAsia" w:ascii="微软雅黑" w:hAnsi="微软雅黑" w:eastAsia="微软雅黑" w:cs="微软雅黑"/>
          <w:highlight w:val="none"/>
        </w:rPr>
        <w:t>招标文件的</w:t>
      </w:r>
      <w:r>
        <w:rPr>
          <w:rFonts w:hint="eastAsia" w:ascii="微软雅黑" w:hAnsi="微软雅黑" w:eastAsia="微软雅黑" w:cs="微软雅黑"/>
          <w:highlight w:val="none"/>
          <w:lang w:val="en-US" w:eastAsia="zh-CN"/>
        </w:rPr>
        <w:t>领取、</w:t>
      </w:r>
      <w:r>
        <w:rPr>
          <w:rFonts w:hint="eastAsia" w:ascii="微软雅黑" w:hAnsi="微软雅黑" w:eastAsia="微软雅黑" w:cs="微软雅黑"/>
          <w:highlight w:val="none"/>
        </w:rPr>
        <w:t>答疑、</w:t>
      </w:r>
      <w:r>
        <w:rPr>
          <w:rFonts w:hint="eastAsia" w:ascii="微软雅黑" w:hAnsi="微软雅黑" w:eastAsia="微软雅黑" w:cs="微软雅黑"/>
          <w:highlight w:val="none"/>
          <w:lang w:val="en-US" w:eastAsia="zh-CN"/>
        </w:rPr>
        <w:t>应标</w:t>
      </w:r>
      <w:r>
        <w:rPr>
          <w:rFonts w:hint="eastAsia" w:ascii="微软雅黑" w:hAnsi="微软雅黑" w:eastAsia="微软雅黑" w:cs="微软雅黑"/>
          <w:highlight w:val="none"/>
        </w:rPr>
        <w:t>报名</w:t>
      </w:r>
    </w:p>
    <w:p w14:paraId="09A92690">
      <w:pPr>
        <w:pStyle w:val="77"/>
        <w:numPr>
          <w:ilvl w:val="0"/>
          <w:numId w:val="16"/>
        </w:numPr>
        <w:ind w:left="425" w:leftChars="0" w:hanging="425" w:firstLineChars="0"/>
        <w:jc w:val="both"/>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发标时间：</w:t>
      </w:r>
      <w:r>
        <w:rPr>
          <w:rFonts w:hint="eastAsia" w:ascii="微软雅黑" w:hAnsi="微软雅黑" w:eastAsia="微软雅黑" w:cs="微软雅黑"/>
          <w:highlight w:val="yellow"/>
          <w:u w:val="single"/>
          <w:lang w:val="en-US" w:eastAsia="zh-CN"/>
        </w:rPr>
        <w:t>2025年12月10日</w:t>
      </w:r>
    </w:p>
    <w:p w14:paraId="41FDA27A">
      <w:pPr>
        <w:pStyle w:val="77"/>
        <w:numPr>
          <w:ilvl w:val="0"/>
          <w:numId w:val="16"/>
        </w:numPr>
        <w:ind w:left="425" w:leftChars="0" w:hanging="425" w:firstLineChars="0"/>
        <w:jc w:val="both"/>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招标文件领取方式：</w:t>
      </w:r>
      <w:r>
        <w:rPr>
          <w:rFonts w:hint="eastAsia" w:ascii="微软雅黑" w:hAnsi="微软雅黑" w:eastAsia="微软雅黑" w:cs="微软雅黑"/>
          <w:b/>
          <w:bCs/>
          <w:highlight w:val="none"/>
          <w:lang w:val="en-US" w:eastAsia="zh-CN"/>
        </w:rPr>
        <w:t>投标人应标报名成功后，在中国重汽e采通平台上获取招标文件</w:t>
      </w:r>
      <w:r>
        <w:rPr>
          <w:rFonts w:hint="eastAsia" w:ascii="微软雅黑" w:hAnsi="微软雅黑" w:eastAsia="微软雅黑" w:cs="微软雅黑"/>
          <w:highlight w:val="none"/>
          <w:lang w:val="en-US" w:eastAsia="zh-CN"/>
        </w:rPr>
        <w:t>。</w:t>
      </w:r>
    </w:p>
    <w:p w14:paraId="62084E4B">
      <w:pPr>
        <w:pStyle w:val="77"/>
        <w:numPr>
          <w:ilvl w:val="0"/>
          <w:numId w:val="16"/>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答疑时间：</w:t>
      </w:r>
      <w:r>
        <w:rPr>
          <w:rFonts w:hint="eastAsia" w:ascii="微软雅黑" w:hAnsi="微软雅黑" w:eastAsia="微软雅黑" w:cs="微软雅黑"/>
          <w:highlight w:val="none"/>
          <w:u w:val="single"/>
          <w:lang w:val="en-US" w:eastAsia="zh-CN"/>
        </w:rPr>
        <w:t>2</w:t>
      </w:r>
      <w:r>
        <w:rPr>
          <w:rFonts w:hint="eastAsia" w:ascii="微软雅黑" w:hAnsi="微软雅黑" w:eastAsia="微软雅黑" w:cs="微软雅黑"/>
          <w:highlight w:val="yellow"/>
          <w:u w:val="single"/>
          <w:lang w:val="en-US" w:eastAsia="zh-CN"/>
        </w:rPr>
        <w:t>025年12月18日12:00前</w:t>
      </w:r>
    </w:p>
    <w:p w14:paraId="62CB87C4">
      <w:pPr>
        <w:pStyle w:val="77"/>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提交疑问方式：将答疑问题以word文件格式发送至联系人邮件内，并电话联系工作人员查收，</w:t>
      </w:r>
      <w:r>
        <w:rPr>
          <w:rFonts w:hint="eastAsia" w:ascii="微软雅黑" w:hAnsi="微软雅黑" w:eastAsia="微软雅黑" w:cs="微软雅黑"/>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16"/>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领取答疑、澄清和修改文件时间：</w:t>
      </w:r>
      <w:r>
        <w:rPr>
          <w:rFonts w:hint="eastAsia" w:ascii="微软雅黑" w:hAnsi="微软雅黑" w:eastAsia="微软雅黑" w:cs="微软雅黑"/>
          <w:highlight w:val="yellow"/>
          <w:u w:val="single"/>
          <w:lang w:val="en-US" w:eastAsia="zh-CN"/>
        </w:rPr>
        <w:t>2025年12月20日17:00前</w:t>
      </w:r>
    </w:p>
    <w:p w14:paraId="59AC1516">
      <w:pPr>
        <w:pStyle w:val="77"/>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答疑、澄清和修改文件方式：招标人将以电子邮件的方式将招标文件的答疑澄清文件发送至答疑文件提交时登记的电子邮箱。</w:t>
      </w:r>
    </w:p>
    <w:p w14:paraId="7AB51490">
      <w:pPr>
        <w:pStyle w:val="77"/>
        <w:keepNext w:val="0"/>
        <w:keepLines w:val="0"/>
        <w:pageBreakBefore w:val="0"/>
        <w:widowControl w:val="0"/>
        <w:numPr>
          <w:ilvl w:val="0"/>
          <w:numId w:val="16"/>
        </w:numPr>
        <w:kinsoku/>
        <w:wordWrap/>
        <w:overflowPunct/>
        <w:topLinePunct w:val="0"/>
        <w:autoSpaceDE/>
        <w:autoSpaceDN/>
        <w:bidi w:val="0"/>
        <w:adjustRightInd/>
        <w:snapToGrid/>
        <w:ind w:left="0" w:firstLine="0"/>
        <w:textAlignment w:val="auto"/>
        <w:rPr>
          <w:rFonts w:hint="eastAsia" w:ascii="微软雅黑" w:hAnsi="微软雅黑" w:eastAsia="微软雅黑" w:cs="微软雅黑"/>
          <w:lang w:val="en-US" w:eastAsia="zh-CN"/>
        </w:rPr>
      </w:pPr>
      <w:r>
        <w:rPr>
          <w:rFonts w:hint="eastAsia" w:ascii="微软雅黑" w:hAnsi="微软雅黑" w:eastAsia="微软雅黑" w:cs="微软雅黑"/>
          <w:b/>
          <w:bCs/>
          <w:lang w:val="en-US" w:eastAsia="zh-CN"/>
        </w:rPr>
        <w:t>报名方式</w:t>
      </w:r>
      <w:r>
        <w:rPr>
          <w:rFonts w:hint="eastAsia" w:ascii="微软雅黑" w:hAnsi="微软雅黑" w:eastAsia="微软雅黑" w:cs="微软雅黑"/>
          <w:lang w:val="en-US" w:eastAsia="zh-CN"/>
        </w:rPr>
        <w:t>：拟投标人根据招标人在中国重汽官网等公开媒体上发布的招标信息，在“中国重汽e采通”平台报名。按照中国重汽e采通“SRM非生产供应商注册手册”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进行注册，注册完毕后按照“SRM系统供应商用户手册</w:t>
      </w:r>
      <w:r>
        <w:rPr>
          <w:rFonts w:hint="eastAsia" w:ascii="微软雅黑" w:hAnsi="微软雅黑" w:eastAsia="微软雅黑" w:cs="微软雅黑"/>
          <w:highlight w:val="none"/>
          <w:lang w:val="en-US" w:eastAsia="zh-CN"/>
        </w:rPr>
        <w:t>（附件）</w:t>
      </w:r>
      <w:r>
        <w:rPr>
          <w:rFonts w:hint="eastAsia" w:ascii="微软雅黑" w:hAnsi="微软雅黑" w:eastAsia="微软雅黑" w:cs="微软雅黑"/>
          <w:lang w:val="en-US" w:eastAsia="zh-CN"/>
        </w:rPr>
        <w:t>”，登录重汽e采通平台后进入“供应商应标”，选择对应的项目，点击“应标”后按照招标文件中</w:t>
      </w:r>
      <w:r>
        <w:rPr>
          <w:rFonts w:hint="eastAsia" w:ascii="微软雅黑" w:hAnsi="微软雅黑" w:eastAsia="微软雅黑" w:cs="微软雅黑"/>
          <w:highlight w:val="none"/>
          <w:lang w:val="en-US" w:eastAsia="zh-CN"/>
        </w:rPr>
        <w:t>“投标说明-投标文件的组成-资质文件”的要求</w:t>
      </w:r>
      <w:r>
        <w:rPr>
          <w:rFonts w:hint="eastAsia" w:ascii="微软雅黑" w:hAnsi="微软雅黑" w:eastAsia="微软雅黑" w:cs="微软雅黑"/>
          <w:lang w:val="en-US" w:eastAsia="zh-CN"/>
        </w:rPr>
        <w:t>准备资料，资质审查通过即为报名成功；公示期间请尽快报名，应标报名成功后，</w:t>
      </w:r>
      <w:r>
        <w:rPr>
          <w:rFonts w:hint="eastAsia" w:ascii="微软雅黑" w:hAnsi="微软雅黑" w:eastAsia="微软雅黑" w:cs="微软雅黑"/>
          <w:highlight w:val="none"/>
          <w:lang w:val="en-US" w:eastAsia="zh-CN"/>
        </w:rPr>
        <w:t>进入“供应商投标”环节</w:t>
      </w:r>
      <w:r>
        <w:rPr>
          <w:rFonts w:hint="eastAsia" w:ascii="微软雅黑" w:hAnsi="微软雅黑" w:eastAsia="微软雅黑" w:cs="微软雅黑"/>
          <w:lang w:val="en-US" w:eastAsia="zh-CN"/>
        </w:rPr>
        <w:t>。</w:t>
      </w:r>
    </w:p>
    <w:p w14:paraId="6DC2B408">
      <w:pPr>
        <w:pStyle w:val="77"/>
        <w:numPr>
          <w:ilvl w:val="0"/>
          <w:numId w:val="16"/>
        </w:numPr>
        <w:ind w:left="425" w:leftChars="0" w:hanging="425" w:firstLineChars="0"/>
        <w:jc w:val="both"/>
        <w:rPr>
          <w:rFonts w:hint="eastAsia" w:ascii="微软雅黑" w:hAnsi="微软雅黑" w:eastAsia="微软雅黑" w:cs="微软雅黑"/>
          <w:highlight w:val="yellow"/>
          <w:lang w:val="en-US" w:eastAsia="zh-CN"/>
        </w:rPr>
      </w:pPr>
      <w:r>
        <w:rPr>
          <w:rFonts w:hint="eastAsia" w:ascii="微软雅黑" w:hAnsi="微软雅黑" w:eastAsia="微软雅黑" w:cs="微软雅黑"/>
          <w:highlight w:val="none"/>
          <w:lang w:val="en-US" w:eastAsia="zh-CN"/>
        </w:rPr>
        <w:t>应标截止时间：</w:t>
      </w:r>
      <w:r>
        <w:rPr>
          <w:rFonts w:hint="eastAsia" w:ascii="微软雅黑" w:hAnsi="微软雅黑" w:eastAsia="微软雅黑" w:cs="微软雅黑"/>
          <w:highlight w:val="yellow"/>
          <w:u w:val="single"/>
          <w:lang w:val="en-US" w:eastAsia="zh-CN"/>
        </w:rPr>
        <w:t>2025年12月16日17:00</w:t>
      </w:r>
    </w:p>
    <w:p w14:paraId="0C785EC5">
      <w:pPr>
        <w:pStyle w:val="73"/>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rPr>
        <w:t>投标</w:t>
      </w:r>
      <w:r>
        <w:rPr>
          <w:rFonts w:hint="eastAsia" w:ascii="微软雅黑" w:hAnsi="微软雅黑" w:eastAsia="微软雅黑" w:cs="微软雅黑"/>
          <w:highlight w:val="none"/>
          <w:lang w:val="en-US" w:eastAsia="zh-CN"/>
        </w:rPr>
        <w:t>说明</w:t>
      </w:r>
    </w:p>
    <w:p w14:paraId="59493963">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rPr>
      </w:pPr>
      <w:r>
        <w:rPr>
          <w:rFonts w:hint="eastAsia" w:ascii="微软雅黑" w:hAnsi="微软雅黑" w:eastAsia="微软雅黑" w:cs="微软雅黑"/>
          <w:b w:val="0"/>
          <w:lang w:val="en-US" w:eastAsia="zh-CN"/>
        </w:rPr>
        <w:t>投标文件的组成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投标人编写的投标文件由《投标文件（资质标）》、《投标文件（商务标）》（开标一览表）文件组成，共计</w:t>
      </w:r>
      <w:r>
        <w:rPr>
          <w:rFonts w:hint="eastAsia" w:ascii="微软雅黑" w:hAnsi="微软雅黑" w:eastAsia="微软雅黑" w:cs="微软雅黑"/>
          <w:highlight w:val="none"/>
          <w:u w:val="single"/>
          <w:lang w:val="en-US" w:eastAsia="zh-CN"/>
        </w:rPr>
        <w:t xml:space="preserve"> 2 </w:t>
      </w:r>
      <w:r>
        <w:rPr>
          <w:rFonts w:hint="eastAsia" w:ascii="微软雅黑" w:hAnsi="微软雅黑" w:eastAsia="微软雅黑" w:cs="微软雅黑"/>
          <w:lang w:val="en-US" w:eastAsia="zh-CN"/>
        </w:rPr>
        <w:t>个文件。</w:t>
      </w:r>
    </w:p>
    <w:p w14:paraId="2DD7BA97">
      <w:pPr>
        <w:pStyle w:val="75"/>
        <w:numPr>
          <w:ilvl w:val="0"/>
          <w:numId w:val="18"/>
        </w:numPr>
        <w:ind w:left="425" w:leftChars="0" w:hanging="425" w:firstLineChars="0"/>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资质文件：</w:t>
      </w:r>
    </w:p>
    <w:p w14:paraId="7D6AA2BF">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营业执照副本原件或复印件（需加盖公章）；</w:t>
      </w:r>
    </w:p>
    <w:p w14:paraId="12672CE6">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法定代表人授权书（附件1）；法定代表人参加投标的，提供法人身份证明文件即可；被授权人参加投标的，需提供法定代表人授权委托书（含法人身份证和被授权人身份证正反面复印件）和被授权人近6个月及以上在授权单位的社保缴纳证明（需加盖公章）；</w:t>
      </w:r>
    </w:p>
    <w:p w14:paraId="3874157B">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2）；</w:t>
      </w:r>
    </w:p>
    <w:p w14:paraId="7BF471B9">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企业最近半年完税证明、信用证明材料（中国人民银行信用代码证+征信报告）；</w:t>
      </w:r>
    </w:p>
    <w:p w14:paraId="24DD61F7">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年度纳税信用评价信息（可从电子税务局查询截图，需加盖公章）；</w:t>
      </w:r>
    </w:p>
    <w:p w14:paraId="16CFE460">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企业对外担保说明（写明贵单位对外有无对外担保和质押业务，需加盖公章）；</w:t>
      </w:r>
    </w:p>
    <w:p w14:paraId="5C449C8B">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投标人在国家企业信用信息公示系统中无与本项目有关的行政处罚、经营异常和失信信息的声明（附投标当日系统内相关截图）；</w:t>
      </w:r>
    </w:p>
    <w:p w14:paraId="21EA6455">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保密承诺函（附件3，需盖章）；</w:t>
      </w:r>
    </w:p>
    <w:p w14:paraId="00F1BF03">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rPr>
      </w:pPr>
      <w:r>
        <w:rPr>
          <w:rFonts w:hint="eastAsia" w:ascii="微软雅黑" w:hAnsi="微软雅黑" w:eastAsia="微软雅黑" w:cs="微软雅黑"/>
          <w:shd w:val="clear" w:color="auto" w:fill="auto"/>
        </w:rPr>
        <w:t>2022年1月1日至今，企业近三年同类项目业绩证明，须提供用户清单、采购合同复印件；</w:t>
      </w:r>
    </w:p>
    <w:p w14:paraId="5A12E06C">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shd w:val="clear" w:color="auto" w:fill="auto"/>
          <w:lang w:eastAsia="zh-CN"/>
        </w:rPr>
      </w:pPr>
      <w:r>
        <w:rPr>
          <w:rFonts w:hint="eastAsia" w:ascii="微软雅黑" w:hAnsi="微软雅黑" w:eastAsia="微软雅黑" w:cs="微软雅黑"/>
          <w:shd w:val="clear" w:color="auto" w:fill="auto"/>
        </w:rPr>
        <w:t>投标保证金缴纳凭证，同时正文描述付款账号、户名、开户行名称、开户行行号、保证金金额。</w:t>
      </w:r>
    </w:p>
    <w:p w14:paraId="78419646">
      <w:pPr>
        <w:keepNext w:val="0"/>
        <w:keepLines w:val="0"/>
        <w:pageBreakBefore w:val="0"/>
        <w:widowControl w:val="0"/>
        <w:numPr>
          <w:ilvl w:val="0"/>
          <w:numId w:val="19"/>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rPr>
      </w:pPr>
      <w:r>
        <w:rPr>
          <w:rFonts w:hint="eastAsia" w:ascii="微软雅黑" w:hAnsi="微软雅黑" w:eastAsia="微软雅黑" w:cs="微软雅黑"/>
          <w:shd w:val="clear" w:color="auto" w:fill="auto"/>
        </w:rPr>
        <w:t>招标文件中要求的其它资格证明文件。</w:t>
      </w:r>
    </w:p>
    <w:p w14:paraId="0FCAA68A">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对于投标人资质审核不通过的，招标人有权拒绝其投标。</w:t>
      </w:r>
    </w:p>
    <w:p w14:paraId="47175D6D">
      <w:pPr>
        <w:pStyle w:val="75"/>
        <w:numPr>
          <w:ilvl w:val="0"/>
          <w:numId w:val="18"/>
        </w:numPr>
        <w:ind w:left="425" w:leftChars="0" w:hanging="425" w:firstLineChars="0"/>
        <w:rPr>
          <w:rFonts w:hint="eastAsia" w:ascii="微软雅黑" w:hAnsi="微软雅黑" w:eastAsia="微软雅黑" w:cs="微软雅黑"/>
          <w:b w:val="0"/>
          <w:bCs/>
          <w:highlight w:val="none"/>
        </w:rPr>
      </w:pPr>
      <w:r>
        <w:rPr>
          <w:rFonts w:hint="eastAsia" w:ascii="微软雅黑" w:hAnsi="微软雅黑" w:eastAsia="微软雅黑" w:cs="微软雅黑"/>
          <w:b w:val="0"/>
          <w:bCs/>
          <w:highlight w:val="none"/>
        </w:rPr>
        <w:t>商务标：</w:t>
      </w:r>
    </w:p>
    <w:p w14:paraId="3C0F340D">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开标一览表（附件4）；</w:t>
      </w:r>
    </w:p>
    <w:p w14:paraId="6AB1C2A0">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投标函（附件5）；</w:t>
      </w:r>
    </w:p>
    <w:p w14:paraId="1FEC8CF2">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firstLine="0"/>
        <w:textAlignment w:val="auto"/>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商务条款偏离表（附件6）；</w:t>
      </w:r>
    </w:p>
    <w:p w14:paraId="53DECED4">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商务报价注意内容：</w:t>
      </w:r>
      <w:r>
        <w:rPr>
          <w:rFonts w:hint="eastAsia" w:ascii="微软雅黑" w:hAnsi="微软雅黑" w:eastAsia="微软雅黑" w:cs="微软雅黑"/>
          <w:b w:val="0"/>
          <w:bCs/>
          <w:highlight w:val="none"/>
        </w:rPr>
        <w:t>超过投标限价无法投标。</w:t>
      </w:r>
    </w:p>
    <w:p w14:paraId="70E2A45F">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lang w:val="en-US" w:eastAsia="zh-CN"/>
        </w:rPr>
      </w:pPr>
      <w:r>
        <w:rPr>
          <w:rFonts w:hint="eastAsia" w:ascii="微软雅黑" w:hAnsi="微软雅黑" w:eastAsia="微软雅黑" w:cs="微软雅黑"/>
          <w:b w:val="0"/>
          <w:lang w:val="en-US" w:eastAsia="zh-CN"/>
        </w:rPr>
        <w:t>投标文件的投递</w:t>
      </w:r>
    </w:p>
    <w:p w14:paraId="1F3B372B">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投标方式：在中国重汽e采通平台应标成功后，进入“供应商投标”环节，投递盖章扫描版电子标书</w:t>
      </w:r>
      <w:r>
        <w:rPr>
          <w:rFonts w:hint="eastAsia" w:ascii="微软雅黑" w:hAnsi="微软雅黑" w:eastAsia="微软雅黑" w:cs="微软雅黑"/>
          <w:highlight w:val="none"/>
          <w:lang w:val="en-US" w:eastAsia="zh-CN"/>
        </w:rPr>
        <w:t>（包含资质标书、商务标书），</w:t>
      </w:r>
      <w:r>
        <w:rPr>
          <w:rFonts w:hint="eastAsia" w:ascii="微软雅黑" w:hAnsi="微软雅黑" w:eastAsia="微软雅黑" w:cs="微软雅黑"/>
          <w:lang w:val="en-US" w:eastAsia="zh-CN"/>
        </w:rPr>
        <w:t>若逾期未在中国重汽e采通平台上传电子标书，一律视为无效投标。</w:t>
      </w:r>
    </w:p>
    <w:p w14:paraId="4AAA3F9B">
      <w:pPr>
        <w:keepNext w:val="0"/>
        <w:keepLines w:val="0"/>
        <w:pageBreakBefore w:val="0"/>
        <w:widowControl w:val="0"/>
        <w:numPr>
          <w:ilvl w:val="0"/>
          <w:numId w:val="22"/>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投标文件递交截止时间：</w:t>
      </w:r>
      <w:r>
        <w:rPr>
          <w:rFonts w:hint="eastAsia" w:ascii="微软雅黑" w:hAnsi="微软雅黑" w:eastAsia="微软雅黑" w:cs="微软雅黑"/>
          <w:highlight w:val="yellow"/>
          <w:u w:val="single"/>
          <w:lang w:val="en-US" w:eastAsia="zh-CN"/>
        </w:rPr>
        <w:t>2025年12月22日上午9:00（北京时间）</w:t>
      </w:r>
    </w:p>
    <w:p w14:paraId="25974AAC">
      <w:pPr>
        <w:pStyle w:val="73"/>
        <w:rPr>
          <w:rFonts w:hint="eastAsia" w:ascii="微软雅黑" w:hAnsi="微软雅黑" w:eastAsia="微软雅黑" w:cs="微软雅黑"/>
          <w:highlight w:val="none"/>
        </w:rPr>
      </w:pPr>
      <w:bookmarkStart w:id="15" w:name="_Toc47976601"/>
      <w:r>
        <w:rPr>
          <w:rFonts w:hint="eastAsia" w:ascii="微软雅黑" w:hAnsi="微软雅黑" w:eastAsia="微软雅黑" w:cs="微软雅黑"/>
          <w:highlight w:val="none"/>
        </w:rPr>
        <w:t>投标保证金</w:t>
      </w:r>
      <w:r>
        <w:rPr>
          <w:rFonts w:hint="eastAsia" w:ascii="微软雅黑" w:hAnsi="微软雅黑" w:eastAsia="微软雅黑" w:cs="微软雅黑"/>
          <w:highlight w:val="none"/>
          <w:lang w:val="en-US" w:eastAsia="zh-CN"/>
        </w:rPr>
        <w:t>收取</w:t>
      </w:r>
      <w:r>
        <w:rPr>
          <w:rFonts w:hint="eastAsia" w:ascii="微软雅黑" w:hAnsi="微软雅黑" w:eastAsia="微软雅黑" w:cs="微软雅黑"/>
          <w:highlight w:val="none"/>
          <w:lang w:eastAsia="zh-CN"/>
        </w:rPr>
        <w:t>、</w:t>
      </w:r>
      <w:r>
        <w:rPr>
          <w:rFonts w:hint="eastAsia" w:ascii="微软雅黑" w:hAnsi="微软雅黑" w:eastAsia="微软雅黑" w:cs="微软雅黑"/>
          <w:highlight w:val="none"/>
          <w:lang w:val="en-US" w:eastAsia="zh-CN"/>
        </w:rPr>
        <w:t>缴纳</w:t>
      </w:r>
      <w:r>
        <w:rPr>
          <w:rFonts w:hint="eastAsia" w:ascii="微软雅黑" w:hAnsi="微软雅黑" w:eastAsia="微软雅黑" w:cs="微软雅黑"/>
          <w:highlight w:val="none"/>
        </w:rPr>
        <w:t>有效期</w:t>
      </w:r>
      <w:r>
        <w:rPr>
          <w:rFonts w:hint="eastAsia" w:ascii="微软雅黑" w:hAnsi="微软雅黑" w:eastAsia="微软雅黑" w:cs="微软雅黑"/>
          <w:highlight w:val="none"/>
          <w:lang w:val="en-US" w:eastAsia="zh-CN"/>
        </w:rPr>
        <w:t>及罚没</w:t>
      </w:r>
    </w:p>
    <w:p w14:paraId="071E67B8">
      <w:pPr>
        <w:keepNext w:val="0"/>
        <w:keepLines w:val="0"/>
        <w:pageBreakBefore w:val="0"/>
        <w:widowControl w:val="0"/>
        <w:numPr>
          <w:ilvl w:val="0"/>
          <w:numId w:val="23"/>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1</w:t>
      </w:r>
      <w:r>
        <w:rPr>
          <w:rFonts w:hint="eastAsia" w:ascii="微软雅黑" w:hAnsi="微软雅黑" w:eastAsia="微软雅黑" w:cs="微软雅黑"/>
          <w:lang w:eastAsia="zh-CN"/>
        </w:rPr>
        <w:t>）</w:t>
      </w:r>
      <w:r>
        <w:rPr>
          <w:rFonts w:hint="eastAsia" w:ascii="微软雅黑" w:hAnsi="微软雅黑" w:eastAsia="微软雅黑" w:cs="微软雅黑"/>
        </w:rPr>
        <w:t>投标保证金</w:t>
      </w:r>
      <w:r>
        <w:rPr>
          <w:rFonts w:hint="eastAsia" w:ascii="微软雅黑" w:hAnsi="微软雅黑" w:eastAsia="微软雅黑" w:cs="微软雅黑"/>
          <w:lang w:val="en-US" w:eastAsia="zh-CN"/>
        </w:rPr>
        <w:t>的缴纳</w:t>
      </w:r>
      <w:r>
        <w:rPr>
          <w:rFonts w:hint="eastAsia" w:ascii="微软雅黑" w:hAnsi="微软雅黑" w:eastAsia="微软雅黑" w:cs="微软雅黑"/>
        </w:rPr>
        <w:t>形式：</w:t>
      </w:r>
      <w:r>
        <w:rPr>
          <w:rFonts w:hint="eastAsia" w:ascii="微软雅黑" w:hAnsi="微软雅黑" w:eastAsia="微软雅黑" w:cs="微软雅黑"/>
          <w:lang w:val="en-US" w:eastAsia="zh-CN"/>
        </w:rPr>
        <w:t>银行基本账户转账</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2</w:t>
      </w:r>
      <w:r>
        <w:rPr>
          <w:rFonts w:hint="eastAsia" w:ascii="微软雅黑" w:hAnsi="微软雅黑" w:eastAsia="微软雅黑" w:cs="微软雅黑"/>
          <w:lang w:eastAsia="zh-CN"/>
        </w:rPr>
        <w:t>）</w:t>
      </w:r>
      <w:r>
        <w:rPr>
          <w:rFonts w:hint="eastAsia" w:ascii="微软雅黑" w:hAnsi="微软雅黑" w:eastAsia="微软雅黑" w:cs="微软雅黑"/>
        </w:rPr>
        <w:t>投标保证金的金额：</w:t>
      </w:r>
      <w:r>
        <w:rPr>
          <w:rFonts w:hint="eastAsia" w:ascii="微软雅黑" w:hAnsi="微软雅黑" w:eastAsia="微软雅黑" w:cs="微软雅黑"/>
          <w:u w:val="single"/>
        </w:rPr>
        <w:t>人民币</w:t>
      </w:r>
      <w:r>
        <w:rPr>
          <w:rFonts w:hint="eastAsia" w:ascii="微软雅黑" w:hAnsi="微软雅黑" w:eastAsia="微软雅黑" w:cs="微软雅黑"/>
          <w:highlight w:val="none"/>
          <w:u w:val="single"/>
          <w:lang w:val="en-US" w:eastAsia="zh-CN"/>
        </w:rPr>
        <w:t>5000</w:t>
      </w:r>
      <w:r>
        <w:rPr>
          <w:rFonts w:hint="eastAsia" w:ascii="微软雅黑" w:hAnsi="微软雅黑" w:eastAsia="微软雅黑" w:cs="微软雅黑"/>
          <w:u w:val="single"/>
          <w:lang w:val="en-US" w:eastAsia="zh-CN"/>
        </w:rPr>
        <w:t xml:space="preserve"> </w:t>
      </w:r>
      <w:r>
        <w:rPr>
          <w:rFonts w:hint="eastAsia" w:ascii="微软雅黑" w:hAnsi="微软雅黑" w:eastAsia="微软雅黑" w:cs="微软雅黑"/>
          <w:u w:val="single"/>
        </w:rPr>
        <w:t>元</w:t>
      </w:r>
    </w:p>
    <w:p w14:paraId="4A554CFD">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开户名称：中国重汽集团济南商用车有限公司</w:t>
      </w:r>
      <w:bookmarkStart w:id="107" w:name="_GoBack"/>
      <w:bookmarkEnd w:id="107"/>
    </w:p>
    <w:p w14:paraId="788463FA">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开户银行：中国银行股份有限公司章丘支行</w:t>
      </w:r>
    </w:p>
    <w:p w14:paraId="41EB1931">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银行帐号：226005574527</w:t>
      </w:r>
    </w:p>
    <w:p w14:paraId="7E87A6A3">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开户行联号：104451040689</w:t>
      </w:r>
    </w:p>
    <w:p w14:paraId="646A8BAC">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投标保证金应从投标人的基本账户转出至上述账户并到账，否则视为无效投标。</w:t>
      </w:r>
    </w:p>
    <w:p w14:paraId="1591D62C">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转账附言：公司名称+项目名称+投标保证金。</w:t>
      </w:r>
    </w:p>
    <w:p w14:paraId="556841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eastAsia="zh-CN"/>
        </w:rPr>
        <w:t>（</w:t>
      </w:r>
      <w:r>
        <w:rPr>
          <w:rFonts w:hint="eastAsia" w:ascii="微软雅黑" w:hAnsi="微软雅黑" w:eastAsia="微软雅黑" w:cs="微软雅黑"/>
          <w:lang w:val="en-US" w:eastAsia="zh-CN"/>
        </w:rPr>
        <w:t>4</w:t>
      </w:r>
      <w:r>
        <w:rPr>
          <w:rFonts w:hint="eastAsia" w:ascii="微软雅黑" w:hAnsi="微软雅黑" w:eastAsia="微软雅黑" w:cs="微软雅黑"/>
          <w:lang w:eastAsia="zh-CN"/>
        </w:rPr>
        <w:t>）</w:t>
      </w:r>
      <w:r>
        <w:rPr>
          <w:rFonts w:hint="eastAsia" w:ascii="微软雅黑" w:hAnsi="微软雅黑" w:eastAsia="微软雅黑" w:cs="微软雅黑"/>
        </w:rPr>
        <w:t>保证金缴纳截止时间</w:t>
      </w:r>
      <w:r>
        <w:rPr>
          <w:rFonts w:hint="eastAsia" w:ascii="微软雅黑" w:hAnsi="微软雅黑" w:eastAsia="微软雅黑" w:cs="微软雅黑"/>
          <w:highlight w:val="yellow"/>
        </w:rPr>
        <w:t>：</w:t>
      </w:r>
      <w:r>
        <w:rPr>
          <w:rFonts w:hint="eastAsia" w:ascii="微软雅黑" w:hAnsi="微软雅黑" w:eastAsia="微软雅黑" w:cs="微软雅黑"/>
          <w:highlight w:val="yellow"/>
          <w:u w:val="single"/>
        </w:rPr>
        <w:t>202</w:t>
      </w:r>
      <w:r>
        <w:rPr>
          <w:rFonts w:hint="eastAsia" w:ascii="微软雅黑" w:hAnsi="微软雅黑" w:eastAsia="微软雅黑" w:cs="微软雅黑"/>
          <w:highlight w:val="yellow"/>
          <w:u w:val="single"/>
          <w:lang w:val="en-US" w:eastAsia="zh-CN"/>
        </w:rPr>
        <w:t>5</w:t>
      </w:r>
      <w:r>
        <w:rPr>
          <w:rFonts w:hint="eastAsia" w:ascii="微软雅黑" w:hAnsi="微软雅黑" w:eastAsia="微软雅黑" w:cs="微软雅黑"/>
          <w:highlight w:val="yellow"/>
          <w:u w:val="single"/>
        </w:rPr>
        <w:t>年</w:t>
      </w:r>
      <w:r>
        <w:rPr>
          <w:rFonts w:hint="eastAsia" w:ascii="微软雅黑" w:hAnsi="微软雅黑" w:eastAsia="微软雅黑" w:cs="微软雅黑"/>
          <w:highlight w:val="yellow"/>
          <w:u w:val="single"/>
          <w:lang w:val="en-US" w:eastAsia="zh-CN"/>
        </w:rPr>
        <w:t>12</w:t>
      </w:r>
      <w:r>
        <w:rPr>
          <w:rFonts w:hint="eastAsia" w:ascii="微软雅黑" w:hAnsi="微软雅黑" w:eastAsia="微软雅黑" w:cs="微软雅黑"/>
          <w:highlight w:val="yellow"/>
          <w:u w:val="single"/>
        </w:rPr>
        <w:t>月</w:t>
      </w:r>
      <w:r>
        <w:rPr>
          <w:rFonts w:hint="eastAsia" w:ascii="微软雅黑" w:hAnsi="微软雅黑" w:eastAsia="微软雅黑" w:cs="微软雅黑"/>
          <w:highlight w:val="yellow"/>
          <w:u w:val="single"/>
          <w:lang w:val="en-US" w:eastAsia="zh-CN"/>
        </w:rPr>
        <w:t>20日9:00</w:t>
      </w:r>
    </w:p>
    <w:p w14:paraId="5306DE77">
      <w:pPr>
        <w:keepNext w:val="0"/>
        <w:keepLines w:val="0"/>
        <w:pageBreakBefore w:val="0"/>
        <w:widowControl w:val="0"/>
        <w:numPr>
          <w:ilvl w:val="0"/>
          <w:numId w:val="23"/>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rPr>
        <w:t>对于没有中标的</w:t>
      </w:r>
      <w:r>
        <w:rPr>
          <w:rFonts w:hint="eastAsia" w:ascii="微软雅黑" w:hAnsi="微软雅黑" w:eastAsia="微软雅黑" w:cs="微软雅黑"/>
          <w:lang w:eastAsia="zh-CN"/>
        </w:rPr>
        <w:t>投标人</w:t>
      </w:r>
      <w:r>
        <w:rPr>
          <w:rFonts w:hint="eastAsia" w:ascii="微软雅黑" w:hAnsi="微软雅黑" w:eastAsia="微软雅黑" w:cs="微软雅黑"/>
        </w:rPr>
        <w:t>，投标保证金将于招标人内部完成中标人评审并确认最终中标人后在</w:t>
      </w:r>
      <w:r>
        <w:rPr>
          <w:rFonts w:hint="eastAsia" w:ascii="微软雅黑" w:hAnsi="微软雅黑" w:eastAsia="微软雅黑" w:cs="微软雅黑"/>
          <w:highlight w:val="none"/>
          <w:lang w:val="en-US" w:eastAsia="zh-CN"/>
        </w:rPr>
        <w:t>一个付款周期</w:t>
      </w:r>
      <w:r>
        <w:rPr>
          <w:rFonts w:hint="eastAsia" w:ascii="微软雅黑" w:hAnsi="微软雅黑" w:eastAsia="微软雅黑" w:cs="微软雅黑"/>
          <w:highlight w:val="none"/>
        </w:rPr>
        <w:t>内</w:t>
      </w:r>
      <w:r>
        <w:rPr>
          <w:rFonts w:hint="eastAsia" w:ascii="微软雅黑" w:hAnsi="微软雅黑" w:eastAsia="微软雅黑" w:cs="微软雅黑"/>
        </w:rPr>
        <w:t>予以原路返还（无息）；对于中标方，投标保证金将在签订合同后</w:t>
      </w:r>
      <w:r>
        <w:rPr>
          <w:rFonts w:hint="eastAsia" w:ascii="微软雅黑" w:hAnsi="微软雅黑" w:eastAsia="微软雅黑" w:cs="微软雅黑"/>
          <w:highlight w:val="none"/>
          <w:lang w:val="en-US" w:eastAsia="zh-CN"/>
        </w:rPr>
        <w:t>一个付款周期内</w:t>
      </w:r>
      <w:r>
        <w:rPr>
          <w:rFonts w:hint="eastAsia" w:ascii="微软雅黑" w:hAnsi="微软雅黑" w:eastAsia="微软雅黑" w:cs="微软雅黑"/>
        </w:rPr>
        <w:t>原路返还（无息）。</w:t>
      </w:r>
    </w:p>
    <w:p w14:paraId="271EC8CF">
      <w:pPr>
        <w:keepNext w:val="0"/>
        <w:keepLines w:val="0"/>
        <w:pageBreakBefore w:val="0"/>
        <w:widowControl w:val="0"/>
        <w:numPr>
          <w:ilvl w:val="0"/>
          <w:numId w:val="23"/>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b w:val="0"/>
          <w:bCs w:val="0"/>
          <w:szCs w:val="24"/>
          <w:highlight w:val="none"/>
          <w:lang w:val="en-US" w:eastAsia="zh-CN"/>
        </w:rPr>
      </w:pPr>
      <w:r>
        <w:rPr>
          <w:rFonts w:hint="eastAsia" w:ascii="微软雅黑" w:hAnsi="微软雅黑" w:eastAsia="微软雅黑" w:cs="微软雅黑"/>
        </w:rPr>
        <w:t>发生以下情况时，有权没收保证金：</w:t>
      </w:r>
      <w:r>
        <w:rPr>
          <w:rFonts w:hint="eastAsia" w:ascii="微软雅黑" w:hAnsi="微软雅黑" w:eastAsia="微软雅黑" w:cs="微软雅黑"/>
        </w:rPr>
        <w:br w:type="textWrapping"/>
      </w:r>
      <w:r>
        <w:rPr>
          <w:rFonts w:hint="eastAsia" w:ascii="微软雅黑" w:hAnsi="微软雅黑" w:eastAsia="微软雅黑" w:cs="微软雅黑"/>
          <w:b w:val="0"/>
          <w:bCs w:val="0"/>
          <w:szCs w:val="21"/>
          <w:highlight w:val="none"/>
        </w:rPr>
        <w:t>①供应商在提交响应文件截止时间后撤回响应文件的；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②供应商在响应文件中提供虚假材料的；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③除因不可抗力或谈判文件、询价通知书认可的情形以外，成交供应商不与采购人签订合同的；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④供应商与采购人、其他供应商或者采购代理机构恶意串通、围标、陪标的；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⑤供应商有违约违规行为或被投诉、举报的，在调查处理期间，保证金暂不退还，待调查处理结束后按有关规定处理。</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⑥截至开标前3天，投标人无正当理由、未以书面形式向招标人递交说明而在投标截止日不来投标的。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⑦自中标通知书发出之日起30日内，中标人无正当理由投标人无正当签订合同的；</w:t>
      </w:r>
      <w:r>
        <w:rPr>
          <w:rFonts w:hint="eastAsia" w:ascii="微软雅黑" w:hAnsi="微软雅黑" w:eastAsia="微软雅黑" w:cs="微软雅黑"/>
          <w:b w:val="0"/>
          <w:bCs w:val="0"/>
          <w:szCs w:val="21"/>
          <w:highlight w:val="none"/>
        </w:rPr>
        <w:br w:type="textWrapping"/>
      </w:r>
      <w:r>
        <w:rPr>
          <w:rFonts w:hint="eastAsia" w:ascii="微软雅黑" w:hAnsi="微软雅黑" w:eastAsia="微软雅黑" w:cs="微软雅黑"/>
          <w:b w:val="0"/>
          <w:bCs w:val="0"/>
          <w:szCs w:val="21"/>
          <w:highlight w:val="none"/>
        </w:rPr>
        <w:t>⑧采购文件规定的其他情形</w:t>
      </w:r>
      <w:r>
        <w:rPr>
          <w:rFonts w:hint="eastAsia" w:ascii="微软雅黑" w:hAnsi="微软雅黑" w:eastAsia="微软雅黑" w:cs="微软雅黑"/>
          <w:b w:val="0"/>
          <w:bCs w:val="0"/>
          <w:szCs w:val="21"/>
          <w:highlight w:val="none"/>
          <w:lang w:eastAsia="zh-CN"/>
        </w:rPr>
        <w:t>。</w:t>
      </w:r>
    </w:p>
    <w:bookmarkEnd w:id="15"/>
    <w:p w14:paraId="368B6990">
      <w:pPr>
        <w:pStyle w:val="73"/>
        <w:rPr>
          <w:rFonts w:hint="eastAsia" w:ascii="微软雅黑" w:hAnsi="微软雅黑" w:eastAsia="微软雅黑" w:cs="微软雅黑"/>
        </w:rPr>
      </w:pPr>
      <w:r>
        <w:rPr>
          <w:rFonts w:hint="eastAsia" w:ascii="微软雅黑" w:hAnsi="微软雅黑" w:eastAsia="微软雅黑" w:cs="微软雅黑"/>
          <w:lang w:val="en-US" w:eastAsia="zh-CN"/>
        </w:rPr>
        <w:t>开评标</w:t>
      </w:r>
    </w:p>
    <w:p w14:paraId="009655B5">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开标时间：</w:t>
      </w:r>
    </w:p>
    <w:p w14:paraId="65F6233B">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开标时间：</w:t>
      </w:r>
      <w:r>
        <w:rPr>
          <w:rFonts w:hint="eastAsia" w:ascii="微软雅黑" w:hAnsi="微软雅黑" w:eastAsia="微软雅黑" w:cs="微软雅黑"/>
          <w:highlight w:val="yellow"/>
          <w:u w:val="single"/>
          <w:lang w:val="en-US" w:eastAsia="zh-CN"/>
        </w:rPr>
        <w:t>2025年12月22日上午9:00（北京时间</w:t>
      </w:r>
      <w:r>
        <w:rPr>
          <w:rFonts w:hint="eastAsia" w:ascii="微软雅黑" w:hAnsi="微软雅黑" w:eastAsia="微软雅黑" w:cs="微软雅黑"/>
          <w:highlight w:val="none"/>
          <w:u w:val="single"/>
          <w:lang w:val="en-US" w:eastAsia="zh-CN"/>
        </w:rPr>
        <w:t>），若有变动，另行通知。</w:t>
      </w:r>
    </w:p>
    <w:p w14:paraId="00CC8C95">
      <w:pPr>
        <w:pStyle w:val="15"/>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highlight w:val="none"/>
          <w:lang w:val="en-US" w:eastAsia="zh-CN"/>
        </w:rPr>
      </w:pPr>
      <w:r>
        <w:rPr>
          <w:rFonts w:hint="eastAsia" w:ascii="微软雅黑" w:hAnsi="微软雅黑" w:eastAsia="微软雅黑" w:cs="微软雅黑"/>
          <w:highlight w:val="none"/>
          <w:lang w:val="en-US" w:eastAsia="zh-CN"/>
        </w:rPr>
        <w:t>开标地点：中国重汽集团济南商用车制造公司 （待定）</w:t>
      </w:r>
    </w:p>
    <w:p w14:paraId="2C652027">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w:t>
      </w:r>
    </w:p>
    <w:p w14:paraId="6136E50F">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评标方法</w:t>
      </w:r>
    </w:p>
    <w:p w14:paraId="649C28C4">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highlight w:val="none"/>
          <w:lang w:val="en-US" w:eastAsia="zh-CN"/>
        </w:rPr>
      </w:pPr>
      <w:r>
        <w:rPr>
          <w:rFonts w:hint="eastAsia" w:ascii="微软雅黑" w:hAnsi="微软雅黑" w:eastAsia="微软雅黑" w:cs="微软雅黑"/>
          <w:b w:val="0"/>
          <w:bCs/>
          <w:highlight w:val="none"/>
          <w:lang w:val="en-US" w:eastAsia="zh-CN"/>
        </w:rPr>
        <w:t>评标方法（合理最低价中标）</w:t>
      </w:r>
    </w:p>
    <w:p w14:paraId="7017266F">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本次招标采用</w:t>
      </w:r>
      <w:r>
        <w:rPr>
          <w:rFonts w:hint="eastAsia" w:ascii="微软雅黑" w:hAnsi="微软雅黑" w:eastAsia="微软雅黑" w:cs="微软雅黑"/>
          <w:b/>
          <w:bCs/>
          <w:sz w:val="21"/>
          <w:szCs w:val="21"/>
          <w:highlight w:val="none"/>
          <w:lang w:val="en-US" w:eastAsia="zh-CN"/>
        </w:rPr>
        <w:t>合理最低价</w:t>
      </w:r>
      <w:r>
        <w:rPr>
          <w:rFonts w:hint="eastAsia" w:ascii="微软雅黑" w:hAnsi="微软雅黑" w:eastAsia="微软雅黑" w:cs="微软雅黑"/>
          <w:b w:val="0"/>
          <w:bCs w:val="0"/>
          <w:sz w:val="21"/>
          <w:szCs w:val="21"/>
          <w:highlight w:val="none"/>
          <w:lang w:val="en-US" w:eastAsia="zh-CN"/>
        </w:rPr>
        <w:t>中标，对未中标单位不做任何解释。</w:t>
      </w:r>
    </w:p>
    <w:p w14:paraId="0B2A8F6D">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color w:val="000000"/>
          <w:sz w:val="21"/>
          <w:szCs w:val="21"/>
          <w:highlight w:val="none"/>
        </w:rPr>
      </w:pPr>
      <w:r>
        <w:rPr>
          <w:rFonts w:hint="eastAsia" w:ascii="微软雅黑" w:hAnsi="微软雅黑" w:eastAsia="微软雅黑" w:cs="微软雅黑"/>
          <w:b/>
          <w:color w:val="000000"/>
          <w:sz w:val="21"/>
          <w:szCs w:val="21"/>
          <w:highlight w:val="none"/>
        </w:rPr>
        <w:t>应标资格审查：在“中国重汽e采通”应标报名时，</w:t>
      </w:r>
      <w:r>
        <w:rPr>
          <w:rFonts w:hint="eastAsia" w:ascii="微软雅黑" w:hAnsi="微软雅黑" w:eastAsia="微软雅黑" w:cs="微软雅黑"/>
          <w:b/>
          <w:bCs/>
          <w:color w:val="000000"/>
          <w:sz w:val="21"/>
          <w:szCs w:val="21"/>
          <w:highlight w:val="none"/>
        </w:rPr>
        <w:t>按照</w:t>
      </w:r>
      <w:r>
        <w:rPr>
          <w:rFonts w:hint="eastAsia" w:ascii="微软雅黑" w:hAnsi="微软雅黑" w:eastAsia="微软雅黑" w:cs="微软雅黑"/>
          <w:b/>
          <w:bCs/>
          <w:color w:val="000000"/>
          <w:sz w:val="21"/>
          <w:szCs w:val="21"/>
          <w:highlight w:val="none"/>
          <w:lang w:eastAsia="zh-CN"/>
        </w:rPr>
        <w:t>“</w:t>
      </w:r>
      <w:r>
        <w:rPr>
          <w:rFonts w:hint="eastAsia" w:ascii="微软雅黑" w:hAnsi="微软雅黑" w:eastAsia="微软雅黑" w:cs="微软雅黑"/>
          <w:b/>
          <w:bCs/>
          <w:color w:val="000000"/>
          <w:sz w:val="21"/>
          <w:szCs w:val="21"/>
          <w:highlight w:val="none"/>
          <w:lang w:val="en-US" w:eastAsia="zh-CN"/>
        </w:rPr>
        <w:t>投标说明-投标文件的组成-资质文件”中的要求</w:t>
      </w:r>
      <w:r>
        <w:rPr>
          <w:rFonts w:hint="eastAsia" w:ascii="微软雅黑" w:hAnsi="微软雅黑" w:eastAsia="微软雅黑" w:cs="微软雅黑"/>
          <w:b/>
          <w:bCs/>
          <w:color w:val="000000"/>
          <w:sz w:val="21"/>
          <w:szCs w:val="21"/>
          <w:highlight w:val="none"/>
        </w:rPr>
        <w:t>准备资料，上传完毕后，等待审核</w:t>
      </w:r>
      <w:r>
        <w:rPr>
          <w:rFonts w:hint="eastAsia" w:ascii="微软雅黑" w:hAnsi="微软雅黑" w:eastAsia="微软雅黑" w:cs="微软雅黑"/>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bCs/>
          <w:color w:val="000000"/>
          <w:sz w:val="21"/>
          <w:szCs w:val="21"/>
          <w:highlight w:val="none"/>
        </w:rPr>
      </w:pPr>
      <w:r>
        <w:rPr>
          <w:rFonts w:hint="eastAsia" w:ascii="微软雅黑" w:hAnsi="微软雅黑" w:eastAsia="微软雅黑" w:cs="微软雅黑"/>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6"/>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ascii="微软雅黑" w:hAnsi="微软雅黑" w:eastAsia="微软雅黑" w:cs="微软雅黑"/>
          <w:b w:val="0"/>
          <w:bCs w:val="0"/>
          <w:sz w:val="24"/>
          <w:szCs w:val="24"/>
          <w:highlight w:val="none"/>
          <w:lang w:val="en-US" w:eastAsia="zh-CN"/>
        </w:rPr>
      </w:pPr>
      <w:r>
        <w:rPr>
          <w:rFonts w:hint="eastAsia" w:ascii="微软雅黑" w:hAnsi="微软雅黑" w:eastAsia="微软雅黑" w:cs="微软雅黑"/>
          <w:b/>
          <w:bCs w:val="0"/>
          <w:highlight w:val="none"/>
        </w:rPr>
        <w:t>注意：投标人均需要自带笔记本电脑在重汽e采通进行自主投标和提交澄清函；投标和提交澄清函均有时间限制，超时未提交的按无效处理。</w:t>
      </w:r>
    </w:p>
    <w:p w14:paraId="1AB62B60">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评分标准</w:t>
      </w:r>
    </w:p>
    <w:p w14:paraId="20BE3CFE">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3.1选择合理最低价确定中标人；</w:t>
      </w:r>
    </w:p>
    <w:p w14:paraId="66A5DB1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3.2通过初审者为有效投标；</w:t>
      </w:r>
    </w:p>
    <w:p w14:paraId="405D399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微软雅黑" w:hAnsi="微软雅黑" w:eastAsia="微软雅黑" w:cs="微软雅黑"/>
          <w:b w:val="0"/>
          <w:bCs w:val="0"/>
          <w:sz w:val="21"/>
          <w:szCs w:val="21"/>
          <w:highlight w:val="none"/>
          <w:lang w:val="en-US" w:eastAsia="zh-CN"/>
        </w:rPr>
      </w:pPr>
      <w:r>
        <w:rPr>
          <w:rFonts w:hint="eastAsia" w:ascii="微软雅黑" w:hAnsi="微软雅黑" w:eastAsia="微软雅黑" w:cs="微软雅黑"/>
          <w:b w:val="0"/>
          <w:bCs w:val="0"/>
          <w:sz w:val="21"/>
          <w:szCs w:val="21"/>
          <w:highlight w:val="none"/>
          <w:lang w:val="en-US" w:eastAsia="zh-CN"/>
        </w:rPr>
        <w:t>3.3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3"/>
        <w:rPr>
          <w:rFonts w:hint="eastAsia" w:ascii="微软雅黑" w:hAnsi="微软雅黑" w:eastAsia="微软雅黑" w:cs="微软雅黑"/>
        </w:rPr>
      </w:pPr>
      <w:r>
        <w:rPr>
          <w:rFonts w:hint="eastAsia" w:ascii="微软雅黑" w:hAnsi="微软雅黑" w:eastAsia="微软雅黑" w:cs="微软雅黑"/>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微软雅黑" w:hAnsi="微软雅黑" w:eastAsia="微软雅黑" w:cs="微软雅黑"/>
          <w:b w:val="0"/>
          <w:bCs w:val="0"/>
          <w:sz w:val="21"/>
          <w:szCs w:val="21"/>
          <w:highlight w:val="none"/>
          <w:lang w:eastAsia="zh-CN"/>
        </w:rPr>
      </w:pPr>
      <w:r>
        <w:rPr>
          <w:rFonts w:hint="eastAsia" w:ascii="微软雅黑" w:hAnsi="微软雅黑" w:eastAsia="微软雅黑" w:cs="微软雅黑"/>
          <w:b w:val="0"/>
          <w:bCs w:val="0"/>
          <w:sz w:val="21"/>
          <w:szCs w:val="21"/>
          <w:highlight w:val="none"/>
        </w:rPr>
        <w:t>本项目</w:t>
      </w:r>
      <w:r>
        <w:rPr>
          <w:rFonts w:hint="eastAsia" w:ascii="微软雅黑" w:hAnsi="微软雅黑" w:eastAsia="微软雅黑" w:cs="微软雅黑"/>
          <w:b w:val="0"/>
          <w:bCs w:val="0"/>
          <w:sz w:val="21"/>
          <w:szCs w:val="21"/>
          <w:highlight w:val="none"/>
          <w:lang w:val="en-US" w:eastAsia="zh-CN"/>
        </w:rPr>
        <w:t>最终只产生</w:t>
      </w:r>
      <w:r>
        <w:rPr>
          <w:rFonts w:hint="eastAsia" w:ascii="微软雅黑" w:hAnsi="微软雅黑" w:eastAsia="微软雅黑" w:cs="微软雅黑"/>
          <w:b w:val="0"/>
          <w:bCs w:val="0"/>
          <w:sz w:val="21"/>
          <w:szCs w:val="21"/>
          <w:highlight w:val="none"/>
          <w:u w:val="single"/>
          <w:lang w:val="en-US" w:eastAsia="zh-CN"/>
        </w:rPr>
        <w:t>1</w:t>
      </w:r>
      <w:r>
        <w:rPr>
          <w:rFonts w:hint="eastAsia" w:ascii="微软雅黑" w:hAnsi="微软雅黑" w:eastAsia="微软雅黑" w:cs="微软雅黑"/>
          <w:b w:val="0"/>
          <w:bCs w:val="0"/>
          <w:sz w:val="21"/>
          <w:szCs w:val="21"/>
          <w:highlight w:val="none"/>
          <w:lang w:val="en-US" w:eastAsia="zh-CN"/>
        </w:rPr>
        <w:t>个中标人</w:t>
      </w:r>
      <w:r>
        <w:rPr>
          <w:rFonts w:hint="eastAsia" w:ascii="微软雅黑" w:hAnsi="微软雅黑" w:eastAsia="微软雅黑" w:cs="微软雅黑"/>
          <w:b w:val="0"/>
          <w:bCs w:val="0"/>
          <w:sz w:val="21"/>
          <w:szCs w:val="21"/>
          <w:highlight w:val="none"/>
        </w:rPr>
        <w:t>。中标人签订合同前须进行最终审查。最终审查的对象</w:t>
      </w:r>
      <w:r>
        <w:rPr>
          <w:rFonts w:hint="eastAsia" w:ascii="微软雅黑" w:hAnsi="微软雅黑" w:eastAsia="微软雅黑" w:cs="微软雅黑"/>
          <w:b w:val="0"/>
          <w:bCs w:val="0"/>
          <w:sz w:val="21"/>
          <w:szCs w:val="21"/>
          <w:highlight w:val="none"/>
          <w:lang w:val="en-US" w:eastAsia="zh-CN"/>
        </w:rPr>
        <w:t>是</w:t>
      </w:r>
      <w:r>
        <w:rPr>
          <w:rFonts w:hint="eastAsia" w:ascii="微软雅黑" w:hAnsi="微软雅黑" w:eastAsia="微软雅黑" w:cs="微软雅黑"/>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微软雅黑" w:hAnsi="微软雅黑" w:eastAsia="微软雅黑" w:cs="微软雅黑"/>
          <w:b w:val="0"/>
          <w:bCs w:val="0"/>
          <w:sz w:val="21"/>
          <w:szCs w:val="21"/>
          <w:highlight w:val="none"/>
          <w:lang w:val="en-US" w:eastAsia="zh-CN"/>
        </w:rPr>
        <w:t>的</w:t>
      </w:r>
      <w:r>
        <w:rPr>
          <w:rFonts w:hint="eastAsia" w:ascii="微软雅黑" w:hAnsi="微软雅黑" w:eastAsia="微软雅黑" w:cs="微软雅黑"/>
          <w:b w:val="0"/>
          <w:bCs w:val="0"/>
          <w:sz w:val="21"/>
          <w:szCs w:val="21"/>
          <w:highlight w:val="none"/>
        </w:rPr>
        <w:t>，则本次评标作废</w:t>
      </w:r>
      <w:r>
        <w:rPr>
          <w:rFonts w:hint="eastAsia" w:ascii="微软雅黑" w:hAnsi="微软雅黑" w:eastAsia="微软雅黑" w:cs="微软雅黑"/>
          <w:b w:val="0"/>
          <w:bCs w:val="0"/>
          <w:sz w:val="21"/>
          <w:szCs w:val="21"/>
          <w:highlight w:val="none"/>
          <w:lang w:val="en-US" w:eastAsia="zh-CN"/>
        </w:rPr>
        <w:t>或变更意向中标人</w:t>
      </w:r>
      <w:r>
        <w:rPr>
          <w:rFonts w:hint="eastAsia" w:ascii="微软雅黑" w:hAnsi="微软雅黑" w:eastAsia="微软雅黑" w:cs="微软雅黑"/>
          <w:b w:val="0"/>
          <w:bCs w:val="0"/>
          <w:sz w:val="21"/>
          <w:szCs w:val="21"/>
          <w:highlight w:val="none"/>
          <w:lang w:eastAsia="zh-CN"/>
        </w:rPr>
        <w:t>。</w:t>
      </w:r>
    </w:p>
    <w:p w14:paraId="434A2260">
      <w:pPr>
        <w:pStyle w:val="73"/>
        <w:rPr>
          <w:rFonts w:hint="eastAsia" w:ascii="微软雅黑" w:hAnsi="微软雅黑" w:eastAsia="微软雅黑" w:cs="微软雅黑"/>
        </w:rPr>
      </w:pPr>
      <w:r>
        <w:rPr>
          <w:rFonts w:hint="eastAsia" w:ascii="微软雅黑" w:hAnsi="微软雅黑" w:eastAsia="微软雅黑" w:cs="微软雅黑"/>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w:t>
      </w:r>
      <w:r>
        <w:rPr>
          <w:rFonts w:hint="eastAsia" w:ascii="微软雅黑" w:hAnsi="微软雅黑" w:eastAsia="微软雅黑" w:cs="微软雅黑"/>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w:t>
      </w:r>
      <w:r>
        <w:rPr>
          <w:rFonts w:hint="eastAsia" w:ascii="微软雅黑" w:hAnsi="微软雅黑" w:eastAsia="微软雅黑" w:cs="微软雅黑"/>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(2)</w:t>
      </w:r>
      <w:r>
        <w:rPr>
          <w:rFonts w:hint="eastAsia" w:ascii="微软雅黑" w:hAnsi="微软雅黑" w:eastAsia="微软雅黑" w:cs="微软雅黑"/>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(3)</w:t>
      </w:r>
      <w:r>
        <w:rPr>
          <w:rFonts w:hint="eastAsia" w:ascii="微软雅黑" w:hAnsi="微软雅黑" w:eastAsia="微软雅黑" w:cs="微软雅黑"/>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lang w:eastAsia="zh-CN"/>
        </w:rPr>
      </w:pPr>
      <w:r>
        <w:rPr>
          <w:rFonts w:hint="eastAsia" w:ascii="微软雅黑" w:hAnsi="微软雅黑" w:eastAsia="微软雅黑" w:cs="微软雅黑"/>
          <w:color w:val="000000"/>
          <w:kern w:val="2"/>
          <w:sz w:val="21"/>
          <w:szCs w:val="21"/>
          <w:lang w:val="en-US" w:eastAsia="zh-CN" w:bidi="ar-SA"/>
        </w:rPr>
        <w:t>(4)</w:t>
      </w:r>
      <w:r>
        <w:rPr>
          <w:rFonts w:hint="eastAsia" w:ascii="微软雅黑" w:hAnsi="微软雅黑" w:eastAsia="微软雅黑" w:cs="微软雅黑"/>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(5)</w:t>
      </w:r>
      <w:r>
        <w:rPr>
          <w:rFonts w:hint="eastAsia" w:ascii="微软雅黑" w:hAnsi="微软雅黑" w:eastAsia="微软雅黑" w:cs="微软雅黑"/>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(6)</w:t>
      </w:r>
      <w:r>
        <w:rPr>
          <w:rFonts w:hint="eastAsia" w:ascii="微软雅黑" w:hAnsi="微软雅黑" w:eastAsia="微软雅黑" w:cs="微软雅黑"/>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(7)</w:t>
      </w:r>
      <w:r>
        <w:rPr>
          <w:rFonts w:hint="eastAsia" w:ascii="微软雅黑" w:hAnsi="微软雅黑" w:eastAsia="微软雅黑" w:cs="微软雅黑"/>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(8</w:t>
      </w:r>
      <w:r>
        <w:rPr>
          <w:rFonts w:hint="eastAsia" w:ascii="微软雅黑" w:hAnsi="微软雅黑" w:eastAsia="微软雅黑" w:cs="微软雅黑"/>
          <w:kern w:val="2"/>
          <w:sz w:val="21"/>
          <w:szCs w:val="21"/>
          <w:highlight w:val="none"/>
          <w:lang w:val="en-US" w:eastAsia="zh-CN" w:bidi="ar-SA"/>
        </w:rPr>
        <w:t>)</w:t>
      </w:r>
      <w:r>
        <w:rPr>
          <w:rFonts w:hint="eastAsia" w:ascii="微软雅黑" w:hAnsi="微软雅黑" w:eastAsia="微软雅黑" w:cs="微软雅黑"/>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(9</w:t>
      </w:r>
      <w:r>
        <w:rPr>
          <w:rFonts w:hint="eastAsia" w:ascii="微软雅黑" w:hAnsi="微软雅黑" w:eastAsia="微软雅黑" w:cs="微软雅黑"/>
          <w:kern w:val="2"/>
          <w:sz w:val="21"/>
          <w:szCs w:val="21"/>
          <w:highlight w:val="none"/>
          <w:lang w:val="en-US" w:eastAsia="zh-CN" w:bidi="ar-SA"/>
        </w:rPr>
        <w:t>)</w:t>
      </w:r>
      <w:r>
        <w:rPr>
          <w:rFonts w:hint="eastAsia" w:ascii="微软雅黑" w:hAnsi="微软雅黑" w:eastAsia="微软雅黑" w:cs="微软雅黑"/>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(10)</w:t>
      </w:r>
      <w:r>
        <w:rPr>
          <w:rFonts w:hint="eastAsia" w:ascii="微软雅黑" w:hAnsi="微软雅黑" w:eastAsia="微软雅黑" w:cs="微软雅黑"/>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(11)</w:t>
      </w:r>
      <w:r>
        <w:rPr>
          <w:rFonts w:hint="eastAsia" w:ascii="微软雅黑" w:hAnsi="微软雅黑" w:eastAsia="微软雅黑" w:cs="微软雅黑"/>
          <w:sz w:val="21"/>
          <w:szCs w:val="21"/>
          <w:highlight w:val="none"/>
        </w:rPr>
        <w:t>投标人报价均超过</w:t>
      </w:r>
      <w:r>
        <w:rPr>
          <w:rFonts w:hint="eastAsia" w:ascii="微软雅黑" w:hAnsi="微软雅黑" w:eastAsia="微软雅黑" w:cs="微软雅黑"/>
          <w:sz w:val="21"/>
          <w:szCs w:val="21"/>
          <w:highlight w:val="none"/>
          <w:lang w:val="en-US" w:eastAsia="zh-CN"/>
        </w:rPr>
        <w:t>最高限价</w:t>
      </w:r>
      <w:r>
        <w:rPr>
          <w:rFonts w:hint="eastAsia" w:ascii="微软雅黑" w:hAnsi="微软雅黑" w:eastAsia="微软雅黑" w:cs="微软雅黑"/>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(12)</w:t>
      </w:r>
      <w:r>
        <w:rPr>
          <w:rFonts w:hint="eastAsia" w:ascii="微软雅黑" w:hAnsi="微软雅黑" w:eastAsia="微软雅黑" w:cs="微软雅黑"/>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(13)</w:t>
      </w:r>
      <w:r>
        <w:rPr>
          <w:rFonts w:hint="eastAsia" w:ascii="微软雅黑" w:hAnsi="微软雅黑" w:eastAsia="微软雅黑" w:cs="微软雅黑"/>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color w:val="000000"/>
          <w:kern w:val="2"/>
          <w:sz w:val="21"/>
          <w:szCs w:val="21"/>
          <w:lang w:val="en-US" w:eastAsia="zh-CN" w:bidi="ar-SA"/>
        </w:rPr>
        <w:t>(14)</w:t>
      </w:r>
      <w:r>
        <w:rPr>
          <w:rFonts w:hint="eastAsia" w:ascii="微软雅黑" w:hAnsi="微软雅黑" w:eastAsia="微软雅黑" w:cs="微软雅黑"/>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2.</w:t>
      </w:r>
      <w:r>
        <w:rPr>
          <w:rFonts w:hint="eastAsia" w:ascii="微软雅黑" w:hAnsi="微软雅黑" w:eastAsia="微软雅黑" w:cs="微软雅黑"/>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微软雅黑" w:hAnsi="微软雅黑" w:eastAsia="微软雅黑" w:cs="微软雅黑"/>
          <w:b/>
          <w:bCs/>
          <w:color w:val="FF0000"/>
          <w:sz w:val="18"/>
          <w:szCs w:val="18"/>
          <w:highlight w:val="none"/>
          <w:lang w:eastAsia="zh-CN"/>
        </w:rPr>
      </w:pPr>
      <w:r>
        <w:rPr>
          <w:rFonts w:hint="eastAsia" w:ascii="微软雅黑" w:hAnsi="微软雅黑" w:eastAsia="微软雅黑" w:cs="微软雅黑"/>
          <w:b w:val="0"/>
          <w:bCs w:val="0"/>
          <w:color w:val="auto"/>
          <w:kern w:val="2"/>
          <w:sz w:val="21"/>
          <w:szCs w:val="21"/>
          <w:lang w:val="en-US" w:eastAsia="zh-CN" w:bidi="ar-SA"/>
        </w:rPr>
        <w:t>(1</w:t>
      </w:r>
      <w:r>
        <w:rPr>
          <w:rFonts w:hint="eastAsia" w:ascii="微软雅黑" w:hAnsi="微软雅黑" w:eastAsia="微软雅黑" w:cs="微软雅黑"/>
          <w:b w:val="0"/>
          <w:bCs w:val="0"/>
          <w:color w:val="auto"/>
          <w:kern w:val="2"/>
          <w:sz w:val="21"/>
          <w:szCs w:val="21"/>
          <w:highlight w:val="none"/>
          <w:lang w:val="en-US" w:eastAsia="zh-CN" w:bidi="ar-SA"/>
        </w:rPr>
        <w:t>)</w:t>
      </w:r>
      <w:r>
        <w:rPr>
          <w:rFonts w:hint="eastAsia" w:ascii="微软雅黑" w:hAnsi="微软雅黑" w:eastAsia="微软雅黑" w:cs="微软雅黑"/>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sz w:val="21"/>
          <w:szCs w:val="21"/>
          <w:highlight w:val="none"/>
        </w:rPr>
      </w:pPr>
      <w:r>
        <w:rPr>
          <w:rFonts w:hint="eastAsia" w:ascii="微软雅黑" w:hAnsi="微软雅黑" w:eastAsia="微软雅黑" w:cs="微软雅黑"/>
          <w:kern w:val="2"/>
          <w:sz w:val="21"/>
          <w:szCs w:val="21"/>
          <w:lang w:val="en-US" w:eastAsia="zh-CN" w:bidi="ar-SA"/>
        </w:rPr>
        <w:t>(2)</w:t>
      </w:r>
      <w:r>
        <w:rPr>
          <w:rFonts w:hint="eastAsia" w:ascii="微软雅黑" w:hAnsi="微软雅黑" w:eastAsia="微软雅黑" w:cs="微软雅黑"/>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(3)</w:t>
      </w:r>
      <w:r>
        <w:rPr>
          <w:rFonts w:hint="eastAsia" w:ascii="微软雅黑" w:hAnsi="微软雅黑" w:eastAsia="微软雅黑" w:cs="微软雅黑"/>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(4)</w:t>
      </w:r>
      <w:r>
        <w:rPr>
          <w:rFonts w:hint="eastAsia" w:ascii="微软雅黑" w:hAnsi="微软雅黑" w:eastAsia="微软雅黑" w:cs="微软雅黑"/>
          <w:bCs/>
          <w:sz w:val="21"/>
          <w:szCs w:val="21"/>
          <w:highlight w:val="none"/>
        </w:rPr>
        <w:t>因重大变故，采购任务取消的</w:t>
      </w:r>
      <w:bookmarkStart w:id="16" w:name="OLE_LINK29"/>
      <w:bookmarkStart w:id="17" w:name="OLE_LINK25"/>
      <w:bookmarkStart w:id="18" w:name="OLE_LINK28"/>
      <w:bookmarkStart w:id="19" w:name="OLE_LINK27"/>
      <w:bookmarkStart w:id="20" w:name="OLE_LINK26"/>
      <w:r>
        <w:rPr>
          <w:rFonts w:hint="eastAsia" w:ascii="微软雅黑" w:hAnsi="微软雅黑" w:eastAsia="微软雅黑" w:cs="微软雅黑"/>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微软雅黑" w:hAnsi="微软雅黑" w:eastAsia="微软雅黑" w:cs="微软雅黑"/>
          <w:bCs/>
          <w:sz w:val="21"/>
          <w:szCs w:val="21"/>
          <w:highlight w:val="none"/>
        </w:rPr>
      </w:pPr>
      <w:r>
        <w:rPr>
          <w:rFonts w:hint="eastAsia" w:ascii="微软雅黑" w:hAnsi="微软雅黑" w:eastAsia="微软雅黑" w:cs="微软雅黑"/>
          <w:bCs/>
          <w:kern w:val="2"/>
          <w:sz w:val="21"/>
          <w:szCs w:val="21"/>
          <w:lang w:val="en-US" w:eastAsia="zh-CN" w:bidi="ar-SA"/>
        </w:rPr>
        <w:t>(5)</w:t>
      </w:r>
      <w:r>
        <w:rPr>
          <w:rFonts w:hint="eastAsia" w:ascii="微软雅黑" w:hAnsi="微软雅黑" w:eastAsia="微软雅黑" w:cs="微软雅黑"/>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微软雅黑" w:hAnsi="微软雅黑" w:eastAsia="微软雅黑" w:cs="微软雅黑"/>
          <w:sz w:val="21"/>
          <w:szCs w:val="21"/>
        </w:rPr>
      </w:pPr>
      <w:r>
        <w:rPr>
          <w:rFonts w:hint="eastAsia" w:ascii="微软雅黑" w:hAnsi="微软雅黑" w:eastAsia="微软雅黑" w:cs="微软雅黑"/>
          <w:kern w:val="2"/>
          <w:sz w:val="21"/>
          <w:szCs w:val="21"/>
          <w:lang w:val="en-US" w:eastAsia="zh-CN" w:bidi="ar-SA"/>
        </w:rPr>
        <w:t>3.</w:t>
      </w:r>
      <w:r>
        <w:rPr>
          <w:rFonts w:hint="eastAsia" w:ascii="微软雅黑" w:hAnsi="微软雅黑" w:eastAsia="微软雅黑" w:cs="微软雅黑"/>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rPr>
          <w:rFonts w:hint="eastAsia" w:ascii="微软雅黑" w:hAnsi="微软雅黑" w:eastAsia="微软雅黑" w:cs="微软雅黑"/>
        </w:rPr>
      </w:pPr>
      <w:r>
        <w:rPr>
          <w:rFonts w:hint="eastAsia" w:ascii="微软雅黑" w:hAnsi="微软雅黑" w:eastAsia="微软雅黑" w:cs="微软雅黑"/>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rPr>
      </w:pPr>
      <w:r>
        <w:rPr>
          <w:rFonts w:hint="eastAsia" w:ascii="微软雅黑" w:hAnsi="微软雅黑" w:eastAsia="微软雅黑" w:cs="微软雅黑"/>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b/>
          <w:sz w:val="21"/>
          <w:szCs w:val="21"/>
        </w:rPr>
      </w:pPr>
      <w:r>
        <w:rPr>
          <w:rFonts w:hint="eastAsia" w:ascii="微软雅黑" w:hAnsi="微软雅黑" w:eastAsia="微软雅黑" w:cs="微软雅黑"/>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微软雅黑" w:hAnsi="微软雅黑" w:eastAsia="微软雅黑" w:cs="微软雅黑"/>
          <w:color w:val="000000"/>
          <w:sz w:val="21"/>
          <w:szCs w:val="21"/>
          <w:highlight w:val="none"/>
        </w:rPr>
      </w:pPr>
      <w:r>
        <w:rPr>
          <w:rFonts w:hint="eastAsia" w:ascii="微软雅黑" w:hAnsi="微软雅黑" w:eastAsia="微软雅黑" w:cs="微软雅黑"/>
          <w:b/>
          <w:sz w:val="21"/>
          <w:szCs w:val="21"/>
        </w:rPr>
        <w:t>5.合同以双方最终签署的版本为准。</w:t>
      </w:r>
    </w:p>
    <w:p w14:paraId="610E8BB3">
      <w:pPr>
        <w:pStyle w:val="73"/>
        <w:rPr>
          <w:rFonts w:hint="eastAsia" w:ascii="微软雅黑" w:hAnsi="微软雅黑" w:eastAsia="微软雅黑" w:cs="微软雅黑"/>
          <w:highlight w:val="none"/>
        </w:rPr>
      </w:pPr>
      <w:r>
        <w:rPr>
          <w:rFonts w:hint="eastAsia" w:ascii="微软雅黑" w:hAnsi="微软雅黑" w:eastAsia="微软雅黑" w:cs="微软雅黑"/>
          <w:highlight w:val="none"/>
          <w:lang w:val="en-US" w:eastAsia="zh-CN"/>
        </w:rPr>
        <w:t>付款</w:t>
      </w:r>
    </w:p>
    <w:p w14:paraId="5B39A1F1">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val="0"/>
          <w:bCs w:val="0"/>
          <w:color w:val="000000"/>
          <w:sz w:val="21"/>
          <w:szCs w:val="21"/>
          <w:lang w:val="en-US" w:eastAsia="zh-CN"/>
        </w:rPr>
      </w:pPr>
      <w:r>
        <w:rPr>
          <w:rFonts w:hint="eastAsia" w:ascii="微软雅黑" w:hAnsi="微软雅黑" w:eastAsia="微软雅黑" w:cs="微软雅黑"/>
          <w:b w:val="0"/>
          <w:bCs w:val="0"/>
          <w:color w:val="000000"/>
          <w:sz w:val="21"/>
          <w:szCs w:val="21"/>
          <w:lang w:val="en-US" w:eastAsia="zh-CN"/>
        </w:rPr>
        <w:t>付款方式：半年期商业汇票（包括银行承兑汇票和商业承兑汇票）</w:t>
      </w:r>
    </w:p>
    <w:p w14:paraId="7A86CC5E">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微软雅黑" w:hAnsi="微软雅黑" w:eastAsia="微软雅黑" w:cs="微软雅黑"/>
          <w:b w:val="0"/>
          <w:bCs w:val="0"/>
          <w:color w:val="000000"/>
          <w:sz w:val="21"/>
          <w:szCs w:val="21"/>
          <w:lang w:val="en-US" w:eastAsia="zh-CN"/>
        </w:rPr>
      </w:pPr>
      <w:r>
        <w:rPr>
          <w:rFonts w:hint="eastAsia" w:ascii="微软雅黑" w:hAnsi="微软雅黑" w:eastAsia="微软雅黑" w:cs="微软雅黑"/>
          <w:b w:val="0"/>
          <w:bCs w:val="0"/>
          <w:color w:val="000000"/>
          <w:sz w:val="21"/>
          <w:szCs w:val="21"/>
          <w:lang w:val="en-US" w:eastAsia="zh-CN"/>
        </w:rPr>
        <w:t>付款节点：（1）设备安装调试完成终验收合格后 30 日内，买方支付给卖方合同价格90%，卖方提供相应金额的收据凭证；</w:t>
      </w:r>
    </w:p>
    <w:p w14:paraId="166A6323">
      <w:pPr>
        <w:keepNext w:val="0"/>
        <w:keepLines w:val="0"/>
        <w:pageBreakBefore w:val="0"/>
        <w:widowControl w:val="0"/>
        <w:numPr>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b w:val="0"/>
          <w:bCs w:val="0"/>
          <w:color w:val="000000"/>
          <w:sz w:val="21"/>
          <w:szCs w:val="21"/>
          <w:lang w:val="en-US" w:eastAsia="zh-CN"/>
        </w:rPr>
      </w:pPr>
      <w:r>
        <w:rPr>
          <w:rFonts w:hint="eastAsia" w:ascii="微软雅黑" w:hAnsi="微软雅黑" w:eastAsia="微软雅黑" w:cs="微软雅黑"/>
          <w:b w:val="0"/>
          <w:bCs w:val="0"/>
          <w:color w:val="000000"/>
          <w:sz w:val="21"/>
          <w:szCs w:val="21"/>
          <w:lang w:val="en-US" w:eastAsia="zh-CN"/>
        </w:rPr>
        <w:t>（2）合同总价10% 作为本合同约定设备的质量保证金，质量保证金在质量保期内不计利息，经双方共同验收确认合格且符合合同约定的要求，待签署项目整体终验收报告之日起不少于6个月或货物到安装现场后6个月后（二者以先到者为准），买方向卖方支付质量保证金，卖方提供相应金额的收据凭证。</w:t>
      </w:r>
    </w:p>
    <w:p w14:paraId="27F9BBAE">
      <w:pPr>
        <w:keepNext w:val="0"/>
        <w:keepLines w:val="0"/>
        <w:pageBreakBefore w:val="0"/>
        <w:widowControl w:val="0"/>
        <w:numPr>
          <w:numId w:val="0"/>
        </w:numPr>
        <w:kinsoku/>
        <w:wordWrap/>
        <w:overflowPunct/>
        <w:topLinePunct w:val="0"/>
        <w:autoSpaceDE/>
        <w:autoSpaceDN/>
        <w:bidi w:val="0"/>
        <w:adjustRightInd/>
        <w:snapToGrid/>
        <w:spacing w:line="360" w:lineRule="auto"/>
        <w:textAlignment w:val="auto"/>
        <w:rPr>
          <w:rFonts w:hint="eastAsia" w:ascii="微软雅黑" w:hAnsi="微软雅黑" w:eastAsia="微软雅黑" w:cs="微软雅黑"/>
          <w:highlight w:val="none"/>
        </w:rPr>
      </w:pPr>
      <w:r>
        <w:rPr>
          <w:rFonts w:hint="eastAsia" w:ascii="微软雅黑" w:hAnsi="微软雅黑" w:eastAsia="微软雅黑" w:cs="微软雅黑"/>
          <w:b w:val="0"/>
          <w:bCs w:val="0"/>
          <w:color w:val="000000"/>
          <w:sz w:val="21"/>
          <w:szCs w:val="21"/>
          <w:highlight w:val="none"/>
          <w:lang w:val="en-US" w:eastAsia="zh-CN"/>
        </w:rPr>
        <w:t>3.乙方负责提供正规增值税发票，甲方依照财务制度审核无误后立即支付。</w:t>
      </w:r>
    </w:p>
    <w:p w14:paraId="6E0D7439">
      <w:pPr>
        <w:pStyle w:val="73"/>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本次招标最终解释权归中国重汽集团济南商用车制造公司。</w:t>
      </w:r>
    </w:p>
    <w:p w14:paraId="33420BB1">
      <w:pPr>
        <w:bidi w:val="0"/>
        <w:rPr>
          <w:rFonts w:hint="eastAsia" w:ascii="微软雅黑" w:hAnsi="微软雅黑" w:eastAsia="微软雅黑" w:cs="微软雅黑"/>
          <w:lang w:val="en-US" w:eastAsia="zh-CN"/>
        </w:rPr>
      </w:pPr>
      <w:bookmarkStart w:id="21" w:name="_Toc47976607"/>
    </w:p>
    <w:p w14:paraId="5460673B">
      <w:pPr>
        <w:bidi w:val="0"/>
        <w:rPr>
          <w:rFonts w:hint="eastAsia" w:ascii="微软雅黑" w:hAnsi="微软雅黑" w:eastAsia="微软雅黑" w:cs="微软雅黑"/>
          <w:lang w:val="en-US" w:eastAsia="zh-CN"/>
        </w:rPr>
      </w:pPr>
    </w:p>
    <w:p w14:paraId="3201BF5A">
      <w:pPr>
        <w:bidi w:val="0"/>
        <w:rPr>
          <w:rFonts w:hint="eastAsia" w:ascii="微软雅黑" w:hAnsi="微软雅黑" w:eastAsia="微软雅黑" w:cs="微软雅黑"/>
          <w:lang w:val="en-US" w:eastAsia="zh-CN"/>
        </w:rPr>
      </w:pPr>
    </w:p>
    <w:p w14:paraId="734713D3">
      <w:pPr>
        <w:bidi w:val="0"/>
        <w:rPr>
          <w:rFonts w:hint="eastAsia" w:ascii="微软雅黑" w:hAnsi="微软雅黑" w:eastAsia="微软雅黑" w:cs="微软雅黑"/>
          <w:lang w:val="en-US" w:eastAsia="zh-CN"/>
        </w:rPr>
      </w:pPr>
    </w:p>
    <w:p w14:paraId="72F25F9C">
      <w:pPr>
        <w:bidi w:val="0"/>
        <w:rPr>
          <w:rFonts w:hint="eastAsia" w:ascii="微软雅黑" w:hAnsi="微软雅黑" w:eastAsia="微软雅黑" w:cs="微软雅黑"/>
          <w:lang w:val="en-US" w:eastAsia="zh-CN"/>
        </w:rPr>
      </w:pPr>
    </w:p>
    <w:p w14:paraId="51115FD8">
      <w:pPr>
        <w:bidi w:val="0"/>
        <w:rPr>
          <w:rFonts w:hint="eastAsia" w:ascii="微软雅黑" w:hAnsi="微软雅黑" w:eastAsia="微软雅黑" w:cs="微软雅黑"/>
          <w:lang w:val="en-US" w:eastAsia="zh-CN"/>
        </w:rPr>
      </w:pPr>
    </w:p>
    <w:p w14:paraId="6E7F04C2">
      <w:pPr>
        <w:bidi w:val="0"/>
        <w:rPr>
          <w:rFonts w:hint="eastAsia" w:ascii="微软雅黑" w:hAnsi="微软雅黑" w:eastAsia="微软雅黑" w:cs="微软雅黑"/>
          <w:lang w:val="en-US" w:eastAsia="zh-CN"/>
        </w:rPr>
      </w:pPr>
    </w:p>
    <w:p w14:paraId="581B40D5">
      <w:pPr>
        <w:bidi w:val="0"/>
        <w:rPr>
          <w:rFonts w:hint="eastAsia" w:ascii="微软雅黑" w:hAnsi="微软雅黑" w:eastAsia="微软雅黑" w:cs="微软雅黑"/>
          <w:lang w:val="en-US" w:eastAsia="zh-CN"/>
        </w:rPr>
      </w:pPr>
    </w:p>
    <w:p w14:paraId="496EE785">
      <w:pPr>
        <w:bidi w:val="0"/>
        <w:rPr>
          <w:rFonts w:hint="eastAsia" w:ascii="微软雅黑" w:hAnsi="微软雅黑" w:eastAsia="微软雅黑" w:cs="微软雅黑"/>
          <w:lang w:val="en-US" w:eastAsia="zh-CN"/>
        </w:rPr>
      </w:pPr>
    </w:p>
    <w:p w14:paraId="0FEB96E9">
      <w:pPr>
        <w:bidi w:val="0"/>
        <w:rPr>
          <w:rFonts w:hint="eastAsia" w:ascii="微软雅黑" w:hAnsi="微软雅黑" w:eastAsia="微软雅黑" w:cs="微软雅黑"/>
          <w:lang w:val="en-US" w:eastAsia="zh-CN"/>
        </w:rPr>
      </w:pPr>
    </w:p>
    <w:p w14:paraId="0011056C">
      <w:pPr>
        <w:bidi w:val="0"/>
        <w:rPr>
          <w:rFonts w:hint="eastAsia" w:ascii="微软雅黑" w:hAnsi="微软雅黑" w:eastAsia="微软雅黑" w:cs="微软雅黑"/>
          <w:lang w:val="en-US" w:eastAsia="zh-CN"/>
        </w:rPr>
      </w:pPr>
    </w:p>
    <w:p w14:paraId="5D6CAC9A">
      <w:pPr>
        <w:bidi w:val="0"/>
        <w:rPr>
          <w:rFonts w:hint="eastAsia" w:ascii="微软雅黑" w:hAnsi="微软雅黑" w:eastAsia="微软雅黑" w:cs="微软雅黑"/>
          <w:lang w:val="en-US" w:eastAsia="zh-CN"/>
        </w:rPr>
      </w:pPr>
    </w:p>
    <w:p w14:paraId="422938D2">
      <w:pPr>
        <w:bidi w:val="0"/>
        <w:rPr>
          <w:rFonts w:hint="eastAsia" w:ascii="微软雅黑" w:hAnsi="微软雅黑" w:eastAsia="微软雅黑" w:cs="微软雅黑"/>
          <w:lang w:val="en-US" w:eastAsia="zh-CN"/>
        </w:rPr>
      </w:pPr>
    </w:p>
    <w:p w14:paraId="794872D4">
      <w:pPr>
        <w:bidi w:val="0"/>
        <w:rPr>
          <w:rFonts w:hint="eastAsia" w:ascii="微软雅黑" w:hAnsi="微软雅黑" w:eastAsia="微软雅黑" w:cs="微软雅黑"/>
          <w:lang w:val="en-US" w:eastAsia="zh-CN"/>
        </w:rPr>
      </w:pPr>
    </w:p>
    <w:p w14:paraId="1EDB7800">
      <w:pPr>
        <w:bidi w:val="0"/>
        <w:rPr>
          <w:rFonts w:hint="eastAsia" w:ascii="微软雅黑" w:hAnsi="微软雅黑" w:eastAsia="微软雅黑" w:cs="微软雅黑"/>
          <w:lang w:val="en-US" w:eastAsia="zh-CN"/>
        </w:rPr>
      </w:pPr>
    </w:p>
    <w:p w14:paraId="35BF359D">
      <w:pPr>
        <w:pStyle w:val="72"/>
        <w:jc w:val="center"/>
        <w:rPr>
          <w:rFonts w:hint="eastAsia" w:ascii="微软雅黑" w:hAnsi="微软雅黑" w:eastAsia="微软雅黑" w:cs="微软雅黑"/>
        </w:rPr>
      </w:pPr>
      <w:bookmarkStart w:id="22" w:name="_Toc1910"/>
    </w:p>
    <w:p w14:paraId="4904EB8B">
      <w:pPr>
        <w:pStyle w:val="72"/>
        <w:jc w:val="center"/>
        <w:rPr>
          <w:rFonts w:hint="eastAsia" w:ascii="微软雅黑" w:hAnsi="微软雅黑" w:eastAsia="微软雅黑" w:cs="微软雅黑"/>
        </w:rPr>
      </w:pPr>
    </w:p>
    <w:p w14:paraId="2684975D">
      <w:pPr>
        <w:pStyle w:val="72"/>
        <w:jc w:val="center"/>
        <w:rPr>
          <w:rFonts w:hint="eastAsia" w:ascii="微软雅黑" w:hAnsi="微软雅黑" w:eastAsia="微软雅黑" w:cs="微软雅黑"/>
        </w:rPr>
      </w:pPr>
    </w:p>
    <w:p w14:paraId="76EF7814">
      <w:pPr>
        <w:pStyle w:val="72"/>
        <w:jc w:val="center"/>
        <w:rPr>
          <w:rFonts w:hint="eastAsia" w:ascii="微软雅黑" w:hAnsi="微软雅黑" w:eastAsia="微软雅黑" w:cs="微软雅黑"/>
        </w:rPr>
      </w:pPr>
    </w:p>
    <w:p w14:paraId="2F8AA791">
      <w:pPr>
        <w:pStyle w:val="72"/>
        <w:jc w:val="center"/>
        <w:rPr>
          <w:rFonts w:hint="eastAsia" w:ascii="微软雅黑" w:hAnsi="微软雅黑" w:eastAsia="微软雅黑" w:cs="微软雅黑"/>
        </w:rPr>
      </w:pPr>
    </w:p>
    <w:bookmarkEnd w:id="21"/>
    <w:bookmarkEnd w:id="22"/>
    <w:p w14:paraId="756AA713">
      <w:pPr>
        <w:spacing w:line="274" w:lineRule="auto"/>
        <w:jc w:val="center"/>
        <w:rPr>
          <w:rFonts w:hint="eastAsia" w:ascii="宋体" w:hAnsi="宋体" w:eastAsia="宋体" w:cs="宋体"/>
          <w:b/>
          <w:color w:val="000000"/>
          <w:sz w:val="48"/>
        </w:rPr>
      </w:pPr>
    </w:p>
    <w:p w14:paraId="6FAF1241">
      <w:pPr>
        <w:spacing w:line="274" w:lineRule="auto"/>
        <w:jc w:val="center"/>
        <w:rPr>
          <w:rFonts w:hint="eastAsia" w:ascii="宋体" w:hAnsi="宋体" w:eastAsia="宋体" w:cs="宋体"/>
          <w:b/>
          <w:color w:val="000000"/>
          <w:sz w:val="48"/>
        </w:rPr>
      </w:pPr>
      <w:r>
        <w:rPr>
          <w:rFonts w:ascii="宋体" w:hAnsi="宋体" w:eastAsia="宋体" w:cs="宋体"/>
          <w:b/>
          <w:color w:val="000000"/>
          <w:sz w:val="48"/>
        </w:rPr>
        <w:t>济南商用车制造公司会议室升级改造</w:t>
      </w:r>
      <w:r>
        <w:rPr>
          <w:rFonts w:hint="eastAsia" w:ascii="宋体" w:hAnsi="宋体" w:eastAsia="宋体" w:cs="宋体"/>
          <w:b/>
          <w:color w:val="000000"/>
          <w:sz w:val="48"/>
        </w:rPr>
        <w:t>全面提升智能化水平</w:t>
      </w:r>
      <w:r>
        <w:rPr>
          <w:rFonts w:ascii="宋体" w:hAnsi="宋体" w:eastAsia="宋体" w:cs="宋体"/>
          <w:b/>
          <w:color w:val="000000"/>
          <w:sz w:val="48"/>
        </w:rPr>
        <w:t>项目</w:t>
      </w:r>
    </w:p>
    <w:p w14:paraId="48D99CDB"/>
    <w:p w14:paraId="5F6369AE"/>
    <w:p w14:paraId="2E41637B"/>
    <w:p w14:paraId="0B460FC4"/>
    <w:p w14:paraId="7B921CFE"/>
    <w:p w14:paraId="7E6D3D8E">
      <w:pPr>
        <w:jc w:val="center"/>
        <w:rPr>
          <w:rFonts w:hint="eastAsia" w:ascii="黑体" w:hAnsi="黑体" w:eastAsia="黑体" w:cs="黑体"/>
          <w:color w:val="000000"/>
          <w:sz w:val="72"/>
        </w:rPr>
      </w:pPr>
      <w:r>
        <w:rPr>
          <w:rFonts w:ascii="黑体" w:hAnsi="黑体" w:eastAsia="黑体" w:cs="黑体"/>
          <w:color w:val="000000"/>
          <w:sz w:val="72"/>
        </w:rPr>
        <w:t>技</w:t>
      </w:r>
    </w:p>
    <w:p w14:paraId="081F9241">
      <w:pPr>
        <w:jc w:val="center"/>
      </w:pPr>
    </w:p>
    <w:p w14:paraId="3FDF7B81">
      <w:pPr>
        <w:jc w:val="center"/>
        <w:rPr>
          <w:rFonts w:hint="eastAsia" w:ascii="黑体" w:hAnsi="黑体" w:eastAsia="黑体" w:cs="黑体"/>
          <w:color w:val="000000"/>
          <w:sz w:val="72"/>
        </w:rPr>
      </w:pPr>
      <w:r>
        <w:rPr>
          <w:rFonts w:ascii="黑体" w:hAnsi="黑体" w:eastAsia="黑体" w:cs="黑体"/>
          <w:color w:val="000000"/>
          <w:sz w:val="72"/>
        </w:rPr>
        <w:t>术</w:t>
      </w:r>
    </w:p>
    <w:p w14:paraId="3C138885">
      <w:pPr>
        <w:jc w:val="center"/>
      </w:pPr>
    </w:p>
    <w:p w14:paraId="7B91D4B5">
      <w:pPr>
        <w:jc w:val="center"/>
        <w:rPr>
          <w:rFonts w:hint="eastAsia" w:ascii="黑体" w:hAnsi="黑体" w:eastAsia="黑体" w:cs="黑体"/>
          <w:color w:val="000000"/>
          <w:sz w:val="72"/>
        </w:rPr>
      </w:pPr>
      <w:r>
        <w:rPr>
          <w:rFonts w:ascii="黑体" w:hAnsi="黑体" w:eastAsia="黑体" w:cs="黑体"/>
          <w:color w:val="000000"/>
          <w:sz w:val="72"/>
        </w:rPr>
        <w:t>标</w:t>
      </w:r>
    </w:p>
    <w:p w14:paraId="62CDDBAD">
      <w:pPr>
        <w:jc w:val="center"/>
      </w:pPr>
    </w:p>
    <w:p w14:paraId="302C753F">
      <w:pPr>
        <w:jc w:val="center"/>
      </w:pPr>
      <w:r>
        <w:rPr>
          <w:rFonts w:ascii="黑体" w:hAnsi="黑体" w:eastAsia="黑体" w:cs="黑体"/>
          <w:color w:val="000000"/>
          <w:sz w:val="72"/>
        </w:rPr>
        <w:t>书</w:t>
      </w:r>
    </w:p>
    <w:p w14:paraId="647BE506">
      <w:pPr>
        <w:jc w:val="center"/>
      </w:pPr>
    </w:p>
    <w:p w14:paraId="35469C83">
      <w:pPr>
        <w:ind w:left="1890" w:leftChars="900"/>
        <w:rPr>
          <w:rFonts w:hint="eastAsia" w:ascii="宋体" w:hAnsi="宋体" w:eastAsia="宋体" w:cs="宋体"/>
          <w:bCs/>
          <w:color w:val="000000"/>
          <w:sz w:val="32"/>
        </w:rPr>
      </w:pPr>
    </w:p>
    <w:p w14:paraId="14D67696">
      <w:pPr>
        <w:jc w:val="center"/>
        <w:rPr>
          <w:rFonts w:hint="eastAsia" w:ascii="宋体" w:hAnsi="宋体" w:eastAsia="宋体" w:cs="宋体"/>
          <w:color w:val="000000"/>
          <w:sz w:val="28"/>
        </w:rPr>
      </w:pPr>
    </w:p>
    <w:p w14:paraId="29FF8173">
      <w:pPr>
        <w:spacing w:line="360" w:lineRule="auto"/>
        <w:jc w:val="center"/>
        <w:rPr>
          <w:rFonts w:hint="eastAsia" w:ascii="宋体" w:hAnsi="宋体" w:eastAsia="宋体" w:cs="宋体"/>
          <w:color w:val="000000"/>
          <w:sz w:val="28"/>
        </w:rPr>
      </w:pPr>
    </w:p>
    <w:p w14:paraId="464E917A">
      <w:pPr>
        <w:spacing w:line="360" w:lineRule="auto"/>
        <w:jc w:val="center"/>
        <w:rPr>
          <w:rFonts w:hint="eastAsia" w:ascii="宋体" w:hAnsi="宋体" w:eastAsia="宋体" w:cs="宋体"/>
          <w:color w:val="000000"/>
          <w:sz w:val="28"/>
        </w:rPr>
      </w:pPr>
    </w:p>
    <w:p w14:paraId="1748E16F">
      <w:pPr>
        <w:pStyle w:val="4"/>
        <w:spacing w:line="360" w:lineRule="auto"/>
        <w:ind w:left="0" w:firstLine="640"/>
        <w:jc w:val="center"/>
        <w:rPr>
          <w:sz w:val="32"/>
        </w:rPr>
      </w:pPr>
      <w:r>
        <w:rPr>
          <w:rFonts w:hint="eastAsia"/>
          <w:sz w:val="32"/>
        </w:rPr>
        <w:t>招标人：中国重汽集团济南商用车有限公司</w:t>
      </w:r>
    </w:p>
    <w:p w14:paraId="61FD242E">
      <w:pPr>
        <w:pStyle w:val="4"/>
        <w:spacing w:line="360" w:lineRule="auto"/>
        <w:ind w:left="0" w:firstLine="400"/>
        <w:jc w:val="center"/>
        <w:rPr>
          <w:rFonts w:ascii="宋体" w:cs="宋体"/>
          <w:sz w:val="32"/>
          <w:szCs w:val="32"/>
        </w:rPr>
      </w:pPr>
      <w:r>
        <w:fldChar w:fldCharType="begin"/>
      </w:r>
      <w:r>
        <w:rPr>
          <w:rFonts w:hint="eastAsia" w:ascii="宋体" w:cs="宋体"/>
          <w:sz w:val="28"/>
          <w:szCs w:val="36"/>
        </w:rPr>
        <w:instrText xml:space="preserve">TIME \@ "yyyy年M月"</w:instrText>
      </w:r>
      <w:r>
        <w:rPr>
          <w:rFonts w:ascii="宋体" w:cs="宋体"/>
          <w:sz w:val="28"/>
          <w:szCs w:val="36"/>
        </w:rPr>
        <w:fldChar w:fldCharType="separate"/>
      </w:r>
      <w:r>
        <w:rPr>
          <w:rFonts w:hint="eastAsia" w:ascii="宋体" w:cs="宋体"/>
          <w:sz w:val="28"/>
          <w:szCs w:val="36"/>
        </w:rPr>
        <w:t>2025年12月</w:t>
      </w:r>
      <w:r>
        <w:fldChar w:fldCharType="end"/>
      </w:r>
      <w:bookmarkStart w:id="23" w:name="_Toc533251924"/>
      <w:bookmarkStart w:id="24" w:name="_Toc287879065"/>
      <w:bookmarkStart w:id="25" w:name="_Toc290401046"/>
    </w:p>
    <w:bookmarkEnd w:id="23"/>
    <w:bookmarkEnd w:id="24"/>
    <w:bookmarkEnd w:id="25"/>
    <w:p w14:paraId="2FCBC429">
      <w:pPr>
        <w:jc w:val="center"/>
      </w:pPr>
    </w:p>
    <w:p w14:paraId="72C24701">
      <w:pPr>
        <w:jc w:val="center"/>
      </w:pPr>
    </w:p>
    <w:p w14:paraId="632EE8AE">
      <w:pPr>
        <w:jc w:val="center"/>
      </w:pPr>
    </w:p>
    <w:p w14:paraId="5D59AD65">
      <w:pPr>
        <w:jc w:val="center"/>
      </w:pPr>
    </w:p>
    <w:p w14:paraId="2284DFE3">
      <w:pPr>
        <w:jc w:val="center"/>
      </w:pPr>
    </w:p>
    <w:p w14:paraId="09B51E15">
      <w:pPr>
        <w:jc w:val="center"/>
      </w:pPr>
    </w:p>
    <w:p w14:paraId="345F4625">
      <w:pPr>
        <w:pStyle w:val="63"/>
        <w:numPr>
          <w:ilvl w:val="0"/>
          <w:numId w:val="29"/>
        </w:numPr>
        <w:ind w:firstLineChars="0"/>
        <w:jc w:val="left"/>
        <w:rPr>
          <w:rFonts w:hint="eastAsia" w:hAnsi="宋体"/>
          <w:b/>
          <w:bCs/>
          <w:sz w:val="24"/>
        </w:rPr>
      </w:pPr>
      <w:r>
        <w:rPr>
          <w:rFonts w:hint="eastAsia" w:hAnsi="宋体"/>
          <w:b/>
          <w:bCs/>
          <w:sz w:val="24"/>
        </w:rPr>
        <w:t>项目概述：</w:t>
      </w:r>
    </w:p>
    <w:p w14:paraId="15D903FA">
      <w:pPr>
        <w:spacing w:line="360" w:lineRule="auto"/>
        <w:ind w:firstLine="480" w:firstLineChars="200"/>
        <w:rPr>
          <w:rFonts w:hint="eastAsia" w:ascii="宋体" w:hAnsi="宋体" w:eastAsia="宋体" w:cs="Times New Roman"/>
          <w:sz w:val="24"/>
        </w:rPr>
      </w:pPr>
      <w:r>
        <w:rPr>
          <w:rFonts w:hint="eastAsia" w:ascii="宋体" w:hAnsi="宋体" w:eastAsia="宋体" w:cs="Times New Roman"/>
          <w:sz w:val="24"/>
        </w:rPr>
        <w:t>2F第一会议室会议系统设备已使用多年，使用效果差，故障率高，线路老化，无法满足基本的会议要求；2F第二会议室无会议系统设备，无法进行基本的会议。为满足会议的需求，增强公司多媒体会议室和视频会议系统的功能，解决现有系统能力与业务发展需求之间不匹配的问题，现对上述会议室进行升级改造。该项目旨在构建一个畅通无阻、安全可靠的视频会议和本地会议，确保多类会议的稳定举行、会议精神的有效传达以及资源开发和市场销售工作的顺利进行。</w:t>
      </w:r>
    </w:p>
    <w:p w14:paraId="2DF03705">
      <w:pPr>
        <w:pStyle w:val="15"/>
        <w:spacing w:line="360" w:lineRule="auto"/>
        <w:ind w:left="1181" w:hanging="1181" w:hangingChars="490"/>
        <w:rPr>
          <w:rFonts w:hAnsi="宋体"/>
          <w:b/>
          <w:bCs/>
          <w:sz w:val="24"/>
          <w:szCs w:val="24"/>
        </w:rPr>
      </w:pPr>
      <w:r>
        <w:rPr>
          <w:rFonts w:hAnsi="宋体"/>
          <w:b/>
          <w:bCs/>
          <w:sz w:val="24"/>
          <w:szCs w:val="24"/>
        </w:rPr>
        <w:t>二、项目名称：</w:t>
      </w:r>
    </w:p>
    <w:p w14:paraId="3184DB7E">
      <w:pPr>
        <w:spacing w:line="360" w:lineRule="auto"/>
        <w:ind w:firstLine="480" w:firstLineChars="200"/>
        <w:rPr>
          <w:rFonts w:hint="eastAsia" w:ascii="宋体" w:hAnsi="宋体" w:eastAsia="宋体" w:cs="Times New Roman"/>
          <w:sz w:val="24"/>
        </w:rPr>
      </w:pPr>
      <w:r>
        <w:rPr>
          <w:rFonts w:hint="eastAsia" w:ascii="宋体" w:hAnsi="宋体" w:eastAsia="宋体" w:cs="Times New Roman"/>
          <w:sz w:val="24"/>
        </w:rPr>
        <w:t>会议室升级改造全面提高智能化水平项目</w:t>
      </w:r>
    </w:p>
    <w:p w14:paraId="50E52D64">
      <w:pPr>
        <w:pStyle w:val="15"/>
        <w:spacing w:line="360" w:lineRule="auto"/>
        <w:ind w:left="1181" w:hanging="1181" w:hangingChars="490"/>
        <w:rPr>
          <w:rFonts w:hAnsi="宋体"/>
          <w:sz w:val="24"/>
          <w:szCs w:val="24"/>
        </w:rPr>
      </w:pPr>
      <w:r>
        <w:rPr>
          <w:rFonts w:hAnsi="宋体"/>
          <w:b/>
          <w:bCs/>
          <w:sz w:val="24"/>
          <w:szCs w:val="24"/>
        </w:rPr>
        <w:t>三、会议室改造范围</w:t>
      </w:r>
      <w:r>
        <w:rPr>
          <w:rFonts w:hAnsi="宋体"/>
          <w:sz w:val="24"/>
          <w:szCs w:val="24"/>
        </w:rPr>
        <w:t>：</w:t>
      </w:r>
    </w:p>
    <w:p w14:paraId="030B2D26">
      <w:pPr>
        <w:spacing w:line="360" w:lineRule="auto"/>
        <w:ind w:firstLine="480" w:firstLineChars="200"/>
        <w:rPr>
          <w:rFonts w:hint="eastAsia" w:hAnsi="宋体"/>
          <w:sz w:val="24"/>
        </w:rPr>
      </w:pPr>
      <w:r>
        <w:rPr>
          <w:rFonts w:hint="eastAsia" w:ascii="宋体" w:hAnsi="宋体" w:eastAsia="宋体" w:cs="Times New Roman"/>
          <w:sz w:val="24"/>
        </w:rPr>
        <w:t>对济南商用车制造公司第一会议室、第二会议室会议设备改造。</w:t>
      </w:r>
      <w:r>
        <w:rPr>
          <w:rFonts w:hint="eastAsia" w:ascii="宋体" w:hAnsi="宋体" w:eastAsia="宋体"/>
          <w:sz w:val="24"/>
        </w:rPr>
        <w:t>主要包括：发言系统、扩声系统、显示系统、远程视频会议系统、矩阵系统、中控系统等。投标人的工作范围包括：本项目的全部硬件和软件、系统设计、系统集成、培训和售后服务等。</w:t>
      </w:r>
    </w:p>
    <w:p w14:paraId="5ECFB9C8">
      <w:pPr>
        <w:pStyle w:val="15"/>
        <w:spacing w:line="360" w:lineRule="auto"/>
        <w:ind w:left="1181" w:hanging="1181"/>
        <w:rPr>
          <w:rFonts w:hAnsi="宋体"/>
          <w:b/>
          <w:bCs/>
          <w:sz w:val="24"/>
          <w:szCs w:val="24"/>
        </w:rPr>
      </w:pPr>
      <w:r>
        <w:rPr>
          <w:rFonts w:hAnsi="宋体"/>
          <w:b/>
          <w:bCs/>
          <w:sz w:val="24"/>
          <w:szCs w:val="24"/>
        </w:rPr>
        <w:t>四、设计规范和依据</w:t>
      </w:r>
    </w:p>
    <w:p w14:paraId="35B50BAA">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GB50949-2013《扩声系统工程施工规范》</w:t>
      </w:r>
    </w:p>
    <w:p w14:paraId="7D8D3DD7">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 50799-2012《电子会议系统工程设计规范》</w:t>
      </w:r>
    </w:p>
    <w:p w14:paraId="2E8A4D14">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GB/T28049-2011《厅堂、体育场馆扩声系统设计规范》</w:t>
      </w:r>
    </w:p>
    <w:p w14:paraId="0ABBC85E">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 xml:space="preserve">GB/T28048-2011《厅堂、体育场馆扩声系统验收规范》 </w:t>
      </w:r>
    </w:p>
    <w:p w14:paraId="6102784B">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GB/T 4959-2011《厅堂扩声特性测量方法》</w:t>
      </w:r>
    </w:p>
    <w:p w14:paraId="36CDAD4A">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GB8898-2011《音频、视频及类似电子设备安全要求》</w:t>
      </w:r>
    </w:p>
    <w:p w14:paraId="0B7DB3C5">
      <w:pPr>
        <w:adjustRightInd w:val="0"/>
        <w:snapToGrid w:val="0"/>
        <w:spacing w:line="360" w:lineRule="auto"/>
        <w:ind w:firstLine="480" w:firstLineChars="200"/>
        <w:rPr>
          <w:rFonts w:hint="eastAsia" w:ascii="宋体" w:hAnsi="宋体" w:eastAsia="宋体"/>
          <w:sz w:val="24"/>
        </w:rPr>
      </w:pPr>
      <w:r>
        <w:rPr>
          <w:rFonts w:ascii="宋体" w:hAnsi="宋体" w:eastAsia="宋体"/>
          <w:sz w:val="24"/>
        </w:rPr>
        <w:t>GB50635-2010</w:t>
      </w:r>
      <w:r>
        <w:rPr>
          <w:rFonts w:hint="eastAsia" w:ascii="宋体" w:hAnsi="宋体" w:eastAsia="宋体"/>
          <w:sz w:val="24"/>
        </w:rPr>
        <w:t>《会议电视会场系统工程设计规范》</w:t>
      </w:r>
      <w:r>
        <w:rPr>
          <w:rFonts w:ascii="宋体" w:hAnsi="宋体" w:eastAsia="宋体"/>
          <w:sz w:val="24"/>
        </w:rPr>
        <w:t xml:space="preserve"> </w:t>
      </w:r>
    </w:p>
    <w:p w14:paraId="706655C5">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 xml:space="preserve">GY5055-2008《扩声、会议系统安装工程施工及验收规范》 </w:t>
      </w:r>
    </w:p>
    <w:p w14:paraId="20F5522A">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GB50371-2006《厅堂扩声系统设计规范》（2024年版）</w:t>
      </w:r>
    </w:p>
    <w:p w14:paraId="7E5DE8CD">
      <w:pPr>
        <w:adjustRightInd w:val="0"/>
        <w:snapToGrid w:val="0"/>
        <w:spacing w:line="360" w:lineRule="auto"/>
        <w:ind w:firstLine="480" w:firstLineChars="200"/>
        <w:rPr>
          <w:rFonts w:hint="eastAsia" w:ascii="宋体" w:hAnsi="宋体" w:eastAsia="宋体"/>
          <w:sz w:val="24"/>
        </w:rPr>
      </w:pPr>
      <w:r>
        <w:rPr>
          <w:rFonts w:ascii="宋体" w:hAnsi="宋体" w:eastAsia="宋体"/>
          <w:sz w:val="24"/>
        </w:rPr>
        <w:t>SJ/T 11141-2012《LED显示屏通用规范》</w:t>
      </w:r>
    </w:p>
    <w:p w14:paraId="73B8EE9D">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GB50017-2017《钢构设计规范》</w:t>
      </w:r>
    </w:p>
    <w:p w14:paraId="18A6FDD7">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GB50052-2009《供配电系统设计规范》</w:t>
      </w:r>
    </w:p>
    <w:p w14:paraId="5964DDDF">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GB50194-2014《建设工程施工现场供用电安全规范》</w:t>
      </w:r>
    </w:p>
    <w:p w14:paraId="0DA099C5">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 xml:space="preserve">GB50464-2008《视频显示系统工程技术规范》 </w:t>
      </w:r>
    </w:p>
    <w:p w14:paraId="6537C14D">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 xml:space="preserve">GB50311-2016《综合布线系统工程设计规范》 </w:t>
      </w:r>
    </w:p>
    <w:p w14:paraId="26FFA3A8">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 xml:space="preserve">GB/T50312-2016《综合布线系统工程验收规范》 </w:t>
      </w:r>
    </w:p>
    <w:p w14:paraId="38362119">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GB/T 15508-1995《声学语言清晰度测试方法》</w:t>
      </w:r>
    </w:p>
    <w:p w14:paraId="0FA09759">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GB/T 15644-1995《视听系统设备互连用连接器的应用》</w:t>
      </w:r>
    </w:p>
    <w:p w14:paraId="1EDAEDF4">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GB/T 14947-1994《扩声系统设备互连用连接器的应用》</w:t>
      </w:r>
    </w:p>
    <w:p w14:paraId="4FE75B18">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GB51348-2019《民用建筑电气设计标准》</w:t>
      </w:r>
    </w:p>
    <w:p w14:paraId="799E7D0F">
      <w:pPr>
        <w:pStyle w:val="15"/>
        <w:spacing w:line="360" w:lineRule="auto"/>
        <w:ind w:left="1181" w:hanging="1181"/>
        <w:rPr>
          <w:rFonts w:hAnsi="宋体"/>
          <w:b/>
          <w:bCs/>
          <w:sz w:val="24"/>
          <w:szCs w:val="24"/>
        </w:rPr>
      </w:pPr>
      <w:bookmarkStart w:id="26" w:name="_Toc493145964"/>
      <w:bookmarkStart w:id="27" w:name="_Toc182469372"/>
      <w:r>
        <w:rPr>
          <w:rFonts w:hAnsi="宋体"/>
          <w:b/>
          <w:bCs/>
          <w:sz w:val="24"/>
          <w:szCs w:val="24"/>
        </w:rPr>
        <w:t>五、设计原则</w:t>
      </w:r>
      <w:bookmarkEnd w:id="26"/>
      <w:bookmarkEnd w:id="27"/>
    </w:p>
    <w:p w14:paraId="5030A461">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标准化原则：严格遵守相关的国家标准和行业标准；</w:t>
      </w:r>
    </w:p>
    <w:p w14:paraId="751F07DC">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定制化原则：根据每间会议室的建筑、装修结构和功能要求，设计不同功能定位系统和实施方案；</w:t>
      </w:r>
    </w:p>
    <w:p w14:paraId="427D6EF8">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稳定可靠性原则：为保证系统高效、有序的进行，音视频、控制信号等数据准确无误的表达，稳定性和可靠性是系统设计时重点考虑要素。</w:t>
      </w:r>
    </w:p>
    <w:p w14:paraId="6116F73C">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先进性原则：在保证系统稳定性和可靠性的基础上，采用目前行业前沿技术及应用，确保系统在未来几年内的合理性和科学化；</w:t>
      </w:r>
    </w:p>
    <w:p w14:paraId="49179C27">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易操作性原则：结合当前先进的技术，优化系统结构，简化应用程序，满足人性化操作和非专业化操作；</w:t>
      </w:r>
    </w:p>
    <w:p w14:paraId="29CE5877">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集中控制原则：每个会议室可实现本地智能化、集中性、统一化控制，同时亦可实现多个会议室集中性、智能化和统一化管理，使整个智能化会议系统管理、使用更简便、快捷；</w:t>
      </w:r>
    </w:p>
    <w:p w14:paraId="6C248DF7">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网络化：依托标准TCP/IP网络，实现音频传输；</w:t>
      </w:r>
    </w:p>
    <w:p w14:paraId="51673A89">
      <w:pPr>
        <w:adjustRightInd w:val="0"/>
        <w:snapToGrid w:val="0"/>
        <w:spacing w:line="360" w:lineRule="auto"/>
        <w:ind w:firstLine="480" w:firstLineChars="200"/>
        <w:rPr>
          <w:rFonts w:hint="eastAsia" w:ascii="宋体" w:hAnsi="宋体" w:eastAsia="宋体"/>
          <w:sz w:val="24"/>
        </w:rPr>
      </w:pPr>
      <w:r>
        <w:rPr>
          <w:rFonts w:hint="eastAsia" w:ascii="宋体" w:hAnsi="宋体" w:eastAsia="宋体"/>
          <w:sz w:val="24"/>
        </w:rPr>
        <w:t>可扩展性、易维护性：所选设备均为标准化接口，为系统以后的升级、扩展预留空间；</w:t>
      </w:r>
      <w:r>
        <w:rPr>
          <w:rFonts w:ascii="宋体" w:hAnsi="宋体" w:eastAsia="宋体"/>
          <w:sz w:val="24"/>
        </w:rPr>
        <w:t xml:space="preserve"> </w:t>
      </w:r>
    </w:p>
    <w:p w14:paraId="62172997">
      <w:pPr>
        <w:pStyle w:val="15"/>
        <w:spacing w:line="360" w:lineRule="auto"/>
        <w:ind w:left="481" w:leftChars="-228" w:hanging="960" w:hangingChars="400"/>
        <w:rPr>
          <w:rFonts w:hAnsi="宋体"/>
          <w:b/>
          <w:sz w:val="24"/>
          <w:szCs w:val="24"/>
        </w:rPr>
      </w:pPr>
      <w:r>
        <w:rPr>
          <w:rFonts w:hAnsi="宋体"/>
          <w:sz w:val="24"/>
          <w:szCs w:val="24"/>
        </w:rPr>
        <w:t xml:space="preserve">       </w:t>
      </w:r>
      <w:r>
        <w:rPr>
          <w:rFonts w:hAnsi="宋体"/>
          <w:b/>
          <w:sz w:val="24"/>
          <w:szCs w:val="24"/>
        </w:rPr>
        <w:t>六、总体要求：</w:t>
      </w:r>
    </w:p>
    <w:p w14:paraId="2DA360F8">
      <w:pPr>
        <w:pStyle w:val="15"/>
        <w:spacing w:line="360" w:lineRule="auto"/>
        <w:rPr>
          <w:rFonts w:hAnsi="宋体"/>
          <w:sz w:val="24"/>
          <w:szCs w:val="24"/>
        </w:rPr>
      </w:pPr>
      <w:r>
        <w:rPr>
          <w:rFonts w:hAnsi="宋体"/>
          <w:sz w:val="24"/>
          <w:szCs w:val="24"/>
        </w:rPr>
        <w:t xml:space="preserve">   （1）标准与规范：严格按照国家现行有效的相关技术标准与规范设计制造，符合国家有关质量、安全、环保标准的要求。</w:t>
      </w:r>
    </w:p>
    <w:p w14:paraId="6FCBDF23">
      <w:pPr>
        <w:pStyle w:val="15"/>
        <w:spacing w:line="360" w:lineRule="auto"/>
        <w:ind w:left="214" w:leftChars="102" w:firstLine="120" w:firstLineChars="50"/>
        <w:rPr>
          <w:rFonts w:hAnsi="宋体"/>
          <w:sz w:val="24"/>
          <w:szCs w:val="24"/>
        </w:rPr>
      </w:pPr>
      <w:r>
        <w:rPr>
          <w:rFonts w:hAnsi="宋体"/>
          <w:sz w:val="24"/>
          <w:szCs w:val="24"/>
        </w:rPr>
        <w:t>（2）设备是原厂的、原装出品的、全新的、非停产或非淘汰的、未使用的、未改装的、包装完好的产品；</w:t>
      </w:r>
      <w:r>
        <w:rPr>
          <w:sz w:val="24"/>
          <w:szCs w:val="24"/>
        </w:rPr>
        <w:t>有所有能验证产品身份的条码代码等信息，并能从官方渠道查到产品的身份信息或代码；</w:t>
      </w:r>
      <w:r>
        <w:rPr>
          <w:rFonts w:hAnsi="宋体"/>
          <w:sz w:val="24"/>
          <w:szCs w:val="24"/>
        </w:rPr>
        <w:t>所使用的备件、零配件应是设备原装的，且质量可靠。</w:t>
      </w:r>
    </w:p>
    <w:p w14:paraId="7B3C21C5">
      <w:pPr>
        <w:pStyle w:val="15"/>
        <w:spacing w:line="360" w:lineRule="auto"/>
        <w:ind w:left="214" w:leftChars="102" w:firstLine="120" w:firstLineChars="50"/>
        <w:rPr>
          <w:rFonts w:hAnsi="宋体"/>
          <w:sz w:val="24"/>
          <w:szCs w:val="24"/>
        </w:rPr>
      </w:pPr>
      <w:r>
        <w:rPr>
          <w:rFonts w:hAnsi="宋体"/>
          <w:sz w:val="24"/>
          <w:szCs w:val="24"/>
        </w:rPr>
        <w:t>（3）设备应包括原厂配置的产品技术资料、使用说明书、出厂合格证、有效的保修单证，软件、连接线和各项配件。</w:t>
      </w:r>
    </w:p>
    <w:p w14:paraId="4CE87DAC">
      <w:pPr>
        <w:spacing w:line="360" w:lineRule="auto"/>
        <w:ind w:left="214" w:leftChars="102" w:firstLine="120" w:firstLineChars="50"/>
        <w:rPr>
          <w:rFonts w:hint="eastAsia" w:ascii="宋体" w:hAnsi="宋体"/>
          <w:sz w:val="24"/>
        </w:rPr>
      </w:pPr>
      <w:r>
        <w:rPr>
          <w:rFonts w:hint="eastAsia" w:ascii="宋体" w:hAnsi="宋体"/>
          <w:sz w:val="24"/>
        </w:rPr>
        <w:t>（4）设备已获知识产权所有权人或合法使用权人的正式授权，且对该设备拥有合法的知识产权或具有合法的来源，在有关知识产权中不存在任何侵犯第三方的权益。</w:t>
      </w:r>
    </w:p>
    <w:p w14:paraId="0E2A1A1C">
      <w:pPr>
        <w:spacing w:line="360" w:lineRule="auto"/>
        <w:ind w:firstLine="360" w:firstLineChars="150"/>
        <w:rPr>
          <w:rFonts w:hint="eastAsia" w:ascii="宋体" w:hAnsi="宋体"/>
          <w:sz w:val="24"/>
        </w:rPr>
      </w:pPr>
      <w:r>
        <w:rPr>
          <w:rFonts w:hint="eastAsia" w:ascii="宋体" w:hAnsi="宋体"/>
          <w:sz w:val="24"/>
        </w:rPr>
        <w:t>（5）设备能够享有原生产制造厂商正规的保修及售后服务。</w:t>
      </w:r>
    </w:p>
    <w:p w14:paraId="003869DC">
      <w:pPr>
        <w:spacing w:line="360" w:lineRule="auto"/>
        <w:ind w:firstLine="360" w:firstLineChars="150"/>
        <w:rPr>
          <w:rFonts w:hint="eastAsia" w:ascii="宋体" w:hAnsi="宋体"/>
          <w:sz w:val="24"/>
        </w:rPr>
      </w:pPr>
      <w:r>
        <w:rPr>
          <w:rFonts w:hint="eastAsia" w:ascii="宋体" w:hAnsi="宋体"/>
          <w:sz w:val="24"/>
        </w:rPr>
        <w:t>（6）包装、运输、检验、交付、安装、调试、结算、质保及售后服务等以合同约定为准。</w:t>
      </w:r>
    </w:p>
    <w:p w14:paraId="0F41CD8E">
      <w:pPr>
        <w:pStyle w:val="60"/>
        <w:widowControl w:val="0"/>
        <w:spacing w:before="0" w:beforeAutospacing="0" w:after="0" w:afterAutospacing="0" w:line="360" w:lineRule="auto"/>
        <w:ind w:firstLine="472" w:firstLineChars="196"/>
        <w:rPr>
          <w:b/>
          <w:bCs/>
          <w:kern w:val="2"/>
        </w:rPr>
      </w:pPr>
      <w:r>
        <w:rPr>
          <w:b/>
          <w:bCs/>
          <w:kern w:val="2"/>
        </w:rPr>
        <w:t>七、其他技术要求：（主要技术参数和招标要求）</w:t>
      </w:r>
    </w:p>
    <w:p w14:paraId="6A776FA4">
      <w:pPr>
        <w:spacing w:line="360" w:lineRule="auto"/>
        <w:ind w:left="900" w:leftChars="200" w:hanging="480" w:hangingChars="200"/>
        <w:rPr>
          <w:rFonts w:hint="eastAsia" w:ascii="宋体" w:hAnsi="宋体"/>
          <w:sz w:val="24"/>
        </w:rPr>
      </w:pPr>
      <w:r>
        <w:rPr>
          <w:rFonts w:hint="eastAsia" w:ascii="宋体" w:hAnsi="宋体"/>
          <w:sz w:val="24"/>
        </w:rPr>
        <w:t>（1）</w:t>
      </w:r>
      <w:r>
        <w:rPr>
          <w:rFonts w:ascii="宋体" w:hAnsi="宋体"/>
          <w:sz w:val="24"/>
        </w:rPr>
        <w:t>到货地点：</w:t>
      </w:r>
      <w:r>
        <w:rPr>
          <w:rFonts w:hint="eastAsia" w:ascii="宋体" w:hAnsi="宋体"/>
          <w:sz w:val="24"/>
        </w:rPr>
        <w:t xml:space="preserve"> 济南本地（买方采购时具体告知）</w:t>
      </w:r>
    </w:p>
    <w:p w14:paraId="0302D17C">
      <w:pPr>
        <w:spacing w:line="360" w:lineRule="auto"/>
        <w:ind w:left="900" w:leftChars="200" w:hanging="480" w:hangingChars="200"/>
        <w:rPr>
          <w:rFonts w:hint="eastAsia" w:ascii="宋体" w:hAnsi="宋体"/>
          <w:sz w:val="24"/>
        </w:rPr>
      </w:pPr>
      <w:r>
        <w:rPr>
          <w:rFonts w:hint="eastAsia" w:ascii="宋体" w:hAnsi="宋体"/>
          <w:sz w:val="24"/>
        </w:rPr>
        <w:t>（2）</w:t>
      </w:r>
      <w:r>
        <w:rPr>
          <w:rFonts w:ascii="宋体" w:hAnsi="宋体"/>
          <w:sz w:val="24"/>
        </w:rPr>
        <w:t>主要技术参数</w:t>
      </w:r>
      <w:r>
        <w:rPr>
          <w:rFonts w:hint="eastAsia" w:ascii="宋体" w:hAnsi="宋体"/>
          <w:sz w:val="24"/>
        </w:rPr>
        <w:t>：要求投标设备参数符合品牌和型号的要求。</w:t>
      </w:r>
    </w:p>
    <w:tbl>
      <w:tblPr>
        <w:tblStyle w:val="31"/>
        <w:tblW w:w="85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0"/>
        <w:gridCol w:w="1180"/>
        <w:gridCol w:w="5296"/>
        <w:gridCol w:w="640"/>
        <w:gridCol w:w="801"/>
      </w:tblGrid>
      <w:tr w14:paraId="1171A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6D013E1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序号</w:t>
            </w:r>
          </w:p>
        </w:tc>
        <w:tc>
          <w:tcPr>
            <w:tcW w:w="1180" w:type="dxa"/>
            <w:shd w:val="clear" w:color="000000" w:fill="FFFFFF"/>
            <w:noWrap/>
            <w:vAlign w:val="center"/>
          </w:tcPr>
          <w:p w14:paraId="63B8D6A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设备名称</w:t>
            </w:r>
          </w:p>
        </w:tc>
        <w:tc>
          <w:tcPr>
            <w:tcW w:w="5296" w:type="dxa"/>
            <w:shd w:val="clear" w:color="000000" w:fill="FFFFFF"/>
            <w:noWrap/>
            <w:vAlign w:val="center"/>
          </w:tcPr>
          <w:p w14:paraId="450F586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技术规格</w:t>
            </w:r>
          </w:p>
        </w:tc>
        <w:tc>
          <w:tcPr>
            <w:tcW w:w="640" w:type="dxa"/>
            <w:shd w:val="clear" w:color="000000" w:fill="FFFFFF"/>
            <w:noWrap/>
            <w:vAlign w:val="center"/>
          </w:tcPr>
          <w:p w14:paraId="78BE2BF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数量</w:t>
            </w:r>
          </w:p>
        </w:tc>
        <w:tc>
          <w:tcPr>
            <w:tcW w:w="801" w:type="dxa"/>
            <w:shd w:val="clear" w:color="000000" w:fill="FFFFFF"/>
            <w:noWrap/>
            <w:vAlign w:val="center"/>
          </w:tcPr>
          <w:p w14:paraId="32A8D14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单位</w:t>
            </w:r>
          </w:p>
        </w:tc>
      </w:tr>
      <w:tr w14:paraId="3BF6F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500A735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一、2F第一会议室</w:t>
            </w:r>
          </w:p>
        </w:tc>
      </w:tr>
      <w:tr w14:paraId="2F630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2" w:hRule="atLeast"/>
        </w:trPr>
        <w:tc>
          <w:tcPr>
            <w:tcW w:w="7116" w:type="dxa"/>
            <w:gridSpan w:val="3"/>
            <w:shd w:val="clear" w:color="000000" w:fill="FFFFFF"/>
            <w:vAlign w:val="center"/>
          </w:tcPr>
          <w:p w14:paraId="0C1AE29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1.1、发言系统</w:t>
            </w:r>
          </w:p>
        </w:tc>
        <w:tc>
          <w:tcPr>
            <w:tcW w:w="640" w:type="dxa"/>
            <w:shd w:val="clear" w:color="000000" w:fill="FFFFFF"/>
            <w:vAlign w:val="center"/>
          </w:tcPr>
          <w:p w14:paraId="7E72E36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188B345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0F828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0602F35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3A3DD6F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会议麦克风</w:t>
            </w:r>
          </w:p>
        </w:tc>
        <w:tc>
          <w:tcPr>
            <w:tcW w:w="5296" w:type="dxa"/>
            <w:shd w:val="clear" w:color="000000" w:fill="FFFFFF"/>
            <w:vAlign w:val="center"/>
          </w:tcPr>
          <w:p w14:paraId="716CF92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1.金属面板设计，驻极体超心形指向性话筒</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2.采用压铸式铝合金多菱角方形麦克风，通过固定接头连接话筒底座，可调俯仰角度；</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3.话筒头部带发言灯环；</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4.超强抗手机干扰能力；</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5.低阻抗的平衡音频输出；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6.参数规格</w:t>
            </w:r>
            <w:r>
              <w:rPr>
                <w:rFonts w:hint="eastAsia" w:ascii="宋体" w:hAnsi="宋体" w:eastAsia="宋体" w:cs="宋体"/>
                <w:kern w:val="0"/>
                <w:sz w:val="20"/>
                <w:szCs w:val="20"/>
              </w:rPr>
              <w:br w:type="textWrapping"/>
            </w:r>
            <w:r>
              <w:rPr>
                <w:rFonts w:hint="eastAsia" w:ascii="宋体" w:hAnsi="宋体" w:eastAsia="宋体" w:cs="宋体"/>
                <w:kern w:val="0"/>
                <w:sz w:val="20"/>
                <w:szCs w:val="20"/>
              </w:rPr>
              <w:t>频率响应：20Hz-20kHz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供电方式：48V幻象供电</w:t>
            </w:r>
            <w:r>
              <w:rPr>
                <w:rFonts w:hint="eastAsia" w:ascii="宋体" w:hAnsi="宋体" w:eastAsia="宋体" w:cs="宋体"/>
                <w:kern w:val="0"/>
                <w:sz w:val="20"/>
                <w:szCs w:val="20"/>
              </w:rPr>
              <w:br w:type="textWrapping"/>
            </w:r>
            <w:r>
              <w:rPr>
                <w:rFonts w:hint="eastAsia" w:ascii="宋体" w:hAnsi="宋体" w:eastAsia="宋体" w:cs="宋体"/>
                <w:kern w:val="0"/>
                <w:sz w:val="20"/>
                <w:szCs w:val="20"/>
              </w:rPr>
              <w:t>音频输出：卡农公座 x 1,</w:t>
            </w:r>
          </w:p>
        </w:tc>
        <w:tc>
          <w:tcPr>
            <w:tcW w:w="640" w:type="dxa"/>
            <w:shd w:val="clear" w:color="000000" w:fill="FFFFFF"/>
            <w:noWrap/>
            <w:vAlign w:val="center"/>
          </w:tcPr>
          <w:p w14:paraId="7C9F402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18</w:t>
            </w:r>
          </w:p>
        </w:tc>
        <w:tc>
          <w:tcPr>
            <w:tcW w:w="801" w:type="dxa"/>
            <w:shd w:val="clear" w:color="000000" w:fill="FFFFFF"/>
            <w:noWrap/>
            <w:vAlign w:val="center"/>
          </w:tcPr>
          <w:p w14:paraId="046E1E0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只</w:t>
            </w:r>
          </w:p>
        </w:tc>
      </w:tr>
      <w:tr w14:paraId="24D00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noWrap/>
            <w:vAlign w:val="center"/>
          </w:tcPr>
          <w:p w14:paraId="1CDB1C8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vAlign w:val="center"/>
          </w:tcPr>
          <w:p w14:paraId="1CE25B6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无线手持话筒</w:t>
            </w:r>
          </w:p>
        </w:tc>
        <w:tc>
          <w:tcPr>
            <w:tcW w:w="5296" w:type="dxa"/>
            <w:vAlign w:val="center"/>
          </w:tcPr>
          <w:p w14:paraId="32D981F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1)接收机采用耐用的金属结构;</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2)可拆卸式天线;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3)一键式频率选择可快速查找最佳开放频率;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4)每个频带多达12个兼容系统</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5)显示详细射频和音频计量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6)心形（单向）动圈；</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7)频率响应: 50 Hz-15KHz；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8)灵敏度 : -55 dBV/Pa;</w:t>
            </w:r>
          </w:p>
        </w:tc>
        <w:tc>
          <w:tcPr>
            <w:tcW w:w="640" w:type="dxa"/>
            <w:noWrap/>
            <w:vAlign w:val="center"/>
          </w:tcPr>
          <w:p w14:paraId="5D5CC59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noWrap/>
            <w:vAlign w:val="center"/>
          </w:tcPr>
          <w:p w14:paraId="4B15F7C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1C1C0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5B7C831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1.2、扩声系统</w:t>
            </w:r>
          </w:p>
        </w:tc>
        <w:tc>
          <w:tcPr>
            <w:tcW w:w="640" w:type="dxa"/>
            <w:shd w:val="clear" w:color="000000" w:fill="FFFFFF"/>
            <w:vAlign w:val="center"/>
          </w:tcPr>
          <w:p w14:paraId="52BEB4F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79325CB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7A028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A44F36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423A619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主扬声器</w:t>
            </w:r>
          </w:p>
        </w:tc>
        <w:tc>
          <w:tcPr>
            <w:tcW w:w="5296" w:type="dxa"/>
            <w:shd w:val="clear" w:color="000000" w:fill="FFFFFF"/>
            <w:vAlign w:val="center"/>
          </w:tcPr>
          <w:p w14:paraId="54BE363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1)频率响应范围：180Hz-16kHz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2)覆盖范围[HxV]：120°*20°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3)灵敏度：90dB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4)额定功率：300W</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5)最大声压级：120dB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6)扬声器单元：</w:t>
            </w:r>
            <w:r>
              <w:rPr>
                <w:rFonts w:hint="eastAsia" w:ascii="宋体" w:hAnsi="宋体" w:eastAsia="宋体" w:cs="宋体"/>
                <w:kern w:val="0"/>
                <w:sz w:val="20"/>
                <w:szCs w:val="20"/>
              </w:rPr>
              <w:br w:type="textWrapping"/>
            </w:r>
            <w:r>
              <w:rPr>
                <w:rFonts w:hint="eastAsia" w:ascii="宋体" w:hAnsi="宋体" w:eastAsia="宋体" w:cs="宋体"/>
                <w:kern w:val="0"/>
                <w:sz w:val="20"/>
                <w:szCs w:val="20"/>
              </w:rPr>
              <w:t>中低频:6 x 3.5"钕磁单元，高频：2×3.5”同轴单元；</w:t>
            </w:r>
          </w:p>
        </w:tc>
        <w:tc>
          <w:tcPr>
            <w:tcW w:w="640" w:type="dxa"/>
            <w:shd w:val="clear" w:color="000000" w:fill="FFFFFF"/>
            <w:vAlign w:val="center"/>
          </w:tcPr>
          <w:p w14:paraId="2032D8D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vAlign w:val="center"/>
          </w:tcPr>
          <w:p w14:paraId="59B46E9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只</w:t>
            </w:r>
          </w:p>
        </w:tc>
      </w:tr>
      <w:tr w14:paraId="13725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D83276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3B8B1E8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吸顶扬声器</w:t>
            </w:r>
          </w:p>
        </w:tc>
        <w:tc>
          <w:tcPr>
            <w:tcW w:w="5296" w:type="dxa"/>
            <w:shd w:val="clear" w:color="000000" w:fill="FFFFFF"/>
            <w:vAlign w:val="center"/>
          </w:tcPr>
          <w:p w14:paraId="631F6D9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xml:space="preserve">1.单元：1x4.5英寸;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2.频率响应（-10dB）：70Hz-18kHz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3.灵敏度：90 dB-SPL,1w,1m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4.最大声压级：115dB-SPL, 1m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5.辐射角度：145º (锥形)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6.支持定阻（8欧姆）和定压(70/100V) 两种模式；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7.定阻：8Ω，功率45W  </w:t>
            </w:r>
          </w:p>
        </w:tc>
        <w:tc>
          <w:tcPr>
            <w:tcW w:w="640" w:type="dxa"/>
            <w:shd w:val="clear" w:color="000000" w:fill="FFFFFF"/>
            <w:vAlign w:val="center"/>
          </w:tcPr>
          <w:p w14:paraId="47BC5BC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801" w:type="dxa"/>
            <w:shd w:val="clear" w:color="000000" w:fill="FFFFFF"/>
            <w:vAlign w:val="center"/>
          </w:tcPr>
          <w:p w14:paraId="2019A8E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只</w:t>
            </w:r>
          </w:p>
        </w:tc>
      </w:tr>
      <w:tr w14:paraId="2FEAE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4B8112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447651F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功率放大器</w:t>
            </w:r>
          </w:p>
        </w:tc>
        <w:tc>
          <w:tcPr>
            <w:tcW w:w="5296" w:type="dxa"/>
            <w:shd w:val="clear" w:color="000000" w:fill="FFFFFF"/>
            <w:vAlign w:val="center"/>
          </w:tcPr>
          <w:p w14:paraId="0A3454C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1）数字功放；</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2）输出功率：2x400W@4Ω，2x200W@8Ω，2x100W@16Ω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3）输入阻抗：10 kΩ ；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4）最大输入电平:  +20dBu；</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5）通道串扰:  62 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6）DSP  48 kHz/24 bit  处理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7）延迟: 1.2ms；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8）信号处理包括但不限：扬声器预设，延迟，高频滤波，高通滤波器，参量均衡器限副，静音，输入增益；</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9）保护：短路，过温，过流； </w:t>
            </w:r>
          </w:p>
        </w:tc>
        <w:tc>
          <w:tcPr>
            <w:tcW w:w="640" w:type="dxa"/>
            <w:shd w:val="clear" w:color="000000" w:fill="FFFFFF"/>
            <w:noWrap/>
            <w:vAlign w:val="center"/>
          </w:tcPr>
          <w:p w14:paraId="14A5A93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3259890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6EC75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60C203E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0E1DCCC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功率放大器</w:t>
            </w:r>
          </w:p>
        </w:tc>
        <w:tc>
          <w:tcPr>
            <w:tcW w:w="5296" w:type="dxa"/>
            <w:shd w:val="clear" w:color="000000" w:fill="FFFFFF"/>
            <w:vAlign w:val="center"/>
          </w:tcPr>
          <w:p w14:paraId="2844D54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D类功放；</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输出功率：2x240W@ 8Ω或2x120W@16Ω；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SNR（额定功率）：94dB；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串扰：64 dB；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DSP：48 kHz，24位，延迟：1.2 ms；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信号处理（包括但不限）：扬声器预设，延迟，高架，高通，参数均衡器， 限幅器，相位反相，静音，输入增益；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最大输入电平：+20dBu；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保护：短路，过温，过流；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冷却：传感器控制风扇，从前到后的气流；</w:t>
            </w:r>
          </w:p>
        </w:tc>
        <w:tc>
          <w:tcPr>
            <w:tcW w:w="640" w:type="dxa"/>
            <w:shd w:val="clear" w:color="000000" w:fill="FFFFFF"/>
            <w:noWrap/>
            <w:vAlign w:val="center"/>
          </w:tcPr>
          <w:p w14:paraId="73B7552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noWrap/>
            <w:vAlign w:val="center"/>
          </w:tcPr>
          <w:p w14:paraId="5B4B31E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111FF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6FCBC58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1180" w:type="dxa"/>
            <w:shd w:val="clear" w:color="000000" w:fill="FFFFFF"/>
            <w:vAlign w:val="center"/>
          </w:tcPr>
          <w:p w14:paraId="776628D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话筒音频处理器</w:t>
            </w:r>
          </w:p>
        </w:tc>
        <w:tc>
          <w:tcPr>
            <w:tcW w:w="5296" w:type="dxa"/>
            <w:shd w:val="clear" w:color="000000" w:fill="FFFFFF"/>
            <w:vAlign w:val="center"/>
          </w:tcPr>
          <w:p w14:paraId="253A3EC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1）自定义的用户操作界面；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2）内置DSP模块，可配置式处理模块，根据需求自由更换；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3）16路话筒/线路电平输入，16路线路电平输出；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4）16 x 16 数字音频网络通道，支持Dante、AES67两种协议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5）USB音频通道，具有远程视频会议回声消除功能；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6）每个输入通道12段PEQ，且提供于五种滤波器类型选择；</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7）具有自适应反馈抑制（AFC）、自适应回声消除(AEC)、噪声抑制(ANS)、增益共享自动混音(AMC)、门限自动混音（Gate Mixer）、自动增益(AGC)、闪避器(Ducker)等功能；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8）具备主机一对一热备份，具备专网内不同城市的设备统一管控</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9）频率响应：20～20kHz(±0.3dB)；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10）THD+N:-95dB；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11）动态范围：112dB；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12）采样率： 48kHz；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13）支持第三方中控控制，支持平板电脑、手机、电脑等设备控制；</w:t>
            </w:r>
          </w:p>
        </w:tc>
        <w:tc>
          <w:tcPr>
            <w:tcW w:w="640" w:type="dxa"/>
            <w:shd w:val="clear" w:color="000000" w:fill="FFFFFF"/>
            <w:vAlign w:val="center"/>
          </w:tcPr>
          <w:p w14:paraId="46878E2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964F53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44D12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2127F4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w:t>
            </w:r>
          </w:p>
        </w:tc>
        <w:tc>
          <w:tcPr>
            <w:tcW w:w="1180" w:type="dxa"/>
            <w:shd w:val="clear" w:color="000000" w:fill="FFFFFF"/>
            <w:vAlign w:val="center"/>
          </w:tcPr>
          <w:p w14:paraId="6AA9039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数字音频处理器</w:t>
            </w:r>
          </w:p>
        </w:tc>
        <w:tc>
          <w:tcPr>
            <w:tcW w:w="5296" w:type="dxa"/>
            <w:shd w:val="clear" w:color="000000" w:fill="FFFFFF"/>
            <w:vAlign w:val="center"/>
          </w:tcPr>
          <w:p w14:paraId="70FB479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1）自定义的用户操作界面；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2）内置DSP模块，可配置式处理模块，根据需求自由更换；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3）8路话筒/线路电平输入,8路线路电平输出；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4）8 x 8 数字音频网络通道，支持Dante、AES67两种协议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5）USB音频通道，具有远程视频会议回声消除功能；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6）每个输入通道12段PEQ，提供五种滤波器类型选择；</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7）具有自适应反馈抑制（AFC）、自适应回声消除(AEC)、噪声抑制(ANS)、增益共享自动混音(AMC)、门限自动混音（Gate Mixer）、自动增益(AGC)等功能；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8）具备主机一对一热备份，具备专网内不同城市的设备统一管控</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9）频率响应范围：20～20kHz；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10）THD+N:&lt;-95dB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11）动态范围：112dB；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12）采样率： 48kHz；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13）支持第三方中控控制，支持平板电脑、手机、电脑等设备控制；</w:t>
            </w:r>
          </w:p>
        </w:tc>
        <w:tc>
          <w:tcPr>
            <w:tcW w:w="640" w:type="dxa"/>
            <w:shd w:val="clear" w:color="000000" w:fill="FFFFFF"/>
            <w:vAlign w:val="center"/>
          </w:tcPr>
          <w:p w14:paraId="72F64B3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6DB145D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6801E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77E20E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7</w:t>
            </w:r>
          </w:p>
        </w:tc>
        <w:tc>
          <w:tcPr>
            <w:tcW w:w="1180" w:type="dxa"/>
            <w:shd w:val="clear" w:color="000000" w:fill="FFFFFF"/>
            <w:noWrap/>
            <w:vAlign w:val="center"/>
          </w:tcPr>
          <w:p w14:paraId="2CC1AE4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软件</w:t>
            </w:r>
          </w:p>
        </w:tc>
        <w:tc>
          <w:tcPr>
            <w:tcW w:w="5296" w:type="dxa"/>
            <w:shd w:val="clear" w:color="000000" w:fill="FFFFFF"/>
            <w:vAlign w:val="center"/>
          </w:tcPr>
          <w:p w14:paraId="1D481B5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1)每个输入通道含话放，扩展器，压缩器，自动增益控制器，参量均衡器，反馈抑制器。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2)支持回声消除和噪声抑制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3)支持墙面控制器自定义编程</w:t>
            </w:r>
          </w:p>
        </w:tc>
        <w:tc>
          <w:tcPr>
            <w:tcW w:w="640" w:type="dxa"/>
            <w:shd w:val="clear" w:color="000000" w:fill="FFFFFF"/>
            <w:vAlign w:val="center"/>
          </w:tcPr>
          <w:p w14:paraId="724D6C8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noWrap/>
            <w:vAlign w:val="center"/>
          </w:tcPr>
          <w:p w14:paraId="1F49A9C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679D6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BF35A8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8</w:t>
            </w:r>
          </w:p>
        </w:tc>
        <w:tc>
          <w:tcPr>
            <w:tcW w:w="1180" w:type="dxa"/>
            <w:shd w:val="clear" w:color="000000" w:fill="FFFFFF"/>
            <w:vAlign w:val="center"/>
          </w:tcPr>
          <w:p w14:paraId="31E45A6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Dante转换器</w:t>
            </w:r>
          </w:p>
        </w:tc>
        <w:tc>
          <w:tcPr>
            <w:tcW w:w="5296" w:type="dxa"/>
            <w:shd w:val="clear" w:color="000000" w:fill="FFFFFF"/>
            <w:vAlign w:val="center"/>
          </w:tcPr>
          <w:p w14:paraId="206C590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1）4路话筒/线路电平输入；</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2）4路数字音频网络通道，支持Dante、AES67两种协议；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3）具备PoE、DC12V供电方式。</w:t>
            </w:r>
          </w:p>
        </w:tc>
        <w:tc>
          <w:tcPr>
            <w:tcW w:w="640" w:type="dxa"/>
            <w:shd w:val="clear" w:color="000000" w:fill="FFFFFF"/>
            <w:vAlign w:val="center"/>
          </w:tcPr>
          <w:p w14:paraId="77A09CA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801" w:type="dxa"/>
            <w:shd w:val="clear" w:color="000000" w:fill="FFFFFF"/>
            <w:vAlign w:val="center"/>
          </w:tcPr>
          <w:p w14:paraId="67A6086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6601F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D679BB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9</w:t>
            </w:r>
          </w:p>
        </w:tc>
        <w:tc>
          <w:tcPr>
            <w:tcW w:w="1180" w:type="dxa"/>
            <w:shd w:val="clear" w:color="000000" w:fill="FFFFFF"/>
            <w:vAlign w:val="center"/>
          </w:tcPr>
          <w:p w14:paraId="2ACD34A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12路电源时序器</w:t>
            </w:r>
          </w:p>
        </w:tc>
        <w:tc>
          <w:tcPr>
            <w:tcW w:w="5296" w:type="dxa"/>
            <w:shd w:val="clear" w:color="000000" w:fill="FFFFFF"/>
            <w:vAlign w:val="center"/>
          </w:tcPr>
          <w:p w14:paraId="1D6A234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1)12路供电输出，每路输出AC220V，10A；</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2)MCU控制,控制方式：钥匙锁，手动按键，红外遥控方式；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3)任一相邻两路之间开或关动作的延时时间最长可达10分钟，满足一些特殊设备的特殊要求；</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4)标准RS232串口,开放的串口通讯协议；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5)可对任意一路电源输出进行开关控制；</w:t>
            </w:r>
          </w:p>
        </w:tc>
        <w:tc>
          <w:tcPr>
            <w:tcW w:w="640" w:type="dxa"/>
            <w:shd w:val="clear" w:color="000000" w:fill="FFFFFF"/>
            <w:vAlign w:val="center"/>
          </w:tcPr>
          <w:p w14:paraId="0BD8BD4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4E310A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50F02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3C6449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w:t>
            </w:r>
          </w:p>
        </w:tc>
        <w:tc>
          <w:tcPr>
            <w:tcW w:w="1180" w:type="dxa"/>
            <w:shd w:val="clear" w:color="000000" w:fill="FFFFFF"/>
            <w:vAlign w:val="center"/>
          </w:tcPr>
          <w:p w14:paraId="1842F60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交换机</w:t>
            </w:r>
          </w:p>
        </w:tc>
        <w:tc>
          <w:tcPr>
            <w:tcW w:w="5296" w:type="dxa"/>
            <w:shd w:val="clear" w:color="000000" w:fill="FFFFFF"/>
            <w:vAlign w:val="center"/>
          </w:tcPr>
          <w:p w14:paraId="5BE45C6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1）企业级交换机；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2）背板带宽：48Gbps，包转发率：36Mpps；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3）端口：24个10/100/1000BASE-T PoE+以太网电接口；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★4）支持EEE关闭功能；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★5）PoE：350W，支持POE+。</w:t>
            </w:r>
          </w:p>
        </w:tc>
        <w:tc>
          <w:tcPr>
            <w:tcW w:w="640" w:type="dxa"/>
            <w:shd w:val="clear" w:color="000000" w:fill="FFFFFF"/>
            <w:vAlign w:val="center"/>
          </w:tcPr>
          <w:p w14:paraId="62B9C5A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0BE0FA5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4145B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2917F24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1.3、显示系统</w:t>
            </w:r>
          </w:p>
        </w:tc>
        <w:tc>
          <w:tcPr>
            <w:tcW w:w="640" w:type="dxa"/>
            <w:shd w:val="clear" w:color="000000" w:fill="FFFFFF"/>
            <w:vAlign w:val="center"/>
          </w:tcPr>
          <w:p w14:paraId="16B7156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08BC779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750A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B8457F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0F3008A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LED室内屏</w:t>
            </w:r>
          </w:p>
        </w:tc>
        <w:tc>
          <w:tcPr>
            <w:tcW w:w="5296" w:type="dxa"/>
            <w:shd w:val="clear" w:color="000000" w:fill="FFFFFF"/>
            <w:vAlign w:val="center"/>
          </w:tcPr>
          <w:p w14:paraId="40C8F20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利旧</w:t>
            </w:r>
          </w:p>
        </w:tc>
        <w:tc>
          <w:tcPr>
            <w:tcW w:w="640" w:type="dxa"/>
            <w:shd w:val="clear" w:color="000000" w:fill="FFFFFF"/>
            <w:vAlign w:val="center"/>
          </w:tcPr>
          <w:p w14:paraId="77F96D4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36E11C5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宗</w:t>
            </w:r>
          </w:p>
        </w:tc>
      </w:tr>
      <w:tr w14:paraId="0662A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2641412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1.4、远程视频会议系统</w:t>
            </w:r>
          </w:p>
        </w:tc>
        <w:tc>
          <w:tcPr>
            <w:tcW w:w="640" w:type="dxa"/>
            <w:shd w:val="clear" w:color="000000" w:fill="FFFFFF"/>
            <w:vAlign w:val="center"/>
          </w:tcPr>
          <w:p w14:paraId="306C419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441C227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1A393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10B8BD7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1A4A5A6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高清摄像机</w:t>
            </w:r>
          </w:p>
        </w:tc>
        <w:tc>
          <w:tcPr>
            <w:tcW w:w="5296" w:type="dxa"/>
            <w:shd w:val="clear" w:color="000000" w:fill="FFFFFF"/>
            <w:vAlign w:val="center"/>
          </w:tcPr>
          <w:p w14:paraId="317BBE4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1）4K超高清图像，最大分辨率4K(3840×2160)60帧/秒;</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2）光学变倍镜头：12 倍 80°光学变倍镜头；</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3）低噪声高信噪比,采用先进的2D、3D降噪技术；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4）支持HDMI，USB3.0、有线LAN接口；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5）支持POE供电，USB3.0支持双码流；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6）支持云台自动翻转功能；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7）控制接口：RS422兼容RS485、RS232-IN、RS232-OUT，RS232接口支持级联；</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8）多种控制协议：支持VISCA、PELCO-D、PELCO-P协议，支持自动识别协议；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9）支持多达255个预置位(遥控器设置调用为10个)；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10）AI人形跟踪，内置高速处理器以及采用独家先进的图像处理和分析算法，用户可根据使用环境，选择实时跟踪与区域跟踪。 </w:t>
            </w:r>
          </w:p>
        </w:tc>
        <w:tc>
          <w:tcPr>
            <w:tcW w:w="640" w:type="dxa"/>
            <w:shd w:val="clear" w:color="000000" w:fill="FFFFFF"/>
            <w:noWrap/>
            <w:vAlign w:val="center"/>
          </w:tcPr>
          <w:p w14:paraId="7340340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noWrap/>
            <w:vAlign w:val="center"/>
          </w:tcPr>
          <w:p w14:paraId="01183F1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61097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F80DB1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2D61621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视频采集卡</w:t>
            </w:r>
          </w:p>
        </w:tc>
        <w:tc>
          <w:tcPr>
            <w:tcW w:w="5296" w:type="dxa"/>
            <w:shd w:val="clear" w:color="000000" w:fill="FFFFFF"/>
            <w:vAlign w:val="center"/>
          </w:tcPr>
          <w:p w14:paraId="0BFC3FE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支持操作系统：WINDOWS,LINUX,MAC等；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输入：HDMI 1.4a, 主机接口：USB3.0(兼容 USB 2.0,USB 3.1 Gen 1)</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输入视频最高支持 2048x2160 分辨率;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自适应 HDMI 均衡器，HDMI 传输距离最长可达 30 米;</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支持 4:2:2 8-bit 采集格式: YUY2, UYVY;</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支持 4:4:4 8-bit 采集格式: RGB24, RGB32;</w:t>
            </w:r>
          </w:p>
        </w:tc>
        <w:tc>
          <w:tcPr>
            <w:tcW w:w="640" w:type="dxa"/>
            <w:shd w:val="clear" w:color="000000" w:fill="FFFFFF"/>
            <w:vAlign w:val="center"/>
          </w:tcPr>
          <w:p w14:paraId="672BECD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B2B23C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69872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22DB01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6DC9818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视频会议终端</w:t>
            </w:r>
          </w:p>
        </w:tc>
        <w:tc>
          <w:tcPr>
            <w:tcW w:w="5296" w:type="dxa"/>
            <w:shd w:val="clear" w:color="000000" w:fill="FFFFFF"/>
            <w:noWrap/>
            <w:vAlign w:val="center"/>
          </w:tcPr>
          <w:p w14:paraId="667A043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利旧</w:t>
            </w:r>
          </w:p>
        </w:tc>
        <w:tc>
          <w:tcPr>
            <w:tcW w:w="640" w:type="dxa"/>
            <w:shd w:val="clear" w:color="000000" w:fill="FFFFFF"/>
            <w:noWrap/>
            <w:vAlign w:val="center"/>
          </w:tcPr>
          <w:p w14:paraId="7200571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1219240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55806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1AB37B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2084832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电脑</w:t>
            </w:r>
          </w:p>
        </w:tc>
        <w:tc>
          <w:tcPr>
            <w:tcW w:w="5296" w:type="dxa"/>
            <w:shd w:val="clear" w:color="000000" w:fill="FFFFFF"/>
            <w:noWrap/>
            <w:vAlign w:val="center"/>
          </w:tcPr>
          <w:p w14:paraId="16A840B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利旧</w:t>
            </w:r>
          </w:p>
        </w:tc>
        <w:tc>
          <w:tcPr>
            <w:tcW w:w="640" w:type="dxa"/>
            <w:shd w:val="clear" w:color="000000" w:fill="FFFFFF"/>
            <w:noWrap/>
            <w:vAlign w:val="center"/>
          </w:tcPr>
          <w:p w14:paraId="4FC6A8C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1344E7E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1CAC4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3B1E839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1.5、高清矩阵系统</w:t>
            </w:r>
          </w:p>
        </w:tc>
      </w:tr>
      <w:tr w14:paraId="0C8E2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840B49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055C3D8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高清矩阵</w:t>
            </w:r>
          </w:p>
        </w:tc>
        <w:tc>
          <w:tcPr>
            <w:tcW w:w="5296" w:type="dxa"/>
            <w:shd w:val="clear" w:color="000000" w:fill="FFFFFF"/>
            <w:vAlign w:val="center"/>
          </w:tcPr>
          <w:p w14:paraId="3EB11A8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1）前面板LCD状态显示，可显示设备各通道的切换状态;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2）断电现场切换记忆保护功能,特有ESD静电保护功能;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3）自带EDID拷贝功能;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4）支持无信号时状态监控、故障判断;</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5）无缝切换，即插即用;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6）支持多通道同时切换，地址设置等功能;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7）带宽：10.2Gbps（满载）;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8）分辨率：4K60Hz，1920*1200/60Hz；1080P；3D&amp;720P等;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9）支持HDMI2.0，HDCP2.0标准</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10）控制方式：面板、遥控、RS232，</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11）支持第三方中控控制；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12）输入：8*HDMI，输出：8*HDMI。</w:t>
            </w:r>
          </w:p>
        </w:tc>
        <w:tc>
          <w:tcPr>
            <w:tcW w:w="640" w:type="dxa"/>
            <w:shd w:val="clear" w:color="000000" w:fill="FFFFFF"/>
            <w:vAlign w:val="center"/>
          </w:tcPr>
          <w:p w14:paraId="2B5315D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2D78C0E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05F4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43A0AC0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1.6、中控系统</w:t>
            </w:r>
          </w:p>
        </w:tc>
      </w:tr>
      <w:tr w14:paraId="6BB8E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1D916A6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6EAC2B3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中控主机</w:t>
            </w:r>
          </w:p>
        </w:tc>
        <w:tc>
          <w:tcPr>
            <w:tcW w:w="5296" w:type="dxa"/>
            <w:shd w:val="clear" w:color="000000" w:fill="FFFFFF"/>
            <w:vAlign w:val="center"/>
          </w:tcPr>
          <w:p w14:paraId="5E03AEF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xml:space="preserve">1）主频：650MHz，32位双核处理器，内置256M内存和1G 闪存FLASH；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2）开放式可编程控制平台、人性化的中英文可编程界面和交互式的控制结构。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3）8路RS-232/422/485，8路红外(具有不少于8条红外发射器)；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4）8路RELAY继电器，8路IO；</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5）支持广域网、局域网远程控制；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6）支持苹果、安卓、微软等系统的平板电脑控制；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7）支持语音控制，支持控制画面带Flash动画效果。</w:t>
            </w:r>
          </w:p>
        </w:tc>
        <w:tc>
          <w:tcPr>
            <w:tcW w:w="640" w:type="dxa"/>
            <w:shd w:val="clear" w:color="000000" w:fill="FFFFFF"/>
            <w:vAlign w:val="center"/>
          </w:tcPr>
          <w:p w14:paraId="4E5CBBB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699F78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70869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2F88B47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2A7FDEE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编程费</w:t>
            </w:r>
          </w:p>
        </w:tc>
        <w:tc>
          <w:tcPr>
            <w:tcW w:w="5296" w:type="dxa"/>
            <w:shd w:val="clear" w:color="000000" w:fill="FFFFFF"/>
            <w:vAlign w:val="center"/>
          </w:tcPr>
          <w:p w14:paraId="0697C53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定制，根据功能需要现场编制。</w:t>
            </w:r>
          </w:p>
        </w:tc>
        <w:tc>
          <w:tcPr>
            <w:tcW w:w="640" w:type="dxa"/>
            <w:shd w:val="clear" w:color="000000" w:fill="FFFFFF"/>
            <w:vAlign w:val="center"/>
          </w:tcPr>
          <w:p w14:paraId="0775EC1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1EF9DD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0E5BA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7624EDC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01C319A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无线平板</w:t>
            </w:r>
          </w:p>
        </w:tc>
        <w:tc>
          <w:tcPr>
            <w:tcW w:w="5296" w:type="dxa"/>
            <w:shd w:val="clear" w:color="000000" w:fill="FFFFFF"/>
            <w:vAlign w:val="center"/>
          </w:tcPr>
          <w:p w14:paraId="34BBE93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1)11.5英寸,HarmonyOS；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2)分辨率：2800*1840；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3)144HZ刷新率；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4)运行内存：12GB；内存容量：256GB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5)数据传输：USB、WIFI、蓝牙等</w:t>
            </w:r>
          </w:p>
        </w:tc>
        <w:tc>
          <w:tcPr>
            <w:tcW w:w="640" w:type="dxa"/>
            <w:shd w:val="clear" w:color="000000" w:fill="FFFFFF"/>
            <w:vAlign w:val="center"/>
          </w:tcPr>
          <w:p w14:paraId="27EEE31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28B8AE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部</w:t>
            </w:r>
          </w:p>
        </w:tc>
      </w:tr>
      <w:tr w14:paraId="360A1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6E360FB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2B0707F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无线路由器</w:t>
            </w:r>
          </w:p>
        </w:tc>
        <w:tc>
          <w:tcPr>
            <w:tcW w:w="5296" w:type="dxa"/>
            <w:shd w:val="clear" w:color="000000" w:fill="FFFFFF"/>
            <w:vAlign w:val="center"/>
          </w:tcPr>
          <w:p w14:paraId="47C8CEF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1）1个10/100Mbps WAN口，4个10/100Mbps LAN口；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2）最高传输速率：2500Mbps；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3）外置天线。</w:t>
            </w:r>
          </w:p>
        </w:tc>
        <w:tc>
          <w:tcPr>
            <w:tcW w:w="640" w:type="dxa"/>
            <w:shd w:val="clear" w:color="000000" w:fill="FFFFFF"/>
            <w:vAlign w:val="center"/>
          </w:tcPr>
          <w:p w14:paraId="7DB8C3D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343D7DA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02D4E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3C1BA95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1.7、安装辅材</w:t>
            </w:r>
          </w:p>
        </w:tc>
        <w:tc>
          <w:tcPr>
            <w:tcW w:w="640" w:type="dxa"/>
            <w:shd w:val="clear" w:color="000000" w:fill="FFFFFF"/>
            <w:vAlign w:val="center"/>
          </w:tcPr>
          <w:p w14:paraId="0C3B9FD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6670721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4EBEF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3D30CD9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144C6D8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机柜</w:t>
            </w:r>
          </w:p>
        </w:tc>
        <w:tc>
          <w:tcPr>
            <w:tcW w:w="5296" w:type="dxa"/>
            <w:shd w:val="clear" w:color="000000" w:fill="FFFFFF"/>
            <w:vAlign w:val="center"/>
          </w:tcPr>
          <w:p w14:paraId="5312CA0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1）尺寸：1600*600*600（32U），全部选用优质冷轧钢板制作；</w:t>
            </w:r>
          </w:p>
        </w:tc>
        <w:tc>
          <w:tcPr>
            <w:tcW w:w="640" w:type="dxa"/>
            <w:shd w:val="clear" w:color="000000" w:fill="FFFFFF"/>
            <w:vAlign w:val="center"/>
          </w:tcPr>
          <w:p w14:paraId="12DE582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76E8743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3485B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00684F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65272C0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桌面信息盒</w:t>
            </w:r>
          </w:p>
        </w:tc>
        <w:tc>
          <w:tcPr>
            <w:tcW w:w="5296" w:type="dxa"/>
            <w:shd w:val="clear" w:color="000000" w:fill="FFFFFF"/>
            <w:vAlign w:val="center"/>
          </w:tcPr>
          <w:p w14:paraId="2AD1DD6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掀盖式，所有模块均采用螺丝固定，；</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1套：2*（220V50HZ电源接口），1*HDMI，1*TRS，1*USB（Type-C）；</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2套：2*（220V50HZ电源接口），2*USB（Type-C）；</w:t>
            </w:r>
          </w:p>
        </w:tc>
        <w:tc>
          <w:tcPr>
            <w:tcW w:w="640" w:type="dxa"/>
            <w:shd w:val="clear" w:color="000000" w:fill="FFFFFF"/>
            <w:vAlign w:val="center"/>
          </w:tcPr>
          <w:p w14:paraId="50272A0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801" w:type="dxa"/>
            <w:shd w:val="clear" w:color="000000" w:fill="FFFFFF"/>
            <w:vAlign w:val="center"/>
          </w:tcPr>
          <w:p w14:paraId="0984538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3082C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9F4DCD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11C90A5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无线传屏盒子</w:t>
            </w:r>
          </w:p>
        </w:tc>
        <w:tc>
          <w:tcPr>
            <w:tcW w:w="5296" w:type="dxa"/>
            <w:vAlign w:val="center"/>
          </w:tcPr>
          <w:p w14:paraId="689D493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1）内置接收模块；</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2）支持操作系统：Win7/Win8/Win8.1/Win10/MacOS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3）无线频段：IEEE 802.11 a/b/g/n， 支持5.8GHz采用单按键设计；</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4）支持同时连接6个无线传屏器；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5）支持外部电脑在触摸一体机上做扩展屏显示，且支持触摸回传。</w:t>
            </w:r>
          </w:p>
        </w:tc>
        <w:tc>
          <w:tcPr>
            <w:tcW w:w="640" w:type="dxa"/>
            <w:shd w:val="clear" w:color="000000" w:fill="FFFFFF"/>
            <w:vAlign w:val="center"/>
          </w:tcPr>
          <w:p w14:paraId="750FD9D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7C24F2C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3E638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554C58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402B982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无线传屏器</w:t>
            </w:r>
          </w:p>
        </w:tc>
        <w:tc>
          <w:tcPr>
            <w:tcW w:w="5296" w:type="dxa"/>
            <w:vAlign w:val="center"/>
          </w:tcPr>
          <w:p w14:paraId="6377DEA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1）6核CPU，内置Android 7.1以上操作系统，存储容量16G ROM，系统内存4G RAM；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2）内置接收模块，支持触摸回传；</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3）支持外部电脑在经过产品连接的显示设备上做扩展屏显示；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4）支持H264、H265硬解码；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5）无线频段：IEEE 802.11 a/b/g/n/ac，工作频率：2.4G/5GHZ，理想传输距离：30米；</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6）支持MAC OS、Windows、Android、IOS和Linux五种系统的投屏；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7）支持局域网传屏，手机、电脑可通过软件进行局域网投屏；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8）手机和电脑支持混合投屏展示，最多支持九画面同屏展示；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9）整机支持多种内容共享，最多高达16台设备的连接。</w:t>
            </w:r>
          </w:p>
        </w:tc>
        <w:tc>
          <w:tcPr>
            <w:tcW w:w="640" w:type="dxa"/>
            <w:shd w:val="clear" w:color="000000" w:fill="FFFFFF"/>
            <w:vAlign w:val="center"/>
          </w:tcPr>
          <w:p w14:paraId="08A5EDD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60A1E88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453DE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BB873C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1180" w:type="dxa"/>
            <w:shd w:val="clear" w:color="000000" w:fill="FFFFFF"/>
            <w:vAlign w:val="center"/>
          </w:tcPr>
          <w:p w14:paraId="3E3D8EA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电源适配器</w:t>
            </w:r>
          </w:p>
        </w:tc>
        <w:tc>
          <w:tcPr>
            <w:tcW w:w="5296" w:type="dxa"/>
            <w:shd w:val="clear" w:color="000000" w:fill="FFFFFF"/>
            <w:vAlign w:val="center"/>
          </w:tcPr>
          <w:p w14:paraId="5A975B5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65W氨化镓充电器，配置1.5米双Type-C线。</w:t>
            </w:r>
          </w:p>
        </w:tc>
        <w:tc>
          <w:tcPr>
            <w:tcW w:w="640" w:type="dxa"/>
            <w:shd w:val="clear" w:color="000000" w:fill="FFFFFF"/>
            <w:vAlign w:val="center"/>
          </w:tcPr>
          <w:p w14:paraId="7B97DFE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w:t>
            </w:r>
          </w:p>
        </w:tc>
        <w:tc>
          <w:tcPr>
            <w:tcW w:w="801" w:type="dxa"/>
            <w:shd w:val="clear" w:color="000000" w:fill="FFFFFF"/>
            <w:vAlign w:val="center"/>
          </w:tcPr>
          <w:p w14:paraId="0C76D10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718BC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2E5859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w:t>
            </w:r>
          </w:p>
        </w:tc>
        <w:tc>
          <w:tcPr>
            <w:tcW w:w="1180" w:type="dxa"/>
            <w:shd w:val="clear" w:color="000000" w:fill="FFFFFF"/>
            <w:vAlign w:val="center"/>
          </w:tcPr>
          <w:p w14:paraId="6A43B98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高清线（25米）</w:t>
            </w:r>
          </w:p>
        </w:tc>
        <w:tc>
          <w:tcPr>
            <w:tcW w:w="5296" w:type="dxa"/>
            <w:shd w:val="clear" w:color="000000" w:fill="FFFFFF"/>
            <w:vAlign w:val="center"/>
          </w:tcPr>
          <w:p w14:paraId="4330E2E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1）25米高清线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2）最大分辨率：8K@60Hz、4K@120Hz</w:t>
            </w:r>
          </w:p>
        </w:tc>
        <w:tc>
          <w:tcPr>
            <w:tcW w:w="640" w:type="dxa"/>
            <w:shd w:val="clear" w:color="000000" w:fill="FFFFFF"/>
            <w:vAlign w:val="center"/>
          </w:tcPr>
          <w:p w14:paraId="457EA67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26C5138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3A30F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A47A13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7</w:t>
            </w:r>
          </w:p>
        </w:tc>
        <w:tc>
          <w:tcPr>
            <w:tcW w:w="1180" w:type="dxa"/>
            <w:shd w:val="clear" w:color="000000" w:fill="FFFFFF"/>
            <w:vAlign w:val="center"/>
          </w:tcPr>
          <w:p w14:paraId="490039D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高清线（20米）</w:t>
            </w:r>
          </w:p>
        </w:tc>
        <w:tc>
          <w:tcPr>
            <w:tcW w:w="5296" w:type="dxa"/>
            <w:shd w:val="clear" w:color="000000" w:fill="FFFFFF"/>
            <w:vAlign w:val="center"/>
          </w:tcPr>
          <w:p w14:paraId="28B86AF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1）20米高清线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2）最大分辨率：8K@60Hz、4K@120Hz</w:t>
            </w:r>
          </w:p>
        </w:tc>
        <w:tc>
          <w:tcPr>
            <w:tcW w:w="640" w:type="dxa"/>
            <w:shd w:val="clear" w:color="000000" w:fill="FFFFFF"/>
            <w:vAlign w:val="center"/>
          </w:tcPr>
          <w:p w14:paraId="45EC487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4A5DD8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70539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3FAAB0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8</w:t>
            </w:r>
          </w:p>
        </w:tc>
        <w:tc>
          <w:tcPr>
            <w:tcW w:w="1180" w:type="dxa"/>
            <w:shd w:val="clear" w:color="000000" w:fill="FFFFFF"/>
            <w:vAlign w:val="center"/>
          </w:tcPr>
          <w:p w14:paraId="427EF53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高清线（15米）</w:t>
            </w:r>
          </w:p>
        </w:tc>
        <w:tc>
          <w:tcPr>
            <w:tcW w:w="5296" w:type="dxa"/>
            <w:shd w:val="clear" w:color="000000" w:fill="FFFFFF"/>
            <w:vAlign w:val="center"/>
          </w:tcPr>
          <w:p w14:paraId="1B9327F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1）15米高清线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2）最大分辨率：8K@60Hz、4K@120Hz</w:t>
            </w:r>
          </w:p>
        </w:tc>
        <w:tc>
          <w:tcPr>
            <w:tcW w:w="640" w:type="dxa"/>
            <w:shd w:val="clear" w:color="000000" w:fill="FFFFFF"/>
            <w:vAlign w:val="center"/>
          </w:tcPr>
          <w:p w14:paraId="7771CDE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801" w:type="dxa"/>
            <w:shd w:val="clear" w:color="000000" w:fill="FFFFFF"/>
            <w:vAlign w:val="center"/>
          </w:tcPr>
          <w:p w14:paraId="63F6061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4D346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19BAC8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9</w:t>
            </w:r>
          </w:p>
        </w:tc>
        <w:tc>
          <w:tcPr>
            <w:tcW w:w="1180" w:type="dxa"/>
            <w:shd w:val="clear" w:color="000000" w:fill="FFFFFF"/>
            <w:vAlign w:val="center"/>
          </w:tcPr>
          <w:p w14:paraId="5C36FDF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高清线（8米）</w:t>
            </w:r>
          </w:p>
        </w:tc>
        <w:tc>
          <w:tcPr>
            <w:tcW w:w="5296" w:type="dxa"/>
            <w:shd w:val="clear" w:color="000000" w:fill="FFFFFF"/>
            <w:vAlign w:val="center"/>
          </w:tcPr>
          <w:p w14:paraId="44BA437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8米HDMI线: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1、99.99%无氧铜导体;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2、接头铜壳电镀24K金;内置马口铁，增强屏蔽以及防吊重 ;</w:t>
            </w:r>
          </w:p>
        </w:tc>
        <w:tc>
          <w:tcPr>
            <w:tcW w:w="640" w:type="dxa"/>
            <w:shd w:val="clear" w:color="000000" w:fill="FFFFFF"/>
            <w:vAlign w:val="center"/>
          </w:tcPr>
          <w:p w14:paraId="38BB692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vAlign w:val="center"/>
          </w:tcPr>
          <w:p w14:paraId="08BCC73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0611C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6F7E960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w:t>
            </w:r>
          </w:p>
        </w:tc>
        <w:tc>
          <w:tcPr>
            <w:tcW w:w="1180" w:type="dxa"/>
            <w:shd w:val="clear" w:color="000000" w:fill="FFFFFF"/>
            <w:vAlign w:val="center"/>
          </w:tcPr>
          <w:p w14:paraId="664DAF3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高清线（2米）</w:t>
            </w:r>
          </w:p>
        </w:tc>
        <w:tc>
          <w:tcPr>
            <w:tcW w:w="5296" w:type="dxa"/>
            <w:shd w:val="clear" w:color="000000" w:fill="FFFFFF"/>
            <w:vAlign w:val="center"/>
          </w:tcPr>
          <w:p w14:paraId="4D474E0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2米HDMI线: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1、99.99%无氧铜导体;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2、接头铜壳电镀24K金;内置马口铁，增强屏蔽以及防吊重 ;</w:t>
            </w:r>
          </w:p>
        </w:tc>
        <w:tc>
          <w:tcPr>
            <w:tcW w:w="640" w:type="dxa"/>
            <w:shd w:val="clear" w:color="000000" w:fill="FFFFFF"/>
            <w:vAlign w:val="center"/>
          </w:tcPr>
          <w:p w14:paraId="438A6C1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12</w:t>
            </w:r>
          </w:p>
        </w:tc>
        <w:tc>
          <w:tcPr>
            <w:tcW w:w="801" w:type="dxa"/>
            <w:shd w:val="clear" w:color="000000" w:fill="FFFFFF"/>
            <w:vAlign w:val="center"/>
          </w:tcPr>
          <w:p w14:paraId="3060A11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45209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2FFBF5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11</w:t>
            </w:r>
          </w:p>
        </w:tc>
        <w:tc>
          <w:tcPr>
            <w:tcW w:w="1180" w:type="dxa"/>
            <w:shd w:val="clear" w:color="000000" w:fill="FFFFFF"/>
            <w:vAlign w:val="center"/>
          </w:tcPr>
          <w:p w14:paraId="585BC33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音频线</w:t>
            </w:r>
          </w:p>
        </w:tc>
        <w:tc>
          <w:tcPr>
            <w:tcW w:w="5296" w:type="dxa"/>
            <w:shd w:val="clear" w:color="000000" w:fill="FFFFFF"/>
            <w:vAlign w:val="center"/>
          </w:tcPr>
          <w:p w14:paraId="535E178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1)内导体由多根4N 0.1mm优质无氧铜丝束绞而成；</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2)采用双向缠绕屏蔽工艺；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3)导线截面mm2：0.3；</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4)芯×根/直径：2×37/0.1。</w:t>
            </w:r>
          </w:p>
        </w:tc>
        <w:tc>
          <w:tcPr>
            <w:tcW w:w="640" w:type="dxa"/>
            <w:shd w:val="clear" w:color="000000" w:fill="FFFFFF"/>
            <w:vAlign w:val="center"/>
          </w:tcPr>
          <w:p w14:paraId="5BB9BFD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200</w:t>
            </w:r>
          </w:p>
        </w:tc>
        <w:tc>
          <w:tcPr>
            <w:tcW w:w="801" w:type="dxa"/>
            <w:shd w:val="clear" w:color="000000" w:fill="FFFFFF"/>
            <w:vAlign w:val="center"/>
          </w:tcPr>
          <w:p w14:paraId="000118C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2D103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E8D435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12</w:t>
            </w:r>
          </w:p>
        </w:tc>
        <w:tc>
          <w:tcPr>
            <w:tcW w:w="1180" w:type="dxa"/>
            <w:shd w:val="clear" w:color="000000" w:fill="FFFFFF"/>
            <w:vAlign w:val="center"/>
          </w:tcPr>
          <w:p w14:paraId="5C5E48C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音箱线</w:t>
            </w:r>
          </w:p>
        </w:tc>
        <w:tc>
          <w:tcPr>
            <w:tcW w:w="5296" w:type="dxa"/>
            <w:shd w:val="clear" w:color="000000" w:fill="FFFFFF"/>
            <w:vAlign w:val="center"/>
          </w:tcPr>
          <w:p w14:paraId="281B267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2*200</w:t>
            </w:r>
          </w:p>
        </w:tc>
        <w:tc>
          <w:tcPr>
            <w:tcW w:w="640" w:type="dxa"/>
            <w:shd w:val="clear" w:color="000000" w:fill="FFFFFF"/>
            <w:vAlign w:val="center"/>
          </w:tcPr>
          <w:p w14:paraId="349FFFE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200</w:t>
            </w:r>
          </w:p>
        </w:tc>
        <w:tc>
          <w:tcPr>
            <w:tcW w:w="801" w:type="dxa"/>
            <w:shd w:val="clear" w:color="000000" w:fill="FFFFFF"/>
            <w:vAlign w:val="center"/>
          </w:tcPr>
          <w:p w14:paraId="7928CB6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331F3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6351BF0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13</w:t>
            </w:r>
          </w:p>
        </w:tc>
        <w:tc>
          <w:tcPr>
            <w:tcW w:w="1180" w:type="dxa"/>
            <w:shd w:val="clear" w:color="000000" w:fill="FFFFFF"/>
            <w:vAlign w:val="center"/>
          </w:tcPr>
          <w:p w14:paraId="521B6A8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电线</w:t>
            </w:r>
          </w:p>
        </w:tc>
        <w:tc>
          <w:tcPr>
            <w:tcW w:w="5296" w:type="dxa"/>
            <w:shd w:val="clear" w:color="000000" w:fill="FFFFFF"/>
            <w:vAlign w:val="center"/>
          </w:tcPr>
          <w:p w14:paraId="00D2B33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1)国标，纯铜聚氯乙烯绝缘聚氯乙烯护套软电源线，RVV3*2.5。</w:t>
            </w:r>
          </w:p>
        </w:tc>
        <w:tc>
          <w:tcPr>
            <w:tcW w:w="640" w:type="dxa"/>
            <w:shd w:val="clear" w:color="000000" w:fill="FFFFFF"/>
            <w:vAlign w:val="center"/>
          </w:tcPr>
          <w:p w14:paraId="2E31BCE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100</w:t>
            </w:r>
          </w:p>
        </w:tc>
        <w:tc>
          <w:tcPr>
            <w:tcW w:w="801" w:type="dxa"/>
            <w:shd w:val="clear" w:color="000000" w:fill="FFFFFF"/>
            <w:vAlign w:val="center"/>
          </w:tcPr>
          <w:p w14:paraId="452838F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31083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F6DA8C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14</w:t>
            </w:r>
          </w:p>
        </w:tc>
        <w:tc>
          <w:tcPr>
            <w:tcW w:w="1180" w:type="dxa"/>
            <w:shd w:val="clear" w:color="000000" w:fill="FFFFFF"/>
            <w:vAlign w:val="center"/>
          </w:tcPr>
          <w:p w14:paraId="3CF1752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铜缆</w:t>
            </w:r>
          </w:p>
        </w:tc>
        <w:tc>
          <w:tcPr>
            <w:tcW w:w="5296" w:type="dxa"/>
            <w:shd w:val="clear" w:color="000000" w:fill="FFFFFF"/>
            <w:vAlign w:val="center"/>
          </w:tcPr>
          <w:p w14:paraId="162800E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1）六类四对非屏蔽双绞线，305M,具有十字骨架；</w:t>
            </w:r>
          </w:p>
        </w:tc>
        <w:tc>
          <w:tcPr>
            <w:tcW w:w="640" w:type="dxa"/>
            <w:shd w:val="clear" w:color="000000" w:fill="FFFFFF"/>
            <w:vAlign w:val="center"/>
          </w:tcPr>
          <w:p w14:paraId="17B69BE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3885A9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箱</w:t>
            </w:r>
          </w:p>
        </w:tc>
      </w:tr>
      <w:tr w14:paraId="0D3BF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298EF7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15</w:t>
            </w:r>
          </w:p>
        </w:tc>
        <w:tc>
          <w:tcPr>
            <w:tcW w:w="1180" w:type="dxa"/>
            <w:shd w:val="clear" w:color="000000" w:fill="FFFFFF"/>
            <w:vAlign w:val="center"/>
          </w:tcPr>
          <w:p w14:paraId="6027CD7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其它辅件</w:t>
            </w:r>
          </w:p>
        </w:tc>
        <w:tc>
          <w:tcPr>
            <w:tcW w:w="5296" w:type="dxa"/>
            <w:shd w:val="clear" w:color="000000" w:fill="FFFFFF"/>
            <w:vAlign w:val="center"/>
          </w:tcPr>
          <w:p w14:paraId="72017C1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1)满足集成系统所需要辅件及配件；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2)线管、线槽、接插头、跳线、盲板；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3)相关连接配件及集成辅件；</w:t>
            </w:r>
          </w:p>
        </w:tc>
        <w:tc>
          <w:tcPr>
            <w:tcW w:w="640" w:type="dxa"/>
            <w:shd w:val="clear" w:color="000000" w:fill="FFFFFF"/>
            <w:vAlign w:val="center"/>
          </w:tcPr>
          <w:p w14:paraId="3E03150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74A020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批</w:t>
            </w:r>
          </w:p>
        </w:tc>
      </w:tr>
      <w:tr w14:paraId="438EC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4FD1ED7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二、2F第二会议室【尺寸（L*W*H）/m：8.73 】</w:t>
            </w:r>
          </w:p>
        </w:tc>
      </w:tr>
      <w:tr w14:paraId="3CD62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578BC6E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2.1、发言系统</w:t>
            </w:r>
          </w:p>
        </w:tc>
        <w:tc>
          <w:tcPr>
            <w:tcW w:w="640" w:type="dxa"/>
            <w:shd w:val="clear" w:color="000000" w:fill="FFFFFF"/>
            <w:vAlign w:val="center"/>
          </w:tcPr>
          <w:p w14:paraId="285A0D4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21BBCDE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153AF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noWrap/>
            <w:vAlign w:val="center"/>
          </w:tcPr>
          <w:p w14:paraId="7F48C8E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vAlign w:val="center"/>
          </w:tcPr>
          <w:p w14:paraId="2650E14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无线手持话筒</w:t>
            </w:r>
          </w:p>
        </w:tc>
        <w:tc>
          <w:tcPr>
            <w:tcW w:w="5296" w:type="dxa"/>
            <w:vAlign w:val="center"/>
          </w:tcPr>
          <w:p w14:paraId="07DFF94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1)接收机采用耐用的金属结构;</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2)可拆卸式天线;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3)一键式频率选择可快速查找最佳开放频率;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4)每个频带多达12个兼容系统（视区域而定）</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5)显示详细射频和音频计量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6)心形（单向）动圈；</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7)频率响应: 50 Hz-15KHz；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8)灵敏度 : -55 dBV/Pa;</w:t>
            </w:r>
          </w:p>
        </w:tc>
        <w:tc>
          <w:tcPr>
            <w:tcW w:w="640" w:type="dxa"/>
            <w:noWrap/>
            <w:vAlign w:val="center"/>
          </w:tcPr>
          <w:p w14:paraId="3669E18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noWrap/>
            <w:vAlign w:val="center"/>
          </w:tcPr>
          <w:p w14:paraId="16FD79E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79A41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1C695A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0A6916F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数字发言主机</w:t>
            </w:r>
          </w:p>
        </w:tc>
        <w:tc>
          <w:tcPr>
            <w:tcW w:w="5296" w:type="dxa"/>
            <w:shd w:val="clear" w:color="000000" w:fill="FFFFFF"/>
            <w:vAlign w:val="center"/>
          </w:tcPr>
          <w:p w14:paraId="7CA2EB0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第一会议室移入</w:t>
            </w:r>
          </w:p>
        </w:tc>
        <w:tc>
          <w:tcPr>
            <w:tcW w:w="640" w:type="dxa"/>
            <w:shd w:val="clear" w:color="000000" w:fill="FFFFFF"/>
            <w:vAlign w:val="center"/>
          </w:tcPr>
          <w:p w14:paraId="111E671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664F1F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3C479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84E9CE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6AE649F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手拉手发言单元</w:t>
            </w:r>
          </w:p>
        </w:tc>
        <w:tc>
          <w:tcPr>
            <w:tcW w:w="5296" w:type="dxa"/>
            <w:shd w:val="clear" w:color="000000" w:fill="FFFFFF"/>
            <w:vAlign w:val="center"/>
          </w:tcPr>
          <w:p w14:paraId="1FB0993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第一会议室移入，手拉手话筒</w:t>
            </w:r>
          </w:p>
        </w:tc>
        <w:tc>
          <w:tcPr>
            <w:tcW w:w="640" w:type="dxa"/>
            <w:shd w:val="clear" w:color="000000" w:fill="FFFFFF"/>
            <w:vAlign w:val="center"/>
          </w:tcPr>
          <w:p w14:paraId="54F1CE6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16</w:t>
            </w:r>
          </w:p>
        </w:tc>
        <w:tc>
          <w:tcPr>
            <w:tcW w:w="801" w:type="dxa"/>
            <w:shd w:val="clear" w:color="000000" w:fill="FFFFFF"/>
            <w:vAlign w:val="center"/>
          </w:tcPr>
          <w:p w14:paraId="5B8945C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支</w:t>
            </w:r>
          </w:p>
        </w:tc>
      </w:tr>
      <w:tr w14:paraId="4C76B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2242D1E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2.2、扩声系统</w:t>
            </w:r>
          </w:p>
        </w:tc>
        <w:tc>
          <w:tcPr>
            <w:tcW w:w="640" w:type="dxa"/>
            <w:shd w:val="clear" w:color="000000" w:fill="FFFFFF"/>
            <w:vAlign w:val="center"/>
          </w:tcPr>
          <w:p w14:paraId="787AF4F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2014791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7F802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276149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0701405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音箱</w:t>
            </w:r>
          </w:p>
        </w:tc>
        <w:tc>
          <w:tcPr>
            <w:tcW w:w="5296" w:type="dxa"/>
            <w:shd w:val="clear" w:color="000000" w:fill="FFFFFF"/>
            <w:vAlign w:val="center"/>
          </w:tcPr>
          <w:p w14:paraId="560D649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第一会议室移入，4只</w:t>
            </w:r>
          </w:p>
        </w:tc>
        <w:tc>
          <w:tcPr>
            <w:tcW w:w="640" w:type="dxa"/>
            <w:shd w:val="clear" w:color="000000" w:fill="FFFFFF"/>
            <w:noWrap/>
            <w:vAlign w:val="center"/>
          </w:tcPr>
          <w:p w14:paraId="5AD95E7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600A202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03C73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1E3987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435C603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功率放大器</w:t>
            </w:r>
          </w:p>
        </w:tc>
        <w:tc>
          <w:tcPr>
            <w:tcW w:w="5296" w:type="dxa"/>
            <w:shd w:val="clear" w:color="000000" w:fill="FFFFFF"/>
            <w:vAlign w:val="center"/>
          </w:tcPr>
          <w:p w14:paraId="49E3581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1）双温度控制过热保护功能，带软启动开关启动瞬态保护，静音开关保护，过热、直流、短路和功率过载保护；</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2）输出功率：2 x 400W/8Ω、2x800W/4Ω；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3）双通道，支持8Ω桥接；</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4）频率范围:20Hz-20KHz；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5）总谐波失真1KHz(20Hz-20KHz): ≤0.5％；</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6）互调失真（SMPTE）: ≤ 0.35％；</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7）增益（可选）：26/29/32dB；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8）灵敏度: 0.775 /1.0/1.55V；</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9）信噪比：100dB；</w:t>
            </w:r>
          </w:p>
        </w:tc>
        <w:tc>
          <w:tcPr>
            <w:tcW w:w="640" w:type="dxa"/>
            <w:shd w:val="clear" w:color="000000" w:fill="FFFFFF"/>
            <w:noWrap/>
            <w:vAlign w:val="center"/>
          </w:tcPr>
          <w:p w14:paraId="31B698A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noWrap/>
            <w:vAlign w:val="center"/>
          </w:tcPr>
          <w:p w14:paraId="450C4BD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2EDC8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BE5807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7E7D65E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数字音频处理器</w:t>
            </w:r>
          </w:p>
        </w:tc>
        <w:tc>
          <w:tcPr>
            <w:tcW w:w="5296" w:type="dxa"/>
            <w:vAlign w:val="center"/>
          </w:tcPr>
          <w:p w14:paraId="2BBA927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1）自定义的用户操作界面；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2）内置DSP模块，可配置式处理模块，根据需求自由更换；</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3）16路话筒/线路电平输入；</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4）16路线路电平输出；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5）USB音频通道，具有远程视频会议回声消除功能；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6）每个输入通道12段PEQ，且提供于五种滤波器类型选择；</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7）具有自适应反馈抑制（AFC）、自适应回声消除(AEC)、噪声抑制(ANS)、增益共享自动混音(AMC)、门限自动混音（Gate Mixer）、自动增益(AGC)、闪避器(Ducker)等功能；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8）具备摄像跟踪功能；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9）频率响应范围：20～20kHz(±0.3dB)；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10）THD+N:&lt;-95dB @17dBu；</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11）动态范围：112dB；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12）采样率： 48kHz；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13）支持第三方中控控制，支持平板电脑、手机、电脑等设备控制；</w:t>
            </w:r>
          </w:p>
        </w:tc>
        <w:tc>
          <w:tcPr>
            <w:tcW w:w="640" w:type="dxa"/>
            <w:shd w:val="clear" w:color="000000" w:fill="FFFFFF"/>
            <w:vAlign w:val="center"/>
          </w:tcPr>
          <w:p w14:paraId="2F912FA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6FDDE66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7F3FB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DBB552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noWrap/>
            <w:vAlign w:val="center"/>
          </w:tcPr>
          <w:p w14:paraId="76BE998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软件</w:t>
            </w:r>
          </w:p>
        </w:tc>
        <w:tc>
          <w:tcPr>
            <w:tcW w:w="5296" w:type="dxa"/>
            <w:shd w:val="clear" w:color="000000" w:fill="FFFFFF"/>
            <w:vAlign w:val="center"/>
          </w:tcPr>
          <w:p w14:paraId="09149A2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1)每个输入通道含话放，扩展器，压缩器，自动增益控制器，参量均衡器，反馈抑制器。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2)支持回声消除和噪声抑制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3)支持墙面控制器自定义编程</w:t>
            </w:r>
          </w:p>
        </w:tc>
        <w:tc>
          <w:tcPr>
            <w:tcW w:w="640" w:type="dxa"/>
            <w:shd w:val="clear" w:color="000000" w:fill="FFFFFF"/>
            <w:vAlign w:val="center"/>
          </w:tcPr>
          <w:p w14:paraId="766A700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6C57CC2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43EF6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B2892F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1180" w:type="dxa"/>
            <w:shd w:val="clear" w:color="000000" w:fill="FFFFFF"/>
            <w:vAlign w:val="center"/>
          </w:tcPr>
          <w:p w14:paraId="6E9C083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12路电源时序器</w:t>
            </w:r>
          </w:p>
        </w:tc>
        <w:tc>
          <w:tcPr>
            <w:tcW w:w="5296" w:type="dxa"/>
            <w:shd w:val="clear" w:color="000000" w:fill="FFFFFF"/>
            <w:vAlign w:val="center"/>
          </w:tcPr>
          <w:p w14:paraId="72F32B8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1)12路供电输出，每路输出AC220V，10A；</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2)MCU控制,控制方式：钥匙锁，手动按键，红外遥控方式；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3)任一相邻两路之间开或关动作的延时时间最长可达10分钟，满足一些特殊设备的特殊要求；</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4)标准RS232串口,开放的串口通讯协议；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5)可对任意一路电源输出进行开关控制；</w:t>
            </w:r>
          </w:p>
        </w:tc>
        <w:tc>
          <w:tcPr>
            <w:tcW w:w="640" w:type="dxa"/>
            <w:shd w:val="clear" w:color="000000" w:fill="FFFFFF"/>
            <w:vAlign w:val="center"/>
          </w:tcPr>
          <w:p w14:paraId="75DA7B7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9C05E5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3B9DE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53A834F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2.3、显示系统</w:t>
            </w:r>
          </w:p>
        </w:tc>
        <w:tc>
          <w:tcPr>
            <w:tcW w:w="640" w:type="dxa"/>
            <w:shd w:val="clear" w:color="000000" w:fill="FFFFFF"/>
            <w:vAlign w:val="center"/>
          </w:tcPr>
          <w:p w14:paraId="7704014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6FB2DB8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48A5E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34E92B3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702C37E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室内全彩LED屏</w:t>
            </w:r>
          </w:p>
        </w:tc>
        <w:tc>
          <w:tcPr>
            <w:tcW w:w="5296" w:type="dxa"/>
            <w:shd w:val="clear" w:color="000000" w:fill="FFFFFF"/>
          </w:tcPr>
          <w:p w14:paraId="6B6A292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1）显示屏尺寸：3.2m*1.92m，分辨率：2080*1248；</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2）像素点间距： 1.53mm，像素密度：422500点/㎡， 封装工艺：SMD表贴三合一；</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3）压铸铝箱体，箱体尺寸：640mm*480mm；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4）亮度：500nits；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5）亮度均匀性：98%；</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6）色温范围：1000~13000K,可调；</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7）最高对比度：10000:1；</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8）刷新率：3840Hz；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9）灰度等级：16bit；</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10）峰值功耗（W/㎡）：385 ；平均功耗（W/㎡）：130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11）显示单元平整度与显示单元间隙：≤0.1mm；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12)水平/垂直可视角度：165°，</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13)换帧频率（Hz）：50/60；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14)具备一键除湿功能,有效防止湿气进入灯珠内部导致短路.</w:t>
            </w:r>
          </w:p>
        </w:tc>
        <w:tc>
          <w:tcPr>
            <w:tcW w:w="640" w:type="dxa"/>
            <w:shd w:val="clear" w:color="000000" w:fill="FFFFFF"/>
            <w:vAlign w:val="center"/>
          </w:tcPr>
          <w:p w14:paraId="62B8D37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6.14</w:t>
            </w:r>
          </w:p>
        </w:tc>
        <w:tc>
          <w:tcPr>
            <w:tcW w:w="801" w:type="dxa"/>
            <w:shd w:val="clear" w:color="000000" w:fill="FFFFFF"/>
            <w:vAlign w:val="center"/>
          </w:tcPr>
          <w:p w14:paraId="67948B0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w:t>
            </w:r>
          </w:p>
        </w:tc>
      </w:tr>
      <w:tr w14:paraId="41CF3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EA9775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6652F47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视频处理器</w:t>
            </w:r>
          </w:p>
        </w:tc>
        <w:tc>
          <w:tcPr>
            <w:tcW w:w="5296" w:type="dxa"/>
            <w:shd w:val="clear" w:color="000000" w:fill="FFFFFF"/>
          </w:tcPr>
          <w:p w14:paraId="1778EF6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1)输入分辨率 ： 最宽10240，最高8192</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2)带载能力 ：390万像素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3)输入接口 ： 2路HDMI1.3、1路DVI、3G-SDI、</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4)输出接口 ：6网口（RJ45）</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5)支持3个图层</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6)场景数量：10；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7)支持输入画质管理，包括亮度、对比度、饱和度和色度调整；</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8)支持输出画面缩放、低延迟、逐点亮色度校正等功能；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9)支持第三方中控控制。</w:t>
            </w:r>
          </w:p>
        </w:tc>
        <w:tc>
          <w:tcPr>
            <w:tcW w:w="640" w:type="dxa"/>
            <w:shd w:val="clear" w:color="000000" w:fill="FFFFFF"/>
            <w:vAlign w:val="center"/>
          </w:tcPr>
          <w:p w14:paraId="1585973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4106ED6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43084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66E75A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16A37B1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控制系统软件</w:t>
            </w:r>
          </w:p>
        </w:tc>
        <w:tc>
          <w:tcPr>
            <w:tcW w:w="5296" w:type="dxa"/>
            <w:shd w:val="clear" w:color="000000" w:fill="FFFFFF"/>
          </w:tcPr>
          <w:p w14:paraId="18B6779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1)屏幕区域自由分割，可组合网页/视频/动画/图片和字幕等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2)完美导入运行PPT\WORD\EXCEL等文档文件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3)支持Window操作系统下运行，控制电脑安装软件客户端后，登陆界面既可实现操作管理</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4)支持多用户在线操作，可设定权限分级，不同等级用户登陆拥有不同控制权限</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5)所有采集信号可以任意布局显示，支持画中画、单画面、多画面、信号漫游、图像叠加等，单屏可实现16画面分割显示。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6)对数字、模拟信号可实现无缝实时切换，黑场间隔小于2帧</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7)支持图像拼缝补偿功能，可去除拼接单元物理拼缝带来的主观视觉上的不连贯感</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8)支持预案场景保存，在需要时进行调用，也可自主设定时间间隔实现场景自动轮巡。</w:t>
            </w:r>
          </w:p>
        </w:tc>
        <w:tc>
          <w:tcPr>
            <w:tcW w:w="640" w:type="dxa"/>
            <w:shd w:val="clear" w:color="000000" w:fill="FFFFFF"/>
            <w:vAlign w:val="center"/>
          </w:tcPr>
          <w:p w14:paraId="2B16282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0C0F53A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24079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F2C090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476412F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框架结构</w:t>
            </w:r>
          </w:p>
        </w:tc>
        <w:tc>
          <w:tcPr>
            <w:tcW w:w="5296" w:type="dxa"/>
            <w:shd w:val="clear" w:color="000000" w:fill="FFFFFF"/>
            <w:vAlign w:val="center"/>
          </w:tcPr>
          <w:p w14:paraId="6539308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主框架选用国标方管焊接，5公分不锈钢包边；</w:t>
            </w:r>
          </w:p>
        </w:tc>
        <w:tc>
          <w:tcPr>
            <w:tcW w:w="640" w:type="dxa"/>
            <w:shd w:val="clear" w:color="000000" w:fill="FFFFFF"/>
            <w:vAlign w:val="center"/>
          </w:tcPr>
          <w:p w14:paraId="5E0782D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6.14</w:t>
            </w:r>
          </w:p>
        </w:tc>
        <w:tc>
          <w:tcPr>
            <w:tcW w:w="801" w:type="dxa"/>
            <w:shd w:val="clear" w:color="000000" w:fill="FFFFFF"/>
            <w:vAlign w:val="center"/>
          </w:tcPr>
          <w:p w14:paraId="6134074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w:t>
            </w:r>
          </w:p>
        </w:tc>
      </w:tr>
      <w:tr w14:paraId="55F03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15CEE8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1180" w:type="dxa"/>
            <w:shd w:val="clear" w:color="000000" w:fill="FFFFFF"/>
            <w:vAlign w:val="center"/>
          </w:tcPr>
          <w:p w14:paraId="7538023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配电系统</w:t>
            </w:r>
          </w:p>
        </w:tc>
        <w:tc>
          <w:tcPr>
            <w:tcW w:w="5296" w:type="dxa"/>
            <w:shd w:val="clear" w:color="000000" w:fill="FFFFFF"/>
            <w:vAlign w:val="center"/>
          </w:tcPr>
          <w:p w14:paraId="00BAE3C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1）10KW PLC智能配电柜，可远程控制；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2）具有分布上电，分区域上电，显示屏运行信息管理功能。</w:t>
            </w:r>
          </w:p>
        </w:tc>
        <w:tc>
          <w:tcPr>
            <w:tcW w:w="640" w:type="dxa"/>
            <w:shd w:val="clear" w:color="000000" w:fill="FFFFFF"/>
            <w:vAlign w:val="center"/>
          </w:tcPr>
          <w:p w14:paraId="1CC05E3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AEB74E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7DF25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CBD628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w:t>
            </w:r>
          </w:p>
        </w:tc>
        <w:tc>
          <w:tcPr>
            <w:tcW w:w="1180" w:type="dxa"/>
            <w:shd w:val="clear" w:color="000000" w:fill="FFFFFF"/>
            <w:vAlign w:val="center"/>
          </w:tcPr>
          <w:p w14:paraId="087A43E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综合布线</w:t>
            </w:r>
          </w:p>
        </w:tc>
        <w:tc>
          <w:tcPr>
            <w:tcW w:w="5296" w:type="dxa"/>
            <w:shd w:val="clear" w:color="000000" w:fill="FFFFFF"/>
            <w:vAlign w:val="center"/>
          </w:tcPr>
          <w:p w14:paraId="558C448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大屏电源线、信号线等</w:t>
            </w:r>
          </w:p>
        </w:tc>
        <w:tc>
          <w:tcPr>
            <w:tcW w:w="640" w:type="dxa"/>
            <w:shd w:val="clear" w:color="000000" w:fill="FFFFFF"/>
            <w:vAlign w:val="center"/>
          </w:tcPr>
          <w:p w14:paraId="012E6ED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6D5F595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批</w:t>
            </w:r>
          </w:p>
        </w:tc>
      </w:tr>
      <w:tr w14:paraId="4CA68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5492B4AE">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2.4、远程视频会议系统</w:t>
            </w:r>
          </w:p>
        </w:tc>
        <w:tc>
          <w:tcPr>
            <w:tcW w:w="640" w:type="dxa"/>
            <w:shd w:val="clear" w:color="000000" w:fill="FFFFFF"/>
            <w:vAlign w:val="center"/>
          </w:tcPr>
          <w:p w14:paraId="1B2A5BB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430C5F0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7C172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2B5E75A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61D42BB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高清摄像机</w:t>
            </w:r>
          </w:p>
        </w:tc>
        <w:tc>
          <w:tcPr>
            <w:tcW w:w="5296" w:type="dxa"/>
            <w:shd w:val="clear" w:color="000000" w:fill="FFFFFF"/>
            <w:vAlign w:val="center"/>
          </w:tcPr>
          <w:p w14:paraId="239DA6C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1）4K超高清图像，最大分辨率4K(3840×2160)60帧/秒;</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2）光学变倍镜头：12 倍 80°光学变倍镜头；</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3）低噪声高信噪比,采用先进的2D、3D降噪技术；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4）支持HDMI，USB3.0、有线LAN接口；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5）支持POE供电，USB3.0支持双码流；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6）支持云台自动翻转功能；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7）控制接口：RS422兼容RS485、RS232-IN、RS232-OUT，RS232接口支持级联；</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8）多种控制协议：支持VISCA、PELCO-D、PELCO-P协议，支持自动识别协议；</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9）支持多达255个预置位(遥控器设置调用为10个)；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10）AI人形跟踪，内置高速处理器以及采用独家先进的图像处理和分析算法，用户可根据使用环境，选择实时跟踪与区域跟踪。 </w:t>
            </w:r>
          </w:p>
        </w:tc>
        <w:tc>
          <w:tcPr>
            <w:tcW w:w="640" w:type="dxa"/>
            <w:shd w:val="clear" w:color="000000" w:fill="FFFFFF"/>
            <w:noWrap/>
            <w:vAlign w:val="center"/>
          </w:tcPr>
          <w:p w14:paraId="7213187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619DC18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79E81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027CB4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31AE12F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视频采集卡</w:t>
            </w:r>
          </w:p>
        </w:tc>
        <w:tc>
          <w:tcPr>
            <w:tcW w:w="5296" w:type="dxa"/>
            <w:shd w:val="clear" w:color="000000" w:fill="FFFFFF"/>
            <w:vAlign w:val="center"/>
          </w:tcPr>
          <w:p w14:paraId="7E1AAC6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支持操作系统：WINDOWS,LINUX,MAC等；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输入：HDMI 1.4a, 主机接口：USB3.0(兼容 USB 2.0,USB 3.1 Gen 1)</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输入视频最高支持 2048x2160 分辨率;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自适应 HDMI 均衡器，HDMI 传输距离最长可达 30 米;</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支持 4:2:2 8-bit 采集格式: YUY2, UYVY;</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支持 4:4:4 8-bit 采集格式: RGB24, RGB32;</w:t>
            </w:r>
          </w:p>
        </w:tc>
        <w:tc>
          <w:tcPr>
            <w:tcW w:w="640" w:type="dxa"/>
            <w:shd w:val="clear" w:color="000000" w:fill="FFFFFF"/>
            <w:vAlign w:val="center"/>
          </w:tcPr>
          <w:p w14:paraId="6055C6D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5BACA1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1D060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87A28E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617F8E7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视频会议终端</w:t>
            </w:r>
          </w:p>
        </w:tc>
        <w:tc>
          <w:tcPr>
            <w:tcW w:w="5296" w:type="dxa"/>
            <w:shd w:val="clear" w:color="000000" w:fill="FFFFFF"/>
            <w:noWrap/>
            <w:vAlign w:val="center"/>
          </w:tcPr>
          <w:p w14:paraId="75894AB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利旧</w:t>
            </w:r>
          </w:p>
        </w:tc>
        <w:tc>
          <w:tcPr>
            <w:tcW w:w="640" w:type="dxa"/>
            <w:shd w:val="clear" w:color="000000" w:fill="FFFFFF"/>
            <w:noWrap/>
            <w:vAlign w:val="center"/>
          </w:tcPr>
          <w:p w14:paraId="2F032B8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27A917E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26E25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AD572F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39A808D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电脑</w:t>
            </w:r>
          </w:p>
        </w:tc>
        <w:tc>
          <w:tcPr>
            <w:tcW w:w="5296" w:type="dxa"/>
            <w:shd w:val="clear" w:color="000000" w:fill="FFFFFF"/>
            <w:noWrap/>
            <w:vAlign w:val="center"/>
          </w:tcPr>
          <w:p w14:paraId="7E6889F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利旧</w:t>
            </w:r>
          </w:p>
        </w:tc>
        <w:tc>
          <w:tcPr>
            <w:tcW w:w="640" w:type="dxa"/>
            <w:shd w:val="clear" w:color="000000" w:fill="FFFFFF"/>
            <w:noWrap/>
            <w:vAlign w:val="center"/>
          </w:tcPr>
          <w:p w14:paraId="0B81520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noWrap/>
            <w:vAlign w:val="center"/>
          </w:tcPr>
          <w:p w14:paraId="7B3477B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23702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5398AEA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2.5、高清矩阵系统</w:t>
            </w:r>
          </w:p>
        </w:tc>
      </w:tr>
      <w:tr w14:paraId="00502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0208D8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1BE242D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高清矩阵</w:t>
            </w:r>
          </w:p>
        </w:tc>
        <w:tc>
          <w:tcPr>
            <w:tcW w:w="5296" w:type="dxa"/>
            <w:shd w:val="clear" w:color="000000" w:fill="FFFFFF"/>
            <w:vAlign w:val="center"/>
          </w:tcPr>
          <w:p w14:paraId="522C1BC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1）前面板LCD状态显示，可显示设备各通道的切换状态;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2）断电现场切换记忆保护功能,特有ESD静电保护功能;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3）自带EDID拷贝功能;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4）支持无信号时状态监控、故障判断;</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5）无缝切换，即插即用;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6）支持多通道同时切换，地址设置等功能;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7）带宽：10.2Gbps（满载）;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8）分辨率：4K60Hz，1920*1200/60Hz；1080P；3D&amp;720P等;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9）支持HDMI2.0，HDCP2.0标准</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10）控制方式：面板、遥控、RS232，</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11）支持第三方中控控制；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12）输入：8路，输出：8路。</w:t>
            </w:r>
          </w:p>
        </w:tc>
        <w:tc>
          <w:tcPr>
            <w:tcW w:w="640" w:type="dxa"/>
            <w:shd w:val="clear" w:color="000000" w:fill="FFFFFF"/>
            <w:vAlign w:val="center"/>
          </w:tcPr>
          <w:p w14:paraId="0132BF6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2E5433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276D2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57" w:type="dxa"/>
            <w:gridSpan w:val="5"/>
            <w:shd w:val="clear" w:color="000000" w:fill="FFFFFF"/>
            <w:vAlign w:val="center"/>
          </w:tcPr>
          <w:p w14:paraId="1DF3A77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2.6、中控系统</w:t>
            </w:r>
          </w:p>
        </w:tc>
      </w:tr>
      <w:tr w14:paraId="3DB9B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21C18FDB">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19B8799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中控主机</w:t>
            </w:r>
          </w:p>
        </w:tc>
        <w:tc>
          <w:tcPr>
            <w:tcW w:w="5296" w:type="dxa"/>
            <w:shd w:val="clear" w:color="000000" w:fill="FFFFFF"/>
            <w:vAlign w:val="center"/>
          </w:tcPr>
          <w:p w14:paraId="551CB04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xml:space="preserve">1）主频：650MHz，32位双核处理器，内置256M内存和1G 闪存FLASH；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2）开放式可编程控制平台、人性化的中英文可编程界面和交互式的控制结构。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3）8路RS-232/422/485，8路红外(具有不少于8条红外发射器)；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4）8路RELAY继电器，8路IO；</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5）支持广域网、局域网远程控制；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6）支持苹果、安卓、微软等系统的平板电脑控制；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7）支持语音控制，支持控制画面带Flash动画效果。</w:t>
            </w:r>
          </w:p>
        </w:tc>
        <w:tc>
          <w:tcPr>
            <w:tcW w:w="640" w:type="dxa"/>
            <w:shd w:val="clear" w:color="000000" w:fill="FFFFFF"/>
            <w:vAlign w:val="center"/>
          </w:tcPr>
          <w:p w14:paraId="48A3EBB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39607E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75A9D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1974D7F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328E4C31">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编程费</w:t>
            </w:r>
          </w:p>
        </w:tc>
        <w:tc>
          <w:tcPr>
            <w:tcW w:w="5296" w:type="dxa"/>
            <w:shd w:val="clear" w:color="000000" w:fill="FFFFFF"/>
            <w:vAlign w:val="center"/>
          </w:tcPr>
          <w:p w14:paraId="180DBA63">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定制，根据功能需要现场编制。</w:t>
            </w:r>
          </w:p>
        </w:tc>
        <w:tc>
          <w:tcPr>
            <w:tcW w:w="640" w:type="dxa"/>
            <w:shd w:val="clear" w:color="000000" w:fill="FFFFFF"/>
            <w:vAlign w:val="center"/>
          </w:tcPr>
          <w:p w14:paraId="61B41F7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5628C8B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1E275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105DF7C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7FF69B0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无线平板</w:t>
            </w:r>
          </w:p>
        </w:tc>
        <w:tc>
          <w:tcPr>
            <w:tcW w:w="5296" w:type="dxa"/>
            <w:shd w:val="clear" w:color="000000" w:fill="FFFFFF"/>
            <w:vAlign w:val="center"/>
          </w:tcPr>
          <w:p w14:paraId="32A6354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1)11.5英寸,HarmonyOS；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2)分辨率：2800*1840；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3)144HZ刷新率；</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4)运行内存：12GB；内存容量：256GB</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5)数据传输：USB、WIFI、蓝牙等</w:t>
            </w:r>
          </w:p>
        </w:tc>
        <w:tc>
          <w:tcPr>
            <w:tcW w:w="640" w:type="dxa"/>
            <w:shd w:val="clear" w:color="000000" w:fill="FFFFFF"/>
            <w:vAlign w:val="center"/>
          </w:tcPr>
          <w:p w14:paraId="2D57E28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1F9B26A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部</w:t>
            </w:r>
          </w:p>
        </w:tc>
      </w:tr>
      <w:tr w14:paraId="4C8C9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noWrap/>
            <w:vAlign w:val="center"/>
          </w:tcPr>
          <w:p w14:paraId="66B81AB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3FE6C490">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无线路由器</w:t>
            </w:r>
          </w:p>
        </w:tc>
        <w:tc>
          <w:tcPr>
            <w:tcW w:w="5296" w:type="dxa"/>
            <w:shd w:val="clear" w:color="000000" w:fill="FFFFFF"/>
            <w:vAlign w:val="center"/>
          </w:tcPr>
          <w:p w14:paraId="130FA47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1）1个10/100Mbps WAN口，4个10/100Mbps LAN口；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2）最高传输速率：2500Mbps；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3）外置天线。</w:t>
            </w:r>
          </w:p>
        </w:tc>
        <w:tc>
          <w:tcPr>
            <w:tcW w:w="640" w:type="dxa"/>
            <w:shd w:val="clear" w:color="000000" w:fill="FFFFFF"/>
            <w:vAlign w:val="center"/>
          </w:tcPr>
          <w:p w14:paraId="5A259FD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70717B1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台</w:t>
            </w:r>
          </w:p>
        </w:tc>
      </w:tr>
      <w:tr w14:paraId="29F4C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7116" w:type="dxa"/>
            <w:gridSpan w:val="3"/>
            <w:shd w:val="clear" w:color="000000" w:fill="FFFFFF"/>
            <w:vAlign w:val="center"/>
          </w:tcPr>
          <w:p w14:paraId="482F760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2.7、安装辅材</w:t>
            </w:r>
          </w:p>
        </w:tc>
        <w:tc>
          <w:tcPr>
            <w:tcW w:w="640" w:type="dxa"/>
            <w:shd w:val="clear" w:color="000000" w:fill="FFFFFF"/>
            <w:vAlign w:val="center"/>
          </w:tcPr>
          <w:p w14:paraId="5FD0B11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c>
          <w:tcPr>
            <w:tcW w:w="801" w:type="dxa"/>
            <w:shd w:val="clear" w:color="000000" w:fill="FFFFFF"/>
            <w:vAlign w:val="center"/>
          </w:tcPr>
          <w:p w14:paraId="64263CBB">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43D1A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2E20520E">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1180" w:type="dxa"/>
            <w:shd w:val="clear" w:color="000000" w:fill="FFFFFF"/>
            <w:vAlign w:val="center"/>
          </w:tcPr>
          <w:p w14:paraId="28F8AF5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机柜</w:t>
            </w:r>
          </w:p>
        </w:tc>
        <w:tc>
          <w:tcPr>
            <w:tcW w:w="5296" w:type="dxa"/>
            <w:shd w:val="clear" w:color="000000" w:fill="FFFFFF"/>
            <w:vAlign w:val="center"/>
          </w:tcPr>
          <w:p w14:paraId="676C592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1）尺寸：1200*600*600，全部选用优质冷轧钢板制作；</w:t>
            </w:r>
          </w:p>
        </w:tc>
        <w:tc>
          <w:tcPr>
            <w:tcW w:w="640" w:type="dxa"/>
            <w:shd w:val="clear" w:color="000000" w:fill="FFFFFF"/>
            <w:vAlign w:val="center"/>
          </w:tcPr>
          <w:p w14:paraId="42A5FDB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75045F8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　</w:t>
            </w:r>
          </w:p>
        </w:tc>
      </w:tr>
      <w:tr w14:paraId="37345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C299A7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1180" w:type="dxa"/>
            <w:shd w:val="clear" w:color="000000" w:fill="FFFFFF"/>
            <w:vAlign w:val="center"/>
          </w:tcPr>
          <w:p w14:paraId="4318EF2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桌面信息盒</w:t>
            </w:r>
          </w:p>
        </w:tc>
        <w:tc>
          <w:tcPr>
            <w:tcW w:w="5296" w:type="dxa"/>
            <w:shd w:val="clear" w:color="000000" w:fill="FFFFFF"/>
            <w:vAlign w:val="center"/>
          </w:tcPr>
          <w:p w14:paraId="2E9C608C">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掀盖式，所有模块均采用螺丝固定；</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2*（220V50HZ电源接口），1*HDMI，1*TRS，2*USB（Type-C）；</w:t>
            </w:r>
          </w:p>
        </w:tc>
        <w:tc>
          <w:tcPr>
            <w:tcW w:w="640" w:type="dxa"/>
            <w:shd w:val="clear" w:color="000000" w:fill="FFFFFF"/>
            <w:vAlign w:val="center"/>
          </w:tcPr>
          <w:p w14:paraId="4030B47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2</w:t>
            </w:r>
          </w:p>
        </w:tc>
        <w:tc>
          <w:tcPr>
            <w:tcW w:w="801" w:type="dxa"/>
            <w:shd w:val="clear" w:color="000000" w:fill="FFFFFF"/>
            <w:vAlign w:val="center"/>
          </w:tcPr>
          <w:p w14:paraId="2788691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1B4D7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6DF0AA7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1180" w:type="dxa"/>
            <w:shd w:val="clear" w:color="000000" w:fill="FFFFFF"/>
            <w:vAlign w:val="center"/>
          </w:tcPr>
          <w:p w14:paraId="44C953B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电源适配器</w:t>
            </w:r>
          </w:p>
        </w:tc>
        <w:tc>
          <w:tcPr>
            <w:tcW w:w="5296" w:type="dxa"/>
            <w:shd w:val="clear" w:color="000000" w:fill="FFFFFF"/>
            <w:vAlign w:val="center"/>
          </w:tcPr>
          <w:p w14:paraId="7A9DE9F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65W氨化镓充电器，配置1.5米双Type-C线。</w:t>
            </w:r>
          </w:p>
        </w:tc>
        <w:tc>
          <w:tcPr>
            <w:tcW w:w="640" w:type="dxa"/>
            <w:shd w:val="clear" w:color="000000" w:fill="FFFFFF"/>
            <w:vAlign w:val="center"/>
          </w:tcPr>
          <w:p w14:paraId="1726DD4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801" w:type="dxa"/>
            <w:shd w:val="clear" w:color="000000" w:fill="FFFFFF"/>
            <w:vAlign w:val="center"/>
          </w:tcPr>
          <w:p w14:paraId="4903367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套</w:t>
            </w:r>
          </w:p>
        </w:tc>
      </w:tr>
      <w:tr w14:paraId="22BBD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71B467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4</w:t>
            </w:r>
          </w:p>
        </w:tc>
        <w:tc>
          <w:tcPr>
            <w:tcW w:w="1180" w:type="dxa"/>
            <w:shd w:val="clear" w:color="000000" w:fill="FFFFFF"/>
            <w:vAlign w:val="center"/>
          </w:tcPr>
          <w:p w14:paraId="3C69E6A4">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无线传屏盒子</w:t>
            </w:r>
          </w:p>
        </w:tc>
        <w:tc>
          <w:tcPr>
            <w:tcW w:w="5296" w:type="dxa"/>
            <w:vAlign w:val="center"/>
          </w:tcPr>
          <w:p w14:paraId="45C2050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1）内置接收模块；</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2）支持操作系统：Win7/Win8/Win8.1/Win10/MacOS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3）无线频段：IEEE 802.11 a/b/g/n， 支持5.8GHz采用单按键设计；</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4）支持同时连接6个无线传屏器；</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5）支持外部电脑在触摸一体机上做扩展屏显示，且支持触摸回传。</w:t>
            </w:r>
          </w:p>
        </w:tc>
        <w:tc>
          <w:tcPr>
            <w:tcW w:w="640" w:type="dxa"/>
            <w:shd w:val="clear" w:color="000000" w:fill="FFFFFF"/>
            <w:vAlign w:val="center"/>
          </w:tcPr>
          <w:p w14:paraId="3F46F8F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20CAE4E5">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09DCD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B264D4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1180" w:type="dxa"/>
            <w:shd w:val="clear" w:color="000000" w:fill="FFFFFF"/>
            <w:vAlign w:val="center"/>
          </w:tcPr>
          <w:p w14:paraId="276FBF1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无线传屏器</w:t>
            </w:r>
          </w:p>
        </w:tc>
        <w:tc>
          <w:tcPr>
            <w:tcW w:w="5296" w:type="dxa"/>
            <w:vAlign w:val="center"/>
          </w:tcPr>
          <w:p w14:paraId="0502997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1）6核CPU，内置Android 7.1以上操作系统，存储容量16G ROM，系统内存4G RAM；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2）内置接收模块，支持触摸回传；</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3）支持外部电脑在经过产品连接的显示设备上做扩展屏显示；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4）支持H264、H265硬解码；</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5）无线频段：IEEE 802.11 a/b/g/n/ac，工作频率：2.4G/5GHZ，理想传输距离：30米；</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6）支持MAC OS、Windows、Android、IOS和Linux五种系统的投屏；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7）支持局域网传屏，手机、电脑可通过软件进行局域网投屏；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8）手机和电脑支持混合投屏展示，最多支持九画面同屏展示；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9）整机支持多种内容共享，最多高达16台设备的连接。</w:t>
            </w:r>
          </w:p>
        </w:tc>
        <w:tc>
          <w:tcPr>
            <w:tcW w:w="640" w:type="dxa"/>
            <w:shd w:val="clear" w:color="000000" w:fill="FFFFFF"/>
            <w:vAlign w:val="center"/>
          </w:tcPr>
          <w:p w14:paraId="4FC6485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04D210D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个</w:t>
            </w:r>
          </w:p>
        </w:tc>
      </w:tr>
      <w:tr w14:paraId="281BE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90E7B8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6</w:t>
            </w:r>
          </w:p>
        </w:tc>
        <w:tc>
          <w:tcPr>
            <w:tcW w:w="1180" w:type="dxa"/>
            <w:shd w:val="clear" w:color="000000" w:fill="FFFFFF"/>
            <w:vAlign w:val="center"/>
          </w:tcPr>
          <w:p w14:paraId="3BA5136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高清线（20米）</w:t>
            </w:r>
          </w:p>
        </w:tc>
        <w:tc>
          <w:tcPr>
            <w:tcW w:w="5296" w:type="dxa"/>
            <w:shd w:val="clear" w:color="000000" w:fill="FFFFFF"/>
            <w:vAlign w:val="center"/>
          </w:tcPr>
          <w:p w14:paraId="46E71756">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1）20米高清线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2）最大分辨率：8K@60Hz、4K@120Hz</w:t>
            </w:r>
          </w:p>
        </w:tc>
        <w:tc>
          <w:tcPr>
            <w:tcW w:w="640" w:type="dxa"/>
            <w:shd w:val="clear" w:color="000000" w:fill="FFFFFF"/>
            <w:vAlign w:val="center"/>
          </w:tcPr>
          <w:p w14:paraId="2A7716CF">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801" w:type="dxa"/>
            <w:shd w:val="clear" w:color="000000" w:fill="FFFFFF"/>
            <w:vAlign w:val="center"/>
          </w:tcPr>
          <w:p w14:paraId="35B2D18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6B645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528EC890">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7</w:t>
            </w:r>
          </w:p>
        </w:tc>
        <w:tc>
          <w:tcPr>
            <w:tcW w:w="1180" w:type="dxa"/>
            <w:shd w:val="clear" w:color="000000" w:fill="FFFFFF"/>
            <w:vAlign w:val="center"/>
          </w:tcPr>
          <w:p w14:paraId="4AB11D9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高清线（15米）</w:t>
            </w:r>
          </w:p>
        </w:tc>
        <w:tc>
          <w:tcPr>
            <w:tcW w:w="5296" w:type="dxa"/>
            <w:shd w:val="clear" w:color="000000" w:fill="FFFFFF"/>
            <w:vAlign w:val="center"/>
          </w:tcPr>
          <w:p w14:paraId="07C83B0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1）15米高清线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2）最大分辨率：8K@60Hz、4K@120Hz</w:t>
            </w:r>
          </w:p>
        </w:tc>
        <w:tc>
          <w:tcPr>
            <w:tcW w:w="640" w:type="dxa"/>
            <w:shd w:val="clear" w:color="000000" w:fill="FFFFFF"/>
            <w:vAlign w:val="center"/>
          </w:tcPr>
          <w:p w14:paraId="278DAFAC">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3</w:t>
            </w:r>
          </w:p>
        </w:tc>
        <w:tc>
          <w:tcPr>
            <w:tcW w:w="801" w:type="dxa"/>
            <w:shd w:val="clear" w:color="000000" w:fill="FFFFFF"/>
            <w:vAlign w:val="center"/>
          </w:tcPr>
          <w:p w14:paraId="0199267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4BB51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049FFAD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8</w:t>
            </w:r>
          </w:p>
        </w:tc>
        <w:tc>
          <w:tcPr>
            <w:tcW w:w="1180" w:type="dxa"/>
            <w:shd w:val="clear" w:color="000000" w:fill="FFFFFF"/>
            <w:vAlign w:val="center"/>
          </w:tcPr>
          <w:p w14:paraId="08673CF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高清线（2米）</w:t>
            </w:r>
          </w:p>
        </w:tc>
        <w:tc>
          <w:tcPr>
            <w:tcW w:w="5296" w:type="dxa"/>
            <w:shd w:val="clear" w:color="000000" w:fill="FFFFFF"/>
            <w:vAlign w:val="center"/>
          </w:tcPr>
          <w:p w14:paraId="7B9A72F2">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2米HDMI线: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1、99.99%无氧铜导体;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2、接头铜壳电镀24K金;内置马口铁，增强屏蔽以及防吊重 ;</w:t>
            </w:r>
          </w:p>
        </w:tc>
        <w:tc>
          <w:tcPr>
            <w:tcW w:w="640" w:type="dxa"/>
            <w:shd w:val="clear" w:color="000000" w:fill="FFFFFF"/>
            <w:vAlign w:val="center"/>
          </w:tcPr>
          <w:p w14:paraId="6F3895FD">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5</w:t>
            </w:r>
          </w:p>
        </w:tc>
        <w:tc>
          <w:tcPr>
            <w:tcW w:w="801" w:type="dxa"/>
            <w:shd w:val="clear" w:color="000000" w:fill="FFFFFF"/>
            <w:vAlign w:val="center"/>
          </w:tcPr>
          <w:p w14:paraId="68DEF04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条</w:t>
            </w:r>
          </w:p>
        </w:tc>
      </w:tr>
      <w:tr w14:paraId="70E5B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7D567AA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9</w:t>
            </w:r>
          </w:p>
        </w:tc>
        <w:tc>
          <w:tcPr>
            <w:tcW w:w="1180" w:type="dxa"/>
            <w:shd w:val="clear" w:color="000000" w:fill="FFFFFF"/>
            <w:vAlign w:val="center"/>
          </w:tcPr>
          <w:p w14:paraId="79AC5C77">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音频线</w:t>
            </w:r>
          </w:p>
        </w:tc>
        <w:tc>
          <w:tcPr>
            <w:tcW w:w="5296" w:type="dxa"/>
            <w:shd w:val="clear" w:color="000000" w:fill="FFFFFF"/>
            <w:vAlign w:val="center"/>
          </w:tcPr>
          <w:p w14:paraId="64642E8D">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1)内导体由多根4N 0.1mm优质无氧铜丝束绞而成；</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2)采用双向缠绕屏蔽工艺；</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3)导线截面mm2：0.3；</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4)芯×根/直径：2×37/0.1。</w:t>
            </w:r>
          </w:p>
        </w:tc>
        <w:tc>
          <w:tcPr>
            <w:tcW w:w="640" w:type="dxa"/>
            <w:shd w:val="clear" w:color="000000" w:fill="FFFFFF"/>
            <w:vAlign w:val="center"/>
          </w:tcPr>
          <w:p w14:paraId="725AB1A9">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100</w:t>
            </w:r>
          </w:p>
        </w:tc>
        <w:tc>
          <w:tcPr>
            <w:tcW w:w="801" w:type="dxa"/>
            <w:shd w:val="clear" w:color="000000" w:fill="FFFFFF"/>
            <w:vAlign w:val="center"/>
          </w:tcPr>
          <w:p w14:paraId="1C5E837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235BF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36DF7247">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w:t>
            </w:r>
          </w:p>
        </w:tc>
        <w:tc>
          <w:tcPr>
            <w:tcW w:w="1180" w:type="dxa"/>
            <w:shd w:val="clear" w:color="000000" w:fill="FFFFFF"/>
            <w:vAlign w:val="center"/>
          </w:tcPr>
          <w:p w14:paraId="352FDBA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音箱线</w:t>
            </w:r>
          </w:p>
        </w:tc>
        <w:tc>
          <w:tcPr>
            <w:tcW w:w="5296" w:type="dxa"/>
            <w:shd w:val="clear" w:color="000000" w:fill="FFFFFF"/>
            <w:vAlign w:val="center"/>
          </w:tcPr>
          <w:p w14:paraId="080A1838">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2*200</w:t>
            </w:r>
          </w:p>
        </w:tc>
        <w:tc>
          <w:tcPr>
            <w:tcW w:w="640" w:type="dxa"/>
            <w:shd w:val="clear" w:color="000000" w:fill="FFFFFF"/>
            <w:vAlign w:val="center"/>
          </w:tcPr>
          <w:p w14:paraId="064FD691">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100</w:t>
            </w:r>
          </w:p>
        </w:tc>
        <w:tc>
          <w:tcPr>
            <w:tcW w:w="801" w:type="dxa"/>
            <w:shd w:val="clear" w:color="000000" w:fill="FFFFFF"/>
            <w:vAlign w:val="center"/>
          </w:tcPr>
          <w:p w14:paraId="3FE73152">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7C407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1B028CF4">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11</w:t>
            </w:r>
          </w:p>
        </w:tc>
        <w:tc>
          <w:tcPr>
            <w:tcW w:w="1180" w:type="dxa"/>
            <w:shd w:val="clear" w:color="000000" w:fill="FFFFFF"/>
            <w:vAlign w:val="center"/>
          </w:tcPr>
          <w:p w14:paraId="4BE62E5A">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电线</w:t>
            </w:r>
          </w:p>
        </w:tc>
        <w:tc>
          <w:tcPr>
            <w:tcW w:w="5296" w:type="dxa"/>
            <w:shd w:val="clear" w:color="000000" w:fill="FFFFFF"/>
            <w:vAlign w:val="center"/>
          </w:tcPr>
          <w:p w14:paraId="588D17FF">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1)国标，纯铜聚氯乙烯绝缘聚氯乙烯护套软电源线，RVV3*2.5。</w:t>
            </w:r>
          </w:p>
        </w:tc>
        <w:tc>
          <w:tcPr>
            <w:tcW w:w="640" w:type="dxa"/>
            <w:shd w:val="clear" w:color="000000" w:fill="FFFFFF"/>
            <w:vAlign w:val="center"/>
          </w:tcPr>
          <w:p w14:paraId="37DE81A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100</w:t>
            </w:r>
          </w:p>
        </w:tc>
        <w:tc>
          <w:tcPr>
            <w:tcW w:w="801" w:type="dxa"/>
            <w:shd w:val="clear" w:color="000000" w:fill="FFFFFF"/>
            <w:vAlign w:val="center"/>
          </w:tcPr>
          <w:p w14:paraId="6E20D2B6">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米</w:t>
            </w:r>
          </w:p>
        </w:tc>
      </w:tr>
      <w:tr w14:paraId="5B9D4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40" w:type="dxa"/>
            <w:shd w:val="clear" w:color="000000" w:fill="FFFFFF"/>
            <w:vAlign w:val="center"/>
          </w:tcPr>
          <w:p w14:paraId="4F476113">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12</w:t>
            </w:r>
          </w:p>
        </w:tc>
        <w:tc>
          <w:tcPr>
            <w:tcW w:w="1180" w:type="dxa"/>
            <w:shd w:val="clear" w:color="000000" w:fill="FFFFFF"/>
            <w:vAlign w:val="center"/>
          </w:tcPr>
          <w:p w14:paraId="00640879">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其它辅件</w:t>
            </w:r>
          </w:p>
        </w:tc>
        <w:tc>
          <w:tcPr>
            <w:tcW w:w="5296" w:type="dxa"/>
            <w:shd w:val="clear" w:color="000000" w:fill="FFFFFF"/>
            <w:vAlign w:val="center"/>
          </w:tcPr>
          <w:p w14:paraId="18A5B305">
            <w:pPr>
              <w:widowControl/>
              <w:adjustRightInd w:val="0"/>
              <w:snapToGrid w:val="0"/>
              <w:rPr>
                <w:rFonts w:hint="eastAsia" w:ascii="宋体" w:hAnsi="宋体" w:eastAsia="宋体" w:cs="宋体"/>
                <w:kern w:val="0"/>
                <w:sz w:val="20"/>
                <w:szCs w:val="20"/>
              </w:rPr>
            </w:pPr>
            <w:r>
              <w:rPr>
                <w:rFonts w:hint="eastAsia" w:ascii="宋体" w:hAnsi="宋体" w:eastAsia="宋体" w:cs="宋体"/>
                <w:kern w:val="0"/>
                <w:sz w:val="20"/>
                <w:szCs w:val="20"/>
              </w:rPr>
              <w:t>1)满足集成系统所需要辅件及配件；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2)线管、线槽、接插头、跳线、盲板；</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3)相关连接配件及集成辅件；</w:t>
            </w:r>
          </w:p>
        </w:tc>
        <w:tc>
          <w:tcPr>
            <w:tcW w:w="640" w:type="dxa"/>
            <w:shd w:val="clear" w:color="000000" w:fill="FFFFFF"/>
            <w:vAlign w:val="center"/>
          </w:tcPr>
          <w:p w14:paraId="27D18EFA">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1</w:t>
            </w:r>
          </w:p>
        </w:tc>
        <w:tc>
          <w:tcPr>
            <w:tcW w:w="801" w:type="dxa"/>
            <w:shd w:val="clear" w:color="000000" w:fill="FFFFFF"/>
            <w:vAlign w:val="center"/>
          </w:tcPr>
          <w:p w14:paraId="2D66CB98">
            <w:pPr>
              <w:widowControl/>
              <w:adjustRightInd w:val="0"/>
              <w:snapToGrid w:val="0"/>
              <w:jc w:val="center"/>
              <w:rPr>
                <w:rFonts w:hint="eastAsia" w:ascii="宋体" w:hAnsi="宋体" w:eastAsia="宋体" w:cs="宋体"/>
                <w:kern w:val="0"/>
                <w:sz w:val="20"/>
                <w:szCs w:val="20"/>
              </w:rPr>
            </w:pPr>
            <w:r>
              <w:rPr>
                <w:rFonts w:hint="eastAsia" w:ascii="宋体" w:hAnsi="宋体" w:eastAsia="宋体" w:cs="宋体"/>
                <w:kern w:val="0"/>
                <w:sz w:val="20"/>
                <w:szCs w:val="20"/>
              </w:rPr>
              <w:t>批</w:t>
            </w:r>
          </w:p>
        </w:tc>
      </w:tr>
    </w:tbl>
    <w:p w14:paraId="3C253788">
      <w:pPr>
        <w:adjustRightInd w:val="0"/>
        <w:snapToGrid w:val="0"/>
        <w:spacing w:line="360" w:lineRule="auto"/>
        <w:rPr>
          <w:rFonts w:hint="eastAsia" w:ascii="宋体" w:hAnsi="宋体" w:eastAsia="宋体"/>
        </w:rPr>
      </w:pPr>
    </w:p>
    <w:p w14:paraId="7AD0321F">
      <w:pPr>
        <w:spacing w:line="560" w:lineRule="exact"/>
        <w:ind w:firstLine="444"/>
        <w:rPr>
          <w:rFonts w:hint="eastAsia" w:ascii="宋体" w:hAnsi="宋体" w:eastAsia="宋体"/>
        </w:rPr>
      </w:pPr>
    </w:p>
    <w:p w14:paraId="201FC7AC">
      <w:pPr>
        <w:rPr>
          <w:rFonts w:hint="eastAsia" w:ascii="宋体" w:hAnsi="宋体" w:eastAsia="宋体"/>
          <w:sz w:val="24"/>
        </w:rPr>
      </w:pPr>
    </w:p>
    <w:p w14:paraId="5F7DA9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0" w:leftChars="0"/>
        <w:textAlignment w:val="auto"/>
        <w:rPr>
          <w:rFonts w:hint="default" w:ascii="微软雅黑" w:hAnsi="微软雅黑" w:eastAsia="微软雅黑" w:cs="微软雅黑"/>
          <w:b w:val="0"/>
          <w:bCs w:val="0"/>
          <w:color w:val="000000"/>
          <w:sz w:val="24"/>
          <w:szCs w:val="24"/>
          <w:lang w:val="en-US" w:eastAsia="zh-CN"/>
        </w:rPr>
      </w:pPr>
      <w:r>
        <w:rPr>
          <w:rFonts w:hint="eastAsia" w:ascii="微软雅黑" w:hAnsi="微软雅黑" w:eastAsia="微软雅黑" w:cs="微软雅黑"/>
          <w:color w:val="000000"/>
          <w:kern w:val="2"/>
          <w:sz w:val="24"/>
          <w:szCs w:val="24"/>
          <w:highlight w:val="none"/>
          <w:lang w:val="en-US" w:eastAsia="zh-CN" w:bidi="ar-SA"/>
        </w:rPr>
        <w:t xml:space="preserve"> </w:t>
      </w:r>
    </w:p>
    <w:p w14:paraId="29E7CABC">
      <w:pPr>
        <w:pStyle w:val="77"/>
        <w:rPr>
          <w:rFonts w:hint="eastAsia" w:ascii="微软雅黑" w:hAnsi="微软雅黑" w:eastAsia="微软雅黑" w:cs="微软雅黑"/>
          <w:b/>
          <w:bCs/>
        </w:rPr>
      </w:pPr>
    </w:p>
    <w:p w14:paraId="41362990">
      <w:pPr>
        <w:pStyle w:val="77"/>
        <w:rPr>
          <w:rFonts w:hint="eastAsia" w:ascii="微软雅黑" w:hAnsi="微软雅黑" w:eastAsia="微软雅黑" w:cs="微软雅黑"/>
          <w:b/>
          <w:bCs/>
        </w:rPr>
      </w:pPr>
    </w:p>
    <w:p w14:paraId="654EBC09">
      <w:pPr>
        <w:pStyle w:val="77"/>
        <w:rPr>
          <w:rFonts w:hint="eastAsia" w:ascii="微软雅黑" w:hAnsi="微软雅黑" w:eastAsia="微软雅黑" w:cs="微软雅黑"/>
          <w:b/>
          <w:bCs/>
        </w:rPr>
      </w:pPr>
    </w:p>
    <w:p w14:paraId="03A4D662">
      <w:pPr>
        <w:rPr>
          <w:rFonts w:hint="eastAsia" w:ascii="微软雅黑" w:hAnsi="微软雅黑" w:eastAsia="微软雅黑" w:cs="微软雅黑"/>
          <w:b/>
          <w:bCs/>
        </w:rPr>
      </w:pPr>
      <w:r>
        <w:rPr>
          <w:rFonts w:hint="eastAsia" w:ascii="微软雅黑" w:hAnsi="微软雅黑" w:eastAsia="微软雅黑" w:cs="微软雅黑"/>
          <w:b/>
          <w:bCs/>
        </w:rPr>
        <w:br w:type="page"/>
      </w:r>
    </w:p>
    <w:p w14:paraId="65FC9170">
      <w:pPr>
        <w:spacing w:line="360" w:lineRule="auto"/>
        <w:jc w:val="center"/>
        <w:outlineLvl w:val="0"/>
        <w:rPr>
          <w:rFonts w:ascii="宋体" w:hAnsi="Calibri" w:eastAsia="宋体" w:cs="Times New Roman"/>
          <w:b/>
          <w:sz w:val="36"/>
          <w:szCs w:val="36"/>
        </w:rPr>
      </w:pPr>
      <w:bookmarkStart w:id="28" w:name="_Toc28859"/>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三</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28"/>
    </w:p>
    <w:p w14:paraId="1BCCEE70">
      <w:pPr>
        <w:spacing w:line="360" w:lineRule="auto"/>
        <w:jc w:val="center"/>
        <w:rPr>
          <w:rFonts w:ascii="仿宋_GB2312" w:hAnsi="仿宋_GB2312" w:eastAsia="仿宋_GB2312" w:cs="仿宋_GB2312"/>
          <w:w w:val="90"/>
          <w:sz w:val="24"/>
          <w:szCs w:val="24"/>
        </w:rPr>
      </w:pPr>
      <w:r>
        <w:rPr>
          <w:rFonts w:ascii="宋体" w:hAnsi="宋体"/>
          <w:sz w:val="20"/>
          <w:szCs w:val="20"/>
        </w:rPr>
        <w:t xml:space="preserve">                                      </w:t>
      </w:r>
      <w:r>
        <w:rPr>
          <w:rFonts w:hint="eastAsia" w:ascii="宋体" w:hAnsi="宋体"/>
          <w:sz w:val="20"/>
          <w:szCs w:val="20"/>
        </w:rPr>
        <w:t xml:space="preserve">  </w:t>
      </w:r>
    </w:p>
    <w:p w14:paraId="5F634A58">
      <w:pPr>
        <w:spacing w:line="360" w:lineRule="auto"/>
        <w:jc w:val="center"/>
        <w:rPr>
          <w:rFonts w:ascii="方正小标宋简体" w:hAnsi="方正小标宋简体" w:eastAsia="方正小标宋简体" w:cs="方正小标宋简体"/>
          <w:w w:val="90"/>
          <w:sz w:val="44"/>
          <w:szCs w:val="44"/>
        </w:rPr>
      </w:pPr>
      <w:bookmarkStart w:id="29" w:name="OLE_LINK2"/>
    </w:p>
    <w:p w14:paraId="0BFD3DCF">
      <w:pPr>
        <w:spacing w:line="360" w:lineRule="auto"/>
        <w:jc w:val="center"/>
        <w:rPr>
          <w:rFonts w:ascii="方正小标宋简体" w:hAnsi="方正小标宋简体" w:eastAsia="方正小标宋简体" w:cs="方正小标宋简体"/>
          <w:w w:val="90"/>
          <w:sz w:val="48"/>
          <w:szCs w:val="48"/>
        </w:rPr>
      </w:pPr>
    </w:p>
    <w:p w14:paraId="5C80CFFA">
      <w:pPr>
        <w:spacing w:line="360" w:lineRule="auto"/>
        <w:jc w:val="center"/>
        <w:rPr>
          <w:rFonts w:ascii="方正小标宋简体" w:hAnsi="方正小标宋简体" w:eastAsia="方正小标宋简体" w:cs="方正小标宋简体"/>
          <w:w w:val="90"/>
          <w:sz w:val="48"/>
          <w:szCs w:val="48"/>
        </w:rPr>
      </w:pPr>
    </w:p>
    <w:p w14:paraId="4DDE4980">
      <w:pPr>
        <w:spacing w:line="360" w:lineRule="auto"/>
        <w:jc w:val="center"/>
        <w:rPr>
          <w:rFonts w:ascii="方正小标宋简体" w:hAnsi="方正小标宋简体" w:eastAsia="方正小标宋简体" w:cs="方正小标宋简体"/>
          <w:w w:val="90"/>
          <w:sz w:val="48"/>
          <w:szCs w:val="48"/>
        </w:rPr>
      </w:pPr>
    </w:p>
    <w:p w14:paraId="0DEC782F">
      <w:pPr>
        <w:spacing w:line="360" w:lineRule="auto"/>
        <w:jc w:val="center"/>
        <w:rPr>
          <w:rFonts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374BCF89">
      <w:pPr>
        <w:spacing w:line="360" w:lineRule="auto"/>
        <w:jc w:val="center"/>
        <w:rPr>
          <w:rFonts w:ascii="仿宋_GB2312" w:hAnsi="仿宋_GB2312" w:eastAsia="仿宋_GB2312" w:cs="仿宋_GB2312"/>
          <w:bCs/>
          <w:sz w:val="24"/>
          <w:szCs w:val="24"/>
        </w:rPr>
      </w:pPr>
    </w:p>
    <w:p w14:paraId="2EFBD865">
      <w:pPr>
        <w:spacing w:line="360" w:lineRule="auto"/>
        <w:jc w:val="center"/>
        <w:rPr>
          <w:rFonts w:ascii="仿宋_GB2312" w:hAnsi="仿宋_GB2312" w:eastAsia="仿宋_GB2312" w:cs="仿宋_GB2312"/>
          <w:bCs/>
          <w:sz w:val="24"/>
          <w:szCs w:val="24"/>
        </w:rPr>
      </w:pPr>
    </w:p>
    <w:p w14:paraId="68078356">
      <w:pPr>
        <w:spacing w:line="360" w:lineRule="auto"/>
        <w:ind w:firstLine="2160" w:firstLineChars="900"/>
        <w:jc w:val="left"/>
        <w:rPr>
          <w:rFonts w:ascii="仿宋_GB2312" w:hAnsi="仿宋_GB2312" w:eastAsia="仿宋_GB2312" w:cs="仿宋_GB2312"/>
          <w:bCs/>
          <w:sz w:val="24"/>
          <w:szCs w:val="24"/>
        </w:rPr>
      </w:pPr>
      <w:r>
        <w:rPr>
          <w:rFonts w:hint="eastAsia" w:ascii="仿宋_GB2312" w:hAnsi="仿宋_GB2312" w:eastAsia="仿宋_GB2312" w:cs="仿宋_GB2312"/>
          <w:bCs/>
          <w:sz w:val="24"/>
          <w:szCs w:val="24"/>
        </w:rPr>
        <w:t xml:space="preserve">合同项目名称： </w:t>
      </w:r>
      <w:permStart w:id="0" w:edGrp="everyone"/>
      <w:r>
        <w:rPr>
          <w:rFonts w:hint="eastAsia" w:ascii="仿宋_GB2312" w:hAnsi="仿宋_GB2312" w:eastAsia="仿宋_GB2312" w:cs="仿宋_GB2312"/>
          <w:b/>
          <w:sz w:val="24"/>
          <w:szCs w:val="24"/>
          <w:u w:val="single"/>
        </w:rPr>
        <w:t>合同项目名称</w:t>
      </w:r>
      <w:permEnd w:id="0"/>
    </w:p>
    <w:p w14:paraId="49E3410B">
      <w:pPr>
        <w:spacing w:line="360" w:lineRule="auto"/>
        <w:ind w:firstLine="2160" w:firstLineChars="900"/>
        <w:jc w:val="left"/>
        <w:rPr>
          <w:rFonts w:ascii="仿宋_GB2312" w:hAnsi="仿宋_GB2312" w:eastAsia="仿宋_GB2312" w:cs="仿宋_GB2312"/>
          <w:bCs/>
          <w:sz w:val="24"/>
          <w:szCs w:val="24"/>
        </w:rPr>
      </w:pPr>
    </w:p>
    <w:p w14:paraId="1E20916A">
      <w:pPr>
        <w:spacing w:line="360" w:lineRule="auto"/>
        <w:ind w:firstLine="2160" w:firstLineChars="900"/>
        <w:jc w:val="left"/>
        <w:rPr>
          <w:rFonts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permStart w:id="1" w:edGrp="everyone"/>
      <w:r>
        <w:rPr>
          <w:rFonts w:hint="eastAsia" w:ascii="仿宋_GB2312" w:hAnsi="仿宋_GB2312" w:eastAsia="仿宋_GB2312" w:cs="仿宋_GB2312"/>
          <w:b/>
          <w:sz w:val="24"/>
          <w:szCs w:val="24"/>
          <w:u w:val="single"/>
        </w:rPr>
        <w:t>甲方单位全称</w:t>
      </w:r>
      <w:permEnd w:id="1"/>
    </w:p>
    <w:p w14:paraId="40062797">
      <w:pPr>
        <w:spacing w:line="360" w:lineRule="auto"/>
        <w:ind w:firstLine="2168" w:firstLineChars="900"/>
        <w:jc w:val="left"/>
        <w:rPr>
          <w:rFonts w:ascii="仿宋_GB2312" w:hAnsi="仿宋_GB2312" w:eastAsia="仿宋_GB2312" w:cs="仿宋_GB2312"/>
          <w:b/>
          <w:sz w:val="24"/>
          <w:szCs w:val="24"/>
          <w:u w:val="single"/>
        </w:rPr>
      </w:pPr>
    </w:p>
    <w:p w14:paraId="01BF682C">
      <w:pPr>
        <w:ind w:firstLine="2160" w:firstLineChars="900"/>
        <w:jc w:val="left"/>
        <w:rPr>
          <w:rFonts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permStart w:id="2" w:edGrp="everyone"/>
      <w:r>
        <w:rPr>
          <w:rFonts w:hint="eastAsia" w:ascii="仿宋_GB2312" w:hAnsi="仿宋_GB2312" w:eastAsia="仿宋_GB2312" w:cs="仿宋_GB2312"/>
          <w:b/>
          <w:sz w:val="24"/>
          <w:szCs w:val="24"/>
          <w:u w:val="single"/>
        </w:rPr>
        <w:t>乙方单位全称</w:t>
      </w:r>
      <w:permEnd w:id="2"/>
    </w:p>
    <w:p w14:paraId="175A61BC">
      <w:pPr>
        <w:ind w:left="1680" w:firstLine="420"/>
        <w:jc w:val="left"/>
        <w:rPr>
          <w:rFonts w:ascii="仿宋_GB2312" w:hAnsi="仿宋_GB2312" w:eastAsia="仿宋_GB2312" w:cs="仿宋_GB2312"/>
          <w:b/>
          <w:sz w:val="24"/>
          <w:szCs w:val="24"/>
          <w:u w:val="single"/>
        </w:rPr>
      </w:pPr>
    </w:p>
    <w:p w14:paraId="5D53AC8F">
      <w:pPr>
        <w:ind w:left="1680" w:firstLine="600"/>
        <w:jc w:val="left"/>
        <w:rPr>
          <w:rFonts w:ascii="仿宋_GB2312" w:hAnsi="仿宋_GB2312" w:eastAsia="仿宋_GB2312" w:cs="仿宋_GB2312"/>
          <w:b/>
          <w:sz w:val="24"/>
          <w:szCs w:val="24"/>
          <w:u w:val="single"/>
        </w:rPr>
      </w:pPr>
    </w:p>
    <w:p w14:paraId="10282BBC">
      <w:pPr>
        <w:ind w:left="2100"/>
        <w:jc w:val="left"/>
        <w:rPr>
          <w:rFonts w:ascii="仿宋_GB2312" w:hAnsi="仿宋_GB2312" w:eastAsia="仿宋_GB2312" w:cs="仿宋_GB2312"/>
          <w:b/>
          <w:sz w:val="24"/>
          <w:szCs w:val="24"/>
          <w:u w:val="single"/>
        </w:rPr>
      </w:pPr>
      <w:r>
        <w:rPr>
          <w:rFonts w:hint="eastAsia" w:ascii="仿宋_GB2312" w:hAnsi="仿宋_GB2312" w:eastAsia="仿宋_GB2312" w:cs="仿宋_GB2312"/>
          <w:bCs/>
          <w:sz w:val="24"/>
          <w:szCs w:val="24"/>
          <w:u w:val="single"/>
        </w:rPr>
        <w:t>丙方（制造商）：</w:t>
      </w:r>
      <w:r>
        <w:rPr>
          <w:rFonts w:ascii="仿宋_GB2312" w:hAnsi="仿宋_GB2312" w:eastAsia="仿宋_GB2312" w:cs="仿宋_GB2312"/>
          <w:bCs/>
          <w:sz w:val="24"/>
          <w:szCs w:val="24"/>
        </w:rPr>
        <w:t xml:space="preserve"> </w:t>
      </w:r>
      <w:permStart w:id="3" w:edGrp="everyone"/>
      <w:r>
        <w:rPr>
          <w:rFonts w:hint="eastAsia" w:ascii="仿宋_GB2312" w:hAnsi="仿宋_GB2312" w:eastAsia="仿宋_GB2312" w:cs="仿宋_GB2312"/>
          <w:b/>
          <w:sz w:val="24"/>
          <w:szCs w:val="24"/>
          <w:highlight w:val="yellow"/>
          <w:u w:val="single"/>
        </w:rPr>
        <w:t>丙方单位全称</w:t>
      </w:r>
      <w:permEnd w:id="3"/>
    </w:p>
    <w:p w14:paraId="30BC3431">
      <w:pPr>
        <w:spacing w:line="360" w:lineRule="auto"/>
        <w:ind w:firstLine="2168" w:firstLineChars="900"/>
        <w:jc w:val="center"/>
        <w:rPr>
          <w:rFonts w:ascii="仿宋_GB2312" w:hAnsi="仿宋_GB2312" w:eastAsia="仿宋_GB2312" w:cs="仿宋_GB2312"/>
          <w:b/>
          <w:sz w:val="24"/>
          <w:szCs w:val="24"/>
          <w:u w:val="single"/>
        </w:rPr>
      </w:pPr>
    </w:p>
    <w:p w14:paraId="69E2B749">
      <w:pPr>
        <w:spacing w:line="360" w:lineRule="auto"/>
        <w:ind w:firstLine="2168" w:firstLineChars="900"/>
        <w:jc w:val="center"/>
        <w:rPr>
          <w:rFonts w:ascii="仿宋_GB2312" w:hAnsi="仿宋_GB2312" w:eastAsia="仿宋_GB2312" w:cs="仿宋_GB2312"/>
          <w:b/>
          <w:sz w:val="24"/>
          <w:szCs w:val="24"/>
          <w:u w:val="single"/>
        </w:rPr>
      </w:pPr>
    </w:p>
    <w:p w14:paraId="2B24D60D">
      <w:pPr>
        <w:spacing w:line="360" w:lineRule="auto"/>
        <w:ind w:firstLine="2168" w:firstLineChars="900"/>
        <w:jc w:val="center"/>
        <w:rPr>
          <w:rFonts w:ascii="仿宋_GB2312" w:hAnsi="仿宋_GB2312" w:eastAsia="仿宋_GB2312" w:cs="仿宋_GB2312"/>
          <w:b/>
          <w:sz w:val="24"/>
          <w:szCs w:val="24"/>
          <w:u w:val="single"/>
        </w:rPr>
      </w:pPr>
    </w:p>
    <w:p w14:paraId="73880ACB">
      <w:pPr>
        <w:spacing w:line="360" w:lineRule="auto"/>
        <w:jc w:val="left"/>
        <w:rPr>
          <w:rFonts w:ascii="仿宋_GB2312" w:hAnsi="仿宋_GB2312" w:eastAsia="仿宋_GB2312" w:cs="仿宋_GB2312"/>
          <w:b/>
          <w:sz w:val="24"/>
          <w:szCs w:val="24"/>
          <w:u w:val="single"/>
        </w:rPr>
      </w:pPr>
      <w:r>
        <w:rPr>
          <w:rFonts w:hint="eastAsia" w:ascii="仿宋_GB2312" w:hAnsi="仿宋_GB2312" w:eastAsia="仿宋_GB2312" w:cs="仿宋_GB2312"/>
          <w:bCs/>
          <w:sz w:val="24"/>
          <w:szCs w:val="24"/>
        </w:rPr>
        <w:t>合同签订地点：</w:t>
      </w:r>
      <w:permStart w:id="4" w:edGrp="everyone"/>
      <w:r>
        <w:rPr>
          <w:rFonts w:hint="eastAsia" w:ascii="仿宋_GB2312" w:hAnsi="仿宋_GB2312" w:eastAsia="仿宋_GB2312" w:cs="仿宋_GB2312"/>
          <w:b/>
          <w:sz w:val="24"/>
          <w:szCs w:val="24"/>
          <w:u w:val="single"/>
        </w:rPr>
        <w:t>填写甲方所在县级行政区划，如“山东省济南市高新区/章丘区”等</w:t>
      </w:r>
      <w:permEnd w:id="4"/>
    </w:p>
    <w:p w14:paraId="2FFF2116">
      <w:pPr>
        <w:spacing w:line="360" w:lineRule="auto"/>
        <w:ind w:firstLine="2160" w:firstLineChars="900"/>
        <w:jc w:val="left"/>
        <w:rPr>
          <w:rFonts w:ascii="仿宋_GB2312" w:hAnsi="仿宋_GB2312" w:eastAsia="仿宋_GB2312" w:cs="仿宋_GB2312"/>
          <w:bCs/>
          <w:sz w:val="24"/>
          <w:szCs w:val="24"/>
        </w:rPr>
      </w:pPr>
    </w:p>
    <w:p w14:paraId="49F7C3C6">
      <w:pPr>
        <w:spacing w:line="360" w:lineRule="auto"/>
        <w:ind w:firstLine="2160" w:firstLineChars="900"/>
        <w:jc w:val="left"/>
        <w:rPr>
          <w:rFonts w:ascii="仿宋_GB2312" w:hAnsi="仿宋_GB2312" w:eastAsia="仿宋_GB2312" w:cs="仿宋_GB2312"/>
          <w:b/>
          <w:sz w:val="24"/>
          <w:szCs w:val="24"/>
          <w:u w:val="single"/>
        </w:rPr>
        <w:sectPr>
          <w:footerReference r:id="rId6" w:type="default"/>
          <w:pgSz w:w="11907" w:h="16840"/>
          <w:pgMar w:top="1304" w:right="1418" w:bottom="1304" w:left="1418" w:header="724" w:footer="851" w:gutter="0"/>
          <w:pgNumType w:start="1"/>
          <w:cols w:space="720" w:num="1"/>
          <w:docGrid w:linePitch="290" w:charSpace="-3931"/>
        </w:sectPr>
      </w:pPr>
      <w:r>
        <w:rPr>
          <w:rFonts w:hint="eastAsia" w:ascii="仿宋_GB2312" w:hAnsi="仿宋_GB2312" w:eastAsia="仿宋_GB2312" w:cs="仿宋_GB2312"/>
          <w:bCs/>
          <w:sz w:val="24"/>
          <w:szCs w:val="24"/>
        </w:rPr>
        <w:t>合同签订时间：</w:t>
      </w:r>
      <w:permStart w:id="5" w:edGrp="everyone"/>
      <w:r>
        <w:rPr>
          <w:rFonts w:hint="eastAsia" w:ascii="仿宋_GB2312" w:hAnsi="仿宋_GB2312" w:eastAsia="仿宋_GB2312" w:cs="仿宋_GB2312"/>
          <w:b/>
          <w:sz w:val="24"/>
          <w:szCs w:val="24"/>
          <w:u w:val="single"/>
        </w:rPr>
        <w:t>按****年**月**日形式据实填写</w:t>
      </w:r>
      <w:permEnd w:id="5"/>
    </w:p>
    <w:p w14:paraId="37C5233B">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5774862C">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A0CB3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鉴于，买方通过卖方购买</w:t>
      </w:r>
      <w:permStart w:id="6" w:edGrp="everyone"/>
      <w:r>
        <w:rPr>
          <w:rFonts w:hint="eastAsia" w:ascii="仿宋_GB2312" w:hAnsi="仿宋_GB2312" w:eastAsia="仿宋_GB2312" w:cs="仿宋_GB2312"/>
          <w:b/>
          <w:bCs/>
          <w:sz w:val="24"/>
          <w:szCs w:val="24"/>
          <w:u w:val="single"/>
        </w:rPr>
        <w:t>设备名称概括</w:t>
      </w:r>
      <w:permEnd w:id="6"/>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卖方已获本合同制造商正式授权，拥有合法有效的代理资质销售本合同产品。就该设备的设计、制造、运输、定点卸货、安装或指导安装、调试、验收、培训及售后服务等有关问题，在自愿协商的基础上达成本合同。</w:t>
      </w:r>
    </w:p>
    <w:p w14:paraId="6DA8FA04">
      <w:pPr>
        <w:pStyle w:val="3"/>
        <w:ind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41B30C7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1.1合同总价：为共同完成</w:t>
      </w:r>
      <w:permStart w:id="7" w:edGrp="everyone"/>
      <w:r>
        <w:rPr>
          <w:rFonts w:hint="eastAsia" w:ascii="仿宋_GB2312" w:hAnsi="仿宋_GB2312" w:eastAsia="仿宋_GB2312" w:cs="仿宋_GB2312"/>
          <w:b/>
          <w:bCs/>
          <w:sz w:val="24"/>
          <w:szCs w:val="24"/>
          <w:u w:val="single"/>
        </w:rPr>
        <w:t>合同项目名称</w:t>
      </w:r>
      <w:permEnd w:id="7"/>
      <w:r>
        <w:rPr>
          <w:rFonts w:hint="eastAsia" w:ascii="仿宋_GB2312" w:hAnsi="仿宋_GB2312" w:eastAsia="仿宋_GB2312" w:cs="仿宋_GB2312"/>
          <w:sz w:val="24"/>
          <w:szCs w:val="24"/>
        </w:rPr>
        <w:t>，买方向卖方购买设备一宗，详见附件《设备清单明细表》，本合同不含税总价为</w:t>
      </w:r>
      <w:permStart w:id="8" w:edGrp="everyone"/>
      <w:r>
        <w:rPr>
          <w:rFonts w:hint="eastAsia" w:ascii="仿宋_GB2312" w:hAnsi="仿宋_GB2312" w:eastAsia="仿宋_GB2312" w:cs="仿宋_GB2312"/>
          <w:b/>
          <w:bCs/>
          <w:sz w:val="24"/>
          <w:szCs w:val="24"/>
          <w:u w:val="single"/>
        </w:rPr>
        <w:t>不含税总价小写，数值，小数点后保留两位</w:t>
      </w:r>
      <w:permEnd w:id="8"/>
      <w:r>
        <w:rPr>
          <w:rFonts w:hint="eastAsia" w:ascii="仿宋_GB2312" w:hAnsi="仿宋_GB2312" w:eastAsia="仿宋_GB2312" w:cs="仿宋_GB2312"/>
          <w:sz w:val="24"/>
          <w:szCs w:val="24"/>
        </w:rPr>
        <w:t>元，税额</w:t>
      </w:r>
      <w:permStart w:id="9" w:edGrp="everyone"/>
      <w:r>
        <w:rPr>
          <w:rFonts w:hint="eastAsia" w:ascii="仿宋_GB2312" w:hAnsi="仿宋_GB2312" w:eastAsia="仿宋_GB2312" w:cs="仿宋_GB2312"/>
          <w:b/>
          <w:bCs/>
          <w:sz w:val="24"/>
          <w:szCs w:val="24"/>
          <w:u w:val="single"/>
        </w:rPr>
        <w:t>合计税额小写，数值，小数点后保留两位</w:t>
      </w:r>
      <w:permEnd w:id="9"/>
      <w:r>
        <w:rPr>
          <w:rFonts w:hint="eastAsia" w:ascii="仿宋_GB2312" w:hAnsi="仿宋_GB2312" w:eastAsia="仿宋_GB2312" w:cs="仿宋_GB2312"/>
          <w:sz w:val="24"/>
          <w:szCs w:val="24"/>
        </w:rPr>
        <w:t>元，含税总价</w:t>
      </w:r>
      <w:permStart w:id="10" w:edGrp="everyone"/>
      <w:r>
        <w:rPr>
          <w:rFonts w:hint="eastAsia" w:ascii="仿宋_GB2312" w:hAnsi="仿宋_GB2312" w:eastAsia="仿宋_GB2312" w:cs="仿宋_GB2312"/>
          <w:b/>
          <w:bCs/>
          <w:sz w:val="24"/>
          <w:szCs w:val="24"/>
          <w:u w:val="single"/>
        </w:rPr>
        <w:t>含税总价小写，数值，小数点后保留两位</w:t>
      </w:r>
      <w:permEnd w:id="10"/>
      <w:r>
        <w:rPr>
          <w:rFonts w:hint="eastAsia" w:ascii="仿宋_GB2312" w:hAnsi="仿宋_GB2312" w:eastAsia="仿宋_GB2312" w:cs="仿宋_GB2312"/>
          <w:sz w:val="24"/>
          <w:szCs w:val="24"/>
        </w:rPr>
        <w:t>元（大写：</w:t>
      </w:r>
      <w:permStart w:id="11" w:edGrp="everyone"/>
      <w:r>
        <w:rPr>
          <w:rFonts w:hint="eastAsia" w:ascii="仿宋_GB2312" w:hAnsi="仿宋_GB2312" w:eastAsia="仿宋_GB2312" w:cs="仿宋_GB2312"/>
          <w:b/>
          <w:bCs/>
          <w:sz w:val="24"/>
          <w:szCs w:val="24"/>
          <w:u w:val="single"/>
        </w:rPr>
        <w:t>含税总价大写</w:t>
      </w:r>
      <w:permEnd w:id="11"/>
      <w:r>
        <w:rPr>
          <w:rFonts w:hint="eastAsia" w:ascii="仿宋_GB2312" w:hAnsi="仿宋_GB2312" w:eastAsia="仿宋_GB2312" w:cs="仿宋_GB2312"/>
          <w:sz w:val="24"/>
          <w:szCs w:val="24"/>
        </w:rPr>
        <w:t>）。</w:t>
      </w:r>
    </w:p>
    <w:p w14:paraId="217B9C7E">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rPr>
        <w:t>1.2交货方式</w:t>
      </w:r>
      <w:r>
        <w:rPr>
          <w:rFonts w:hint="eastAsia" w:ascii="仿宋_GB2312" w:eastAsia="仿宋_GB2312" w:hAnsiTheme="minorEastAsia" w:cstheme="minorEastAsia"/>
          <w:bCs/>
          <w:sz w:val="24"/>
          <w:szCs w:val="24"/>
        </w:rPr>
        <w:t>：</w:t>
      </w:r>
      <w:permStart w:id="12" w:edGrp="everyone"/>
      <w:r>
        <w:rPr>
          <w:rFonts w:hint="eastAsia" w:ascii="仿宋_GB2312" w:hAnsi="宋体" w:eastAsia="仿宋_GB2312"/>
          <w:b/>
          <w:bCs/>
          <w:sz w:val="24"/>
          <w:szCs w:val="24"/>
          <w:u w:val="single"/>
        </w:rPr>
        <w:t>据实选择，可填写“交钥匙方式”“指定地点交货”“自提”任一方式，其他情况请据实填写</w:t>
      </w:r>
      <w:permEnd w:id="12"/>
      <w:r>
        <w:rPr>
          <w:rFonts w:hint="eastAsia" w:ascii="仿宋_GB2312" w:hAnsi="宋体" w:eastAsia="仿宋_GB2312"/>
          <w:b/>
          <w:bCs/>
          <w:sz w:val="24"/>
          <w:szCs w:val="24"/>
          <w:u w:val="single"/>
        </w:rPr>
        <w:t>。</w:t>
      </w:r>
    </w:p>
    <w:p w14:paraId="423A3C0E">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1.3交货地点：</w:t>
      </w:r>
      <w:permStart w:id="13" w:edGrp="everyone"/>
      <w:r>
        <w:rPr>
          <w:rFonts w:hint="eastAsia" w:ascii="仿宋_GB2312" w:eastAsia="仿宋_GB2312" w:hAnsiTheme="minorEastAsia" w:cstheme="minorEastAsia"/>
          <w:b/>
          <w:bCs/>
          <w:sz w:val="24"/>
          <w:szCs w:val="24"/>
          <w:u w:val="single"/>
        </w:rPr>
        <w:t>交货详细地址信息，除列明省市县/区外，应填写至不致产生歧义的具体位置指向</w:t>
      </w:r>
      <w:permEnd w:id="13"/>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sz w:val="24"/>
          <w:szCs w:val="24"/>
        </w:rPr>
        <w:t xml:space="preserve">    </w:t>
      </w:r>
    </w:p>
    <w:p w14:paraId="16CB70F6">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rPr>
        <w:t>1.4到货时间：</w:t>
      </w:r>
      <w:permStart w:id="14" w:edGrp="everyone"/>
      <w:r>
        <w:rPr>
          <w:rFonts w:hint="eastAsia" w:ascii="仿宋_GB2312" w:eastAsia="仿宋_GB2312" w:hAnsiTheme="minorEastAsia" w:cstheme="minorEastAsia"/>
          <w:b/>
          <w:bCs/>
          <w:sz w:val="24"/>
          <w:szCs w:val="24"/>
          <w:u w:val="single"/>
        </w:rPr>
        <w:t>填写具体年月日。存在分批次到货情形的，填写“详见特殊条款约定”，须于专用条款第4条特殊约定条款特别约定</w:t>
      </w:r>
      <w:permEnd w:id="14"/>
      <w:r>
        <w:rPr>
          <w:rFonts w:hint="eastAsia" w:ascii="仿宋_GB2312" w:eastAsia="仿宋_GB2312" w:hAnsiTheme="minorEastAsia" w:cstheme="minorEastAsia"/>
          <w:b/>
          <w:bCs/>
          <w:sz w:val="24"/>
          <w:szCs w:val="24"/>
          <w:u w:val="single"/>
        </w:rPr>
        <w:t>。</w:t>
      </w:r>
    </w:p>
    <w:p w14:paraId="071FDBFB">
      <w:pPr>
        <w:pStyle w:val="12"/>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w:t>
      </w:r>
      <w:r>
        <w:rPr>
          <w:rFonts w:ascii="仿宋_GB2312" w:eastAsia="仿宋_GB2312" w:hAnsiTheme="minorEastAsia" w:cstheme="minorEastAsia"/>
          <w:sz w:val="24"/>
          <w:szCs w:val="24"/>
        </w:rPr>
        <w:t xml:space="preserve"> </w:t>
      </w:r>
      <w:r>
        <w:rPr>
          <w:rFonts w:hint="eastAsia" w:ascii="仿宋_GB2312" w:eastAsia="仿宋_GB2312" w:hAnsiTheme="minorEastAsia" w:cstheme="minorEastAsia"/>
          <w:sz w:val="24"/>
          <w:szCs w:val="24"/>
        </w:rPr>
        <w:t>安装调试时长：</w:t>
      </w:r>
      <w:r>
        <w:rPr>
          <w:rFonts w:ascii="仿宋_GB2312" w:eastAsia="仿宋_GB2312" w:hAnsiTheme="minorEastAsia" w:cstheme="minorEastAsia"/>
          <w:sz w:val="24"/>
          <w:szCs w:val="24"/>
        </w:rPr>
        <w:t>卖方须在到货后</w:t>
      </w:r>
      <w:permStart w:id="15" w:edGrp="everyone"/>
      <w:r>
        <w:rPr>
          <w:rFonts w:hint="eastAsia" w:ascii="仿宋_GB2312" w:eastAsia="仿宋_GB2312" w:hAnsiTheme="minorEastAsia" w:cstheme="minorEastAsia"/>
          <w:b/>
          <w:bCs/>
          <w:sz w:val="24"/>
          <w:szCs w:val="24"/>
          <w:u w:val="single"/>
        </w:rPr>
        <w:t>填写时长，单位“日历日”。存在分批次安装调试情形的，填写“详见特殊条款约定”，须于专用条款第4条特殊约定条款特别约定</w:t>
      </w:r>
      <w:permEnd w:id="15"/>
      <w:r>
        <w:rPr>
          <w:rFonts w:hint="eastAsia" w:ascii="仿宋_GB2312" w:eastAsia="仿宋_GB2312" w:hAnsiTheme="minorEastAsia" w:cstheme="minorEastAsia"/>
          <w:sz w:val="24"/>
          <w:szCs w:val="24"/>
        </w:rPr>
        <w:t>个日历日内</w:t>
      </w:r>
      <w:bookmarkStart w:id="30" w:name="_Hlk212550852"/>
      <w:r>
        <w:rPr>
          <w:rFonts w:hint="eastAsia" w:ascii="仿宋_GB2312" w:eastAsia="仿宋_GB2312" w:hAnsiTheme="minorEastAsia" w:cstheme="minorEastAsia"/>
          <w:sz w:val="24"/>
          <w:szCs w:val="24"/>
        </w:rPr>
        <w:t>安装调试完成</w:t>
      </w:r>
      <w:bookmarkEnd w:id="30"/>
      <w:r>
        <w:rPr>
          <w:rFonts w:hint="eastAsia" w:ascii="仿宋_GB2312" w:eastAsia="仿宋_GB2312" w:hAnsiTheme="minorEastAsia" w:cstheme="minorEastAsia"/>
          <w:sz w:val="24"/>
          <w:szCs w:val="24"/>
        </w:rPr>
        <w:t>。如卖方未能于</w:t>
      </w:r>
      <w:r>
        <w:rPr>
          <w:rFonts w:ascii="仿宋_GB2312" w:eastAsia="仿宋_GB2312" w:hAnsiTheme="minorEastAsia" w:cstheme="minorEastAsia"/>
          <w:sz w:val="24"/>
          <w:szCs w:val="24"/>
        </w:rPr>
        <w:t>到货后</w:t>
      </w:r>
      <w:r>
        <w:rPr>
          <w:rFonts w:hint="eastAsia" w:ascii="仿宋_GB2312" w:eastAsia="仿宋_GB2312" w:hAnsiTheme="minorEastAsia" w:cstheme="minorEastAsia"/>
          <w:sz w:val="24"/>
          <w:szCs w:val="24"/>
        </w:rPr>
        <w:t>【 】日内安装调试完成，买方有权自行或委托第三方调试，费用由卖方承担。</w:t>
      </w:r>
    </w:p>
    <w:p w14:paraId="726497BF">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1.6调试消耗产品数量：</w:t>
      </w:r>
      <w:r>
        <w:rPr>
          <w:rFonts w:ascii="仿宋_GB2312" w:eastAsia="仿宋_GB2312" w:hAnsiTheme="minorEastAsia" w:cstheme="minorEastAsia"/>
          <w:sz w:val="24"/>
          <w:szCs w:val="24"/>
        </w:rPr>
        <w:t>若设备安装、调试过程中需使用买方产品的，买方提供调试所用产品数量</w:t>
      </w:r>
      <w:permStart w:id="16" w:edGrp="everyone"/>
      <w:r>
        <w:rPr>
          <w:rFonts w:hint="eastAsia" w:ascii="仿宋_GB2312" w:eastAsia="仿宋_GB2312" w:hAnsiTheme="minorEastAsia" w:cstheme="minorEastAsia"/>
          <w:b/>
          <w:bCs/>
          <w:sz w:val="24"/>
          <w:szCs w:val="24"/>
          <w:u w:val="single"/>
        </w:rPr>
        <w:t>甲方提供调试产品的件数，不需要的，此处填写“0”</w:t>
      </w:r>
      <w:permEnd w:id="16"/>
      <w:r>
        <w:rPr>
          <w:rFonts w:ascii="仿宋_GB2312" w:eastAsia="仿宋_GB2312" w:hAnsiTheme="minorEastAsia" w:cstheme="minorEastAsia"/>
          <w:sz w:val="24"/>
          <w:szCs w:val="24"/>
        </w:rPr>
        <w:t>件，超出此数量部分由卖方提供，由此产生的相关费用由卖方承担。</w:t>
      </w:r>
    </w:p>
    <w:p w14:paraId="5756169B">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1.7设备质量保证期：自最终验收报告签署之日（存在分批次到货安装调试情形的，以验收报告签署日期最晚者为准）起</w:t>
      </w:r>
      <w:permStart w:id="17" w:edGrp="everyone"/>
      <w:r>
        <w:rPr>
          <w:rFonts w:hint="eastAsia" w:ascii="仿宋_GB2312" w:eastAsia="仿宋_GB2312" w:hAnsiTheme="minorEastAsia" w:cstheme="minorEastAsia"/>
          <w:b/>
          <w:bCs/>
          <w:sz w:val="24"/>
          <w:szCs w:val="24"/>
          <w:u w:val="single"/>
        </w:rPr>
        <w:t>卖方承诺的质保期月数。存在分批次设备质保期约定分批次到期情形的，填写“详见特殊条款约定”，须于专用条款第4条特殊约定条款特别约定</w:t>
      </w:r>
      <w:permEnd w:id="17"/>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3D718D8D">
      <w:pPr>
        <w:pStyle w:val="3"/>
        <w:ind w:firstLine="480" w:firstLineChars="200"/>
        <w:jc w:val="both"/>
        <w:rPr>
          <w:rFonts w:ascii="黑体" w:hAnsi="黑体" w:eastAsia="黑体" w:cs="黑体"/>
          <w:b w:val="0"/>
          <w:sz w:val="24"/>
          <w:szCs w:val="24"/>
        </w:rPr>
      </w:pPr>
      <w:r>
        <w:rPr>
          <w:rFonts w:hint="eastAsia" w:ascii="黑体" w:hAnsi="黑体" w:eastAsia="黑体" w:cs="黑体"/>
          <w:b w:val="0"/>
          <w:sz w:val="24"/>
          <w:szCs w:val="24"/>
        </w:rPr>
        <w:t>2.结算付款约定</w:t>
      </w:r>
    </w:p>
    <w:p w14:paraId="48006385">
      <w:pPr>
        <w:spacing w:line="360" w:lineRule="auto"/>
        <w:ind w:firstLine="480" w:firstLineChars="200"/>
        <w:rPr>
          <w:rFonts w:ascii="仿宋_GB2312" w:hAnsi="黑体" w:eastAsia="仿宋_GB2312" w:cstheme="minorEastAsia"/>
          <w:b/>
          <w:bCs/>
          <w:sz w:val="24"/>
          <w:szCs w:val="24"/>
          <w:u w:val="single"/>
        </w:rPr>
      </w:pPr>
      <w:r>
        <w:rPr>
          <w:rFonts w:hint="eastAsia" w:ascii="仿宋_GB2312" w:hAnsi="黑体" w:eastAsia="仿宋_GB2312" w:cstheme="minorEastAsia"/>
          <w:sz w:val="24"/>
          <w:szCs w:val="24"/>
        </w:rPr>
        <w:t>2.1结算方式：</w:t>
      </w:r>
      <w:permStart w:id="18" w:edGrp="everyone"/>
      <w:r>
        <w:rPr>
          <w:rFonts w:hint="eastAsia" w:ascii="仿宋_GB2312" w:hAnsi="黑体" w:eastAsia="仿宋_GB2312" w:cstheme="minorEastAsia"/>
          <w:b/>
          <w:bCs/>
          <w:sz w:val="24"/>
          <w:szCs w:val="24"/>
          <w:u w:val="single"/>
        </w:rPr>
        <w:t>填写“</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rPr>
        <w:t>”</w:t>
      </w:r>
      <w:r>
        <w:rPr>
          <w:rFonts w:hint="eastAsia" w:ascii="仿宋_GB2312" w:hAnsi="宋体" w:eastAsia="仿宋_GB2312"/>
          <w:b/>
          <w:bCs/>
          <w:sz w:val="24"/>
          <w:szCs w:val="24"/>
          <w:u w:val="single"/>
        </w:rPr>
        <w:t>“转账”“财司内转”三种方式</w:t>
      </w:r>
      <w:r>
        <w:rPr>
          <w:rFonts w:hint="eastAsia" w:ascii="仿宋_GB2312" w:hAnsi="黑体" w:eastAsia="仿宋_GB2312" w:cstheme="minorEastAsia"/>
          <w:b/>
          <w:bCs/>
          <w:sz w:val="24"/>
          <w:szCs w:val="24"/>
          <w:u w:val="single"/>
        </w:rPr>
        <w:t>任一种</w:t>
      </w:r>
      <w:permEnd w:id="18"/>
      <w:r>
        <w:rPr>
          <w:rFonts w:hint="eastAsia" w:ascii="仿宋_GB2312" w:hAnsi="黑体" w:eastAsia="仿宋_GB2312" w:cstheme="minorEastAsia"/>
          <w:b/>
          <w:bCs/>
          <w:sz w:val="24"/>
          <w:szCs w:val="24"/>
          <w:u w:val="single"/>
        </w:rPr>
        <w:t>。</w:t>
      </w:r>
    </w:p>
    <w:p w14:paraId="002DF64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2.2结算币种：本合同使用</w:t>
      </w:r>
      <w:permStart w:id="19" w:edGrp="everyone"/>
      <w:r>
        <w:rPr>
          <w:rFonts w:hint="eastAsia" w:ascii="仿宋_GB2312" w:hAnsi="仿宋_GB2312" w:eastAsia="仿宋_GB2312" w:cs="仿宋_GB2312"/>
          <w:b/>
          <w:bCs/>
          <w:sz w:val="24"/>
          <w:szCs w:val="24"/>
          <w:u w:val="single"/>
        </w:rPr>
        <w:t>币种</w:t>
      </w:r>
      <w:permEnd w:id="19"/>
      <w:r>
        <w:rPr>
          <w:rFonts w:hint="eastAsia" w:ascii="仿宋_GB2312" w:hAnsi="仿宋_GB2312" w:eastAsia="仿宋_GB2312" w:cs="仿宋_GB2312"/>
          <w:sz w:val="24"/>
          <w:szCs w:val="24"/>
        </w:rPr>
        <w:t>进行结算。</w:t>
      </w:r>
    </w:p>
    <w:p w14:paraId="71CAA2AA">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2.3合同价款支付（根据业务实际情况据实选择、填写）：</w:t>
      </w:r>
    </w:p>
    <w:p w14:paraId="0D9BFFB7">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2.3.1</w:t>
      </w:r>
      <w:permStart w:id="20" w:edGrp="everyone"/>
      <w:r>
        <w:rPr>
          <w:rFonts w:hint="eastAsia" w:ascii="仿宋_GB2312" w:hAnsi="黑体" w:eastAsia="仿宋_GB2312" w:cstheme="minorEastAsia"/>
          <w:b/>
          <w:bCs/>
          <w:sz w:val="24"/>
          <w:szCs w:val="24"/>
          <w:u w:val="single"/>
        </w:rPr>
        <w:t>填写第一笔付款的满足要件，如“合同生效且设计图完成会签后”。若存在价款支付的收据、发票及财务审核条件与本条格式条款存有变动调整的，须在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permEnd w:id="20"/>
      <w:r>
        <w:rPr>
          <w:rFonts w:hint="eastAsia" w:ascii="仿宋_GB2312" w:hAnsi="黑体" w:eastAsia="仿宋_GB2312" w:cstheme="minorEastAsia"/>
          <w:sz w:val="24"/>
          <w:szCs w:val="24"/>
        </w:rPr>
        <w:t>, 卖方提交金额为合同含税总价款</w:t>
      </w:r>
      <w:permStart w:id="21" w:edGrp="everyone"/>
      <w:r>
        <w:rPr>
          <w:rFonts w:hint="eastAsia" w:ascii="仿宋_GB2312" w:hAnsi="黑体" w:eastAsia="仿宋_GB2312" w:cstheme="minorEastAsia"/>
          <w:b/>
          <w:bCs/>
          <w:sz w:val="24"/>
          <w:szCs w:val="24"/>
          <w:u w:val="single"/>
        </w:rPr>
        <w:t>第一笔付款的比例，数值</w:t>
      </w:r>
      <w:permEnd w:id="21"/>
      <w:r>
        <w:rPr>
          <w:rFonts w:hint="eastAsia" w:ascii="仿宋_GB2312" w:hAnsi="黑体" w:eastAsia="仿宋_GB2312" w:cstheme="minorEastAsia"/>
          <w:sz w:val="24"/>
          <w:szCs w:val="24"/>
        </w:rPr>
        <w:t>%即</w:t>
      </w:r>
      <w:permStart w:id="22" w:edGrp="everyone"/>
      <w:r>
        <w:rPr>
          <w:rFonts w:hint="eastAsia" w:ascii="仿宋_GB2312" w:hAnsi="黑体" w:eastAsia="仿宋_GB2312" w:cstheme="minorEastAsia"/>
          <w:b/>
          <w:bCs/>
          <w:sz w:val="24"/>
          <w:szCs w:val="24"/>
          <w:u w:val="single"/>
        </w:rPr>
        <w:t>第一笔付款金额</w:t>
      </w:r>
      <w:permEnd w:id="22"/>
      <w:r>
        <w:rPr>
          <w:rFonts w:hint="eastAsia" w:ascii="仿宋_GB2312" w:hAnsi="黑体" w:eastAsia="仿宋_GB2312" w:cstheme="minorEastAsia"/>
          <w:sz w:val="24"/>
          <w:szCs w:val="24"/>
        </w:rPr>
        <w:t>元的收据及对应金额的增值税专用发票，经买方财务审核无误后按照</w:t>
      </w:r>
      <w:permStart w:id="23" w:edGrp="everyone"/>
      <w:r>
        <w:rPr>
          <w:rFonts w:hint="eastAsia" w:ascii="仿宋_GB2312" w:hAnsi="黑体" w:eastAsia="仿宋_GB2312" w:cstheme="minorEastAsia"/>
          <w:b/>
          <w:bCs/>
          <w:sz w:val="24"/>
          <w:szCs w:val="24"/>
          <w:u w:val="single"/>
        </w:rPr>
        <w:t>约定的财务付款条件</w:t>
      </w:r>
      <w:permEnd w:id="23"/>
      <w:r>
        <w:rPr>
          <w:rFonts w:hint="eastAsia" w:ascii="仿宋_GB2312" w:hAnsi="黑体" w:eastAsia="仿宋_GB2312" w:cstheme="minorEastAsia"/>
          <w:sz w:val="24"/>
          <w:szCs w:val="24"/>
        </w:rPr>
        <w:t>执行。</w:t>
      </w:r>
    </w:p>
    <w:p w14:paraId="68745E91">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2.3.2</w:t>
      </w:r>
      <w:permStart w:id="24" w:edGrp="everyone"/>
      <w:r>
        <w:rPr>
          <w:rFonts w:hint="eastAsia" w:ascii="仿宋_GB2312" w:hAnsi="黑体" w:eastAsia="仿宋_GB2312" w:cstheme="minorEastAsia"/>
          <w:b/>
          <w:bCs/>
          <w:sz w:val="24"/>
          <w:szCs w:val="24"/>
          <w:u w:val="single"/>
        </w:rPr>
        <w:t>填写第二笔付款的满足要件，如“设备全部到齐无质量问题”。若存在价款支付的收据、发票及财务审核条件与本条格式条款存有变动调整的，须在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permEnd w:id="24"/>
      <w:r>
        <w:rPr>
          <w:rFonts w:hint="eastAsia" w:ascii="仿宋_GB2312" w:hAnsi="黑体" w:eastAsia="仿宋_GB2312" w:cstheme="minorEastAsia"/>
          <w:sz w:val="24"/>
          <w:szCs w:val="24"/>
        </w:rPr>
        <w:t>，卖方提交金额为合同含税总价款</w:t>
      </w:r>
      <w:permStart w:id="25" w:edGrp="everyone"/>
      <w:r>
        <w:rPr>
          <w:rFonts w:hint="eastAsia" w:ascii="仿宋_GB2312" w:hAnsi="黑体" w:eastAsia="仿宋_GB2312" w:cstheme="minorEastAsia"/>
          <w:b/>
          <w:bCs/>
          <w:sz w:val="24"/>
          <w:szCs w:val="24"/>
          <w:u w:val="single"/>
        </w:rPr>
        <w:t>第二笔付款的比例，数值</w:t>
      </w:r>
      <w:permEnd w:id="25"/>
      <w:r>
        <w:rPr>
          <w:rFonts w:hint="eastAsia" w:ascii="仿宋_GB2312" w:hAnsi="黑体" w:eastAsia="仿宋_GB2312" w:cstheme="minorEastAsia"/>
          <w:sz w:val="24"/>
          <w:szCs w:val="24"/>
        </w:rPr>
        <w:t>%即</w:t>
      </w:r>
      <w:permStart w:id="26" w:edGrp="everyone"/>
      <w:r>
        <w:rPr>
          <w:rFonts w:hint="eastAsia" w:ascii="仿宋_GB2312" w:hAnsi="黑体" w:eastAsia="仿宋_GB2312" w:cstheme="minorEastAsia"/>
          <w:b/>
          <w:bCs/>
          <w:sz w:val="24"/>
          <w:szCs w:val="24"/>
          <w:u w:val="single"/>
        </w:rPr>
        <w:t>第二笔付款金额</w:t>
      </w:r>
      <w:permEnd w:id="26"/>
      <w:r>
        <w:rPr>
          <w:rFonts w:hint="eastAsia" w:ascii="仿宋_GB2312" w:hAnsi="黑体" w:eastAsia="仿宋_GB2312" w:cstheme="minorEastAsia"/>
          <w:sz w:val="24"/>
          <w:szCs w:val="24"/>
        </w:rPr>
        <w:t>元的收据及对应金额的增值税专用发票，经买方财务审核无误后按照</w:t>
      </w:r>
      <w:permStart w:id="27" w:edGrp="everyone"/>
      <w:r>
        <w:rPr>
          <w:rFonts w:hint="eastAsia" w:ascii="仿宋_GB2312" w:hAnsi="黑体" w:eastAsia="仿宋_GB2312" w:cstheme="minorEastAsia"/>
          <w:b/>
          <w:bCs/>
          <w:sz w:val="24"/>
          <w:szCs w:val="24"/>
          <w:u w:val="single"/>
        </w:rPr>
        <w:t>约定的财务付款条件</w:t>
      </w:r>
      <w:permEnd w:id="27"/>
      <w:r>
        <w:rPr>
          <w:rFonts w:hint="eastAsia" w:ascii="仿宋_GB2312" w:hAnsi="黑体" w:eastAsia="仿宋_GB2312" w:cstheme="minorEastAsia"/>
          <w:sz w:val="24"/>
          <w:szCs w:val="24"/>
        </w:rPr>
        <w:t>执行。</w:t>
      </w:r>
    </w:p>
    <w:p w14:paraId="04CFFD0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2.3.3</w:t>
      </w:r>
      <w:permStart w:id="28" w:edGrp="everyone"/>
      <w:r>
        <w:rPr>
          <w:rFonts w:hint="eastAsia" w:ascii="仿宋_GB2312" w:hAnsi="黑体" w:eastAsia="仿宋_GB2312" w:cstheme="minorEastAsia"/>
          <w:b/>
          <w:bCs/>
          <w:sz w:val="24"/>
          <w:szCs w:val="24"/>
          <w:u w:val="single"/>
        </w:rPr>
        <w:t>填写第三笔付款的满足要件，如“设备全部到齐无质量问题，经安装、调试最终验收合格后”。若存在价款支付的收据、发票及财务审核条件与本条格式条款存有变动调整的，须在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permEnd w:id="28"/>
      <w:r>
        <w:rPr>
          <w:rFonts w:hint="eastAsia" w:ascii="仿宋_GB2312" w:hAnsi="黑体" w:eastAsia="仿宋_GB2312" w:cstheme="minorEastAsia"/>
          <w:sz w:val="24"/>
          <w:szCs w:val="24"/>
        </w:rPr>
        <w:t>，卖方提交金额为合同含税总价款</w:t>
      </w:r>
      <w:permStart w:id="29" w:edGrp="everyone"/>
      <w:r>
        <w:rPr>
          <w:rFonts w:hint="eastAsia" w:ascii="仿宋_GB2312" w:hAnsi="黑体" w:eastAsia="仿宋_GB2312" w:cstheme="minorEastAsia"/>
          <w:b/>
          <w:bCs/>
          <w:sz w:val="24"/>
          <w:szCs w:val="24"/>
          <w:u w:val="single"/>
        </w:rPr>
        <w:t>第三笔付款的比例，数值</w:t>
      </w:r>
      <w:permEnd w:id="29"/>
      <w:r>
        <w:rPr>
          <w:rFonts w:hint="eastAsia" w:ascii="仿宋_GB2312" w:hAnsi="黑体" w:eastAsia="仿宋_GB2312" w:cstheme="minorEastAsia"/>
          <w:sz w:val="24"/>
          <w:szCs w:val="24"/>
        </w:rPr>
        <w:t>%即</w:t>
      </w:r>
      <w:permStart w:id="30" w:edGrp="everyone"/>
      <w:r>
        <w:rPr>
          <w:rFonts w:hint="eastAsia" w:ascii="仿宋_GB2312" w:hAnsi="黑体" w:eastAsia="仿宋_GB2312" w:cstheme="minorEastAsia"/>
          <w:b/>
          <w:bCs/>
          <w:sz w:val="24"/>
          <w:szCs w:val="24"/>
          <w:u w:val="single"/>
        </w:rPr>
        <w:t>第三笔付款金额</w:t>
      </w:r>
      <w:permEnd w:id="30"/>
      <w:r>
        <w:rPr>
          <w:rFonts w:hint="eastAsia" w:ascii="仿宋_GB2312" w:hAnsi="黑体" w:eastAsia="仿宋_GB2312" w:cstheme="minorEastAsia"/>
          <w:sz w:val="24"/>
          <w:szCs w:val="24"/>
        </w:rPr>
        <w:t>元的收据及合同含税总价款未付金额的增值税专用发票并附带合同设备最终验收报告，经买方财务审核无误后按照</w:t>
      </w:r>
      <w:permStart w:id="31" w:edGrp="everyone"/>
      <w:r>
        <w:rPr>
          <w:rFonts w:hint="eastAsia" w:ascii="仿宋_GB2312" w:hAnsi="黑体" w:eastAsia="仿宋_GB2312" w:cstheme="minorEastAsia"/>
          <w:b/>
          <w:bCs/>
          <w:sz w:val="24"/>
          <w:szCs w:val="24"/>
          <w:u w:val="single"/>
        </w:rPr>
        <w:t>约定的财务付款条件</w:t>
      </w:r>
      <w:permEnd w:id="31"/>
      <w:r>
        <w:rPr>
          <w:rFonts w:hint="eastAsia" w:ascii="仿宋_GB2312" w:hAnsi="黑体" w:eastAsia="仿宋_GB2312" w:cstheme="minorEastAsia"/>
          <w:sz w:val="24"/>
          <w:szCs w:val="24"/>
        </w:rPr>
        <w:t>执行。</w:t>
      </w:r>
    </w:p>
    <w:p w14:paraId="7B484D2E">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rPr>
        <w:t>2.3.4合同含税总价款的</w:t>
      </w:r>
      <w:permStart w:id="32" w:edGrp="everyone"/>
      <w:r>
        <w:rPr>
          <w:rFonts w:hint="eastAsia" w:ascii="仿宋_GB2312" w:hAnsi="黑体" w:eastAsia="仿宋_GB2312" w:cstheme="minorEastAsia"/>
          <w:b/>
          <w:bCs/>
          <w:sz w:val="24"/>
          <w:szCs w:val="24"/>
          <w:u w:val="single"/>
        </w:rPr>
        <w:t>第四笔付款的比例，数值不低于</w:t>
      </w:r>
      <w:r>
        <w:rPr>
          <w:rFonts w:ascii="仿宋_GB2312" w:hAnsi="黑体" w:eastAsia="仿宋_GB2312" w:cstheme="minorEastAsia"/>
          <w:b/>
          <w:bCs/>
          <w:sz w:val="24"/>
          <w:szCs w:val="24"/>
          <w:u w:val="single"/>
        </w:rPr>
        <w:t>2</w:t>
      </w:r>
      <w:r>
        <w:rPr>
          <w:rFonts w:hint="eastAsia" w:ascii="仿宋_GB2312" w:hAnsi="黑体" w:eastAsia="仿宋_GB2312" w:cstheme="minorEastAsia"/>
          <w:b/>
          <w:bCs/>
          <w:sz w:val="24"/>
          <w:szCs w:val="24"/>
          <w:u w:val="single"/>
        </w:rPr>
        <w:t>0</w:t>
      </w:r>
      <w:permEnd w:id="32"/>
      <w:r>
        <w:rPr>
          <w:rFonts w:hint="eastAsia" w:ascii="仿宋_GB2312" w:hAnsi="黑体" w:eastAsia="仿宋_GB2312" w:cstheme="minorEastAsia"/>
          <w:sz w:val="24"/>
          <w:szCs w:val="24"/>
        </w:rPr>
        <w:t>%即</w:t>
      </w:r>
      <w:permStart w:id="33" w:edGrp="everyone"/>
      <w:r>
        <w:rPr>
          <w:rFonts w:hint="eastAsia" w:ascii="仿宋_GB2312" w:hAnsi="黑体" w:eastAsia="仿宋_GB2312" w:cstheme="minorEastAsia"/>
          <w:b/>
          <w:bCs/>
          <w:sz w:val="24"/>
          <w:szCs w:val="24"/>
          <w:u w:val="single"/>
        </w:rPr>
        <w:t>第四笔付款金额</w:t>
      </w:r>
      <w:permEnd w:id="33"/>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元作为本合同约定设备的质量保证金，质量保证金在质量保证期内不计利息。待合同设备质量保证期满后，卖方向买方提交质量保证金收据及设备使用单位的使用情况说明，经买方财务审核无误后按照</w:t>
      </w:r>
      <w:permStart w:id="34" w:edGrp="everyone"/>
      <w:r>
        <w:rPr>
          <w:rFonts w:hint="eastAsia" w:ascii="仿宋_GB2312" w:hAnsi="黑体" w:eastAsia="仿宋_GB2312" w:cstheme="minorEastAsia"/>
          <w:b/>
          <w:bCs/>
          <w:sz w:val="24"/>
          <w:szCs w:val="24"/>
          <w:u w:val="single"/>
        </w:rPr>
        <w:t>约定的财务付款条件</w:t>
      </w:r>
      <w:permEnd w:id="34"/>
      <w:r>
        <w:rPr>
          <w:rFonts w:hint="eastAsia" w:ascii="仿宋_GB2312" w:hAnsi="黑体" w:eastAsia="仿宋_GB2312" w:cstheme="minorEastAsia"/>
          <w:sz w:val="24"/>
          <w:szCs w:val="24"/>
        </w:rPr>
        <w:t>执行。如有质量问题，质量保证金予以相应扣除。</w:t>
      </w:r>
    </w:p>
    <w:p w14:paraId="62874537">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2.4各方基本信息</w:t>
      </w:r>
    </w:p>
    <w:tbl>
      <w:tblPr>
        <w:tblStyle w:val="32"/>
        <w:tblW w:w="50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0"/>
        <w:gridCol w:w="2576"/>
        <w:gridCol w:w="2616"/>
        <w:gridCol w:w="2444"/>
      </w:tblGrid>
      <w:tr w14:paraId="13A3C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05047674">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信息名目</w:t>
            </w:r>
          </w:p>
        </w:tc>
        <w:tc>
          <w:tcPr>
            <w:tcW w:w="2576" w:type="dxa"/>
            <w:vAlign w:val="bottom"/>
          </w:tcPr>
          <w:p w14:paraId="40A2230C">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甲方基本信息</w:t>
            </w:r>
          </w:p>
        </w:tc>
        <w:tc>
          <w:tcPr>
            <w:tcW w:w="2616" w:type="dxa"/>
            <w:vAlign w:val="bottom"/>
          </w:tcPr>
          <w:p w14:paraId="4FC5F754">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乙方基本信息</w:t>
            </w:r>
          </w:p>
        </w:tc>
        <w:tc>
          <w:tcPr>
            <w:tcW w:w="2444" w:type="dxa"/>
            <w:vAlign w:val="bottom"/>
          </w:tcPr>
          <w:p w14:paraId="251AF0D1">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丙方基本信息</w:t>
            </w:r>
          </w:p>
        </w:tc>
      </w:tr>
      <w:tr w14:paraId="530A1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265651F6">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企业名称</w:t>
            </w:r>
          </w:p>
        </w:tc>
        <w:tc>
          <w:tcPr>
            <w:tcW w:w="2576" w:type="dxa"/>
            <w:vAlign w:val="bottom"/>
          </w:tcPr>
          <w:p w14:paraId="0B8C13C0">
            <w:pPr>
              <w:spacing w:line="360" w:lineRule="auto"/>
              <w:jc w:val="center"/>
              <w:rPr>
                <w:rFonts w:ascii="仿宋_GB2312" w:hAnsi="仿宋_GB2312" w:eastAsia="仿宋_GB2312" w:cs="仿宋_GB2312"/>
                <w:w w:val="90"/>
                <w:sz w:val="24"/>
                <w:szCs w:val="24"/>
              </w:rPr>
            </w:pPr>
            <w:permStart w:id="35" w:edGrp="everyone"/>
            <w:r>
              <w:rPr>
                <w:rFonts w:hint="eastAsia" w:ascii="仿宋_GB2312" w:hAnsi="仿宋_GB2312" w:eastAsia="仿宋_GB2312" w:cs="仿宋_GB2312"/>
                <w:b/>
                <w:bCs/>
                <w:w w:val="90"/>
                <w:sz w:val="24"/>
                <w:szCs w:val="24"/>
                <w:u w:val="single"/>
              </w:rPr>
              <w:t>甲方单位全称</w:t>
            </w:r>
            <w:permEnd w:id="35"/>
          </w:p>
        </w:tc>
        <w:tc>
          <w:tcPr>
            <w:tcW w:w="2616" w:type="dxa"/>
            <w:vAlign w:val="bottom"/>
          </w:tcPr>
          <w:p w14:paraId="4C07F8DA">
            <w:pPr>
              <w:spacing w:line="360" w:lineRule="auto"/>
              <w:jc w:val="center"/>
              <w:rPr>
                <w:rFonts w:ascii="仿宋_GB2312" w:hAnsi="仿宋_GB2312" w:eastAsia="仿宋_GB2312" w:cs="仿宋_GB2312"/>
                <w:w w:val="90"/>
                <w:sz w:val="24"/>
                <w:szCs w:val="24"/>
              </w:rPr>
            </w:pPr>
            <w:permStart w:id="36" w:edGrp="everyone"/>
            <w:r>
              <w:rPr>
                <w:rFonts w:hint="eastAsia" w:ascii="仿宋_GB2312" w:hAnsi="仿宋_GB2312" w:eastAsia="仿宋_GB2312" w:cs="仿宋_GB2312"/>
                <w:b/>
                <w:bCs/>
                <w:w w:val="90"/>
                <w:sz w:val="24"/>
                <w:szCs w:val="24"/>
                <w:u w:val="single"/>
              </w:rPr>
              <w:t>乙方单位全称</w:t>
            </w:r>
            <w:permEnd w:id="36"/>
          </w:p>
        </w:tc>
        <w:tc>
          <w:tcPr>
            <w:tcW w:w="2444" w:type="dxa"/>
            <w:shd w:val="clear" w:color="auto" w:fill="auto"/>
            <w:vAlign w:val="bottom"/>
          </w:tcPr>
          <w:p w14:paraId="0629DBE7">
            <w:pPr>
              <w:spacing w:line="360" w:lineRule="auto"/>
              <w:jc w:val="center"/>
              <w:rPr>
                <w:rFonts w:ascii="仿宋_GB2312" w:hAnsi="仿宋_GB2312" w:eastAsia="仿宋_GB2312" w:cs="仿宋_GB2312"/>
                <w:w w:val="90"/>
                <w:sz w:val="24"/>
                <w:szCs w:val="24"/>
              </w:rPr>
            </w:pPr>
            <w:permStart w:id="37" w:edGrp="everyone"/>
            <w:r>
              <w:rPr>
                <w:rFonts w:hint="eastAsia" w:ascii="仿宋_GB2312" w:hAnsi="仿宋_GB2312" w:eastAsia="仿宋_GB2312" w:cs="仿宋_GB2312"/>
                <w:b/>
                <w:bCs/>
                <w:w w:val="90"/>
                <w:sz w:val="24"/>
                <w:szCs w:val="24"/>
                <w:u w:val="single"/>
              </w:rPr>
              <w:t>丙方单位全称</w:t>
            </w:r>
            <w:permEnd w:id="37"/>
          </w:p>
        </w:tc>
      </w:tr>
      <w:tr w14:paraId="1F8B4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4194AD26">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注册地址</w:t>
            </w:r>
          </w:p>
        </w:tc>
        <w:tc>
          <w:tcPr>
            <w:tcW w:w="2576" w:type="dxa"/>
            <w:vAlign w:val="bottom"/>
          </w:tcPr>
          <w:p w14:paraId="2F7A10BC">
            <w:pPr>
              <w:spacing w:line="360" w:lineRule="auto"/>
              <w:jc w:val="center"/>
              <w:rPr>
                <w:rFonts w:ascii="仿宋_GB2312" w:hAnsi="仿宋_GB2312" w:eastAsia="仿宋_GB2312" w:cs="仿宋_GB2312"/>
                <w:w w:val="90"/>
                <w:sz w:val="24"/>
                <w:szCs w:val="24"/>
              </w:rPr>
            </w:pPr>
            <w:permStart w:id="38" w:edGrp="everyone"/>
            <w:r>
              <w:rPr>
                <w:rFonts w:hint="eastAsia" w:ascii="仿宋_GB2312" w:hAnsi="仿宋_GB2312" w:eastAsia="仿宋_GB2312" w:cs="仿宋_GB2312"/>
                <w:b/>
                <w:bCs/>
                <w:w w:val="90"/>
                <w:sz w:val="24"/>
                <w:szCs w:val="24"/>
                <w:u w:val="single"/>
              </w:rPr>
              <w:t>甲方注册地址，营业执照住所地</w:t>
            </w:r>
            <w:permEnd w:id="38"/>
          </w:p>
        </w:tc>
        <w:tc>
          <w:tcPr>
            <w:tcW w:w="2616" w:type="dxa"/>
            <w:vAlign w:val="bottom"/>
          </w:tcPr>
          <w:p w14:paraId="542835ED">
            <w:pPr>
              <w:spacing w:line="360" w:lineRule="auto"/>
              <w:jc w:val="center"/>
              <w:rPr>
                <w:rFonts w:ascii="仿宋_GB2312" w:hAnsi="仿宋_GB2312" w:eastAsia="仿宋_GB2312" w:cs="仿宋_GB2312"/>
                <w:w w:val="90"/>
                <w:sz w:val="24"/>
                <w:szCs w:val="24"/>
              </w:rPr>
            </w:pPr>
            <w:permStart w:id="39" w:edGrp="everyone"/>
            <w:r>
              <w:rPr>
                <w:rFonts w:hint="eastAsia" w:ascii="仿宋_GB2312" w:hAnsi="仿宋_GB2312" w:eastAsia="仿宋_GB2312" w:cs="仿宋_GB2312"/>
                <w:b/>
                <w:bCs/>
                <w:w w:val="90"/>
                <w:sz w:val="24"/>
                <w:szCs w:val="24"/>
                <w:u w:val="single"/>
              </w:rPr>
              <w:t>乙方注册地址，营业执照住所地</w:t>
            </w:r>
            <w:permEnd w:id="39"/>
          </w:p>
        </w:tc>
        <w:tc>
          <w:tcPr>
            <w:tcW w:w="2444" w:type="dxa"/>
            <w:shd w:val="clear" w:color="auto" w:fill="auto"/>
            <w:vAlign w:val="bottom"/>
          </w:tcPr>
          <w:p w14:paraId="33D39979">
            <w:pPr>
              <w:spacing w:line="360" w:lineRule="auto"/>
              <w:jc w:val="center"/>
              <w:rPr>
                <w:rFonts w:ascii="仿宋_GB2312" w:hAnsi="仿宋_GB2312" w:eastAsia="仿宋_GB2312" w:cs="仿宋_GB2312"/>
                <w:w w:val="90"/>
                <w:sz w:val="24"/>
                <w:szCs w:val="24"/>
              </w:rPr>
            </w:pPr>
            <w:permStart w:id="40" w:edGrp="everyone"/>
            <w:r>
              <w:rPr>
                <w:rFonts w:hint="eastAsia" w:ascii="仿宋_GB2312" w:hAnsi="仿宋_GB2312" w:eastAsia="仿宋_GB2312" w:cs="仿宋_GB2312"/>
                <w:b/>
                <w:bCs/>
                <w:w w:val="90"/>
                <w:sz w:val="24"/>
                <w:szCs w:val="24"/>
                <w:u w:val="single"/>
              </w:rPr>
              <w:t>丙方注册地址，营业执照住所地</w:t>
            </w:r>
            <w:permEnd w:id="40"/>
          </w:p>
        </w:tc>
      </w:tr>
      <w:tr w14:paraId="0CEC0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7AB74110">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通讯地址</w:t>
            </w:r>
          </w:p>
        </w:tc>
        <w:tc>
          <w:tcPr>
            <w:tcW w:w="2576" w:type="dxa"/>
            <w:vAlign w:val="bottom"/>
          </w:tcPr>
          <w:p w14:paraId="1C5CDE65">
            <w:pPr>
              <w:spacing w:line="360" w:lineRule="auto"/>
              <w:jc w:val="center"/>
              <w:rPr>
                <w:rFonts w:ascii="仿宋_GB2312" w:hAnsi="仿宋_GB2312" w:eastAsia="仿宋_GB2312" w:cs="仿宋_GB2312"/>
                <w:w w:val="90"/>
                <w:sz w:val="24"/>
                <w:szCs w:val="24"/>
              </w:rPr>
            </w:pPr>
            <w:permStart w:id="41" w:edGrp="everyone"/>
            <w:r>
              <w:rPr>
                <w:rFonts w:hint="eastAsia" w:ascii="仿宋_GB2312" w:hAnsi="仿宋_GB2312" w:eastAsia="仿宋_GB2312" w:cs="仿宋_GB2312"/>
                <w:b/>
                <w:bCs/>
                <w:w w:val="90"/>
                <w:sz w:val="24"/>
                <w:szCs w:val="24"/>
                <w:u w:val="single"/>
              </w:rPr>
              <w:t>甲方通讯地址，实际联系地址</w:t>
            </w:r>
            <w:permEnd w:id="41"/>
          </w:p>
        </w:tc>
        <w:tc>
          <w:tcPr>
            <w:tcW w:w="2616" w:type="dxa"/>
            <w:vAlign w:val="bottom"/>
          </w:tcPr>
          <w:p w14:paraId="2CFA31A3">
            <w:pPr>
              <w:spacing w:line="360" w:lineRule="auto"/>
              <w:jc w:val="center"/>
              <w:rPr>
                <w:rFonts w:ascii="仿宋_GB2312" w:hAnsi="仿宋_GB2312" w:eastAsia="仿宋_GB2312" w:cs="仿宋_GB2312"/>
                <w:w w:val="90"/>
                <w:sz w:val="24"/>
                <w:szCs w:val="24"/>
              </w:rPr>
            </w:pPr>
            <w:permStart w:id="42" w:edGrp="everyone"/>
            <w:r>
              <w:rPr>
                <w:rFonts w:hint="eastAsia" w:ascii="仿宋_GB2312" w:hAnsi="仿宋_GB2312" w:eastAsia="仿宋_GB2312" w:cs="仿宋_GB2312"/>
                <w:b/>
                <w:bCs/>
                <w:w w:val="90"/>
                <w:sz w:val="24"/>
                <w:szCs w:val="24"/>
                <w:u w:val="single"/>
              </w:rPr>
              <w:t>乙方通讯地址，实际联系地址</w:t>
            </w:r>
            <w:permEnd w:id="42"/>
          </w:p>
        </w:tc>
        <w:tc>
          <w:tcPr>
            <w:tcW w:w="2444" w:type="dxa"/>
            <w:shd w:val="clear" w:color="auto" w:fill="auto"/>
            <w:vAlign w:val="bottom"/>
          </w:tcPr>
          <w:p w14:paraId="5A76F051">
            <w:pPr>
              <w:spacing w:line="360" w:lineRule="auto"/>
              <w:jc w:val="center"/>
              <w:rPr>
                <w:rFonts w:ascii="仿宋_GB2312" w:hAnsi="仿宋_GB2312" w:eastAsia="仿宋_GB2312" w:cs="仿宋_GB2312"/>
                <w:w w:val="90"/>
                <w:sz w:val="24"/>
                <w:szCs w:val="24"/>
              </w:rPr>
            </w:pPr>
            <w:permStart w:id="43" w:edGrp="everyone"/>
            <w:r>
              <w:rPr>
                <w:rFonts w:hint="eastAsia" w:ascii="仿宋_GB2312" w:hAnsi="仿宋_GB2312" w:eastAsia="仿宋_GB2312" w:cs="仿宋_GB2312"/>
                <w:b/>
                <w:bCs/>
                <w:w w:val="90"/>
                <w:sz w:val="24"/>
                <w:szCs w:val="24"/>
                <w:u w:val="single"/>
              </w:rPr>
              <w:t>丙方通讯地址，实际联系地址</w:t>
            </w:r>
            <w:permEnd w:id="43"/>
          </w:p>
        </w:tc>
      </w:tr>
      <w:tr w14:paraId="35A1C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62904B10">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法定代表人</w:t>
            </w:r>
          </w:p>
        </w:tc>
        <w:tc>
          <w:tcPr>
            <w:tcW w:w="2576" w:type="dxa"/>
            <w:vAlign w:val="bottom"/>
          </w:tcPr>
          <w:p w14:paraId="4A0CADE1">
            <w:pPr>
              <w:spacing w:line="360" w:lineRule="auto"/>
              <w:jc w:val="center"/>
              <w:rPr>
                <w:rFonts w:ascii="仿宋_GB2312" w:hAnsi="仿宋_GB2312" w:eastAsia="仿宋_GB2312" w:cs="仿宋_GB2312"/>
                <w:w w:val="90"/>
                <w:sz w:val="24"/>
                <w:szCs w:val="24"/>
              </w:rPr>
            </w:pPr>
            <w:permStart w:id="44" w:edGrp="everyone"/>
            <w:r>
              <w:rPr>
                <w:rFonts w:hint="eastAsia" w:ascii="仿宋_GB2312" w:hAnsi="仿宋_GB2312" w:eastAsia="仿宋_GB2312" w:cs="仿宋_GB2312"/>
                <w:b/>
                <w:bCs/>
                <w:w w:val="90"/>
                <w:sz w:val="24"/>
                <w:szCs w:val="24"/>
                <w:u w:val="single"/>
              </w:rPr>
              <w:t>甲方法定代表人姓名</w:t>
            </w:r>
            <w:permEnd w:id="44"/>
          </w:p>
        </w:tc>
        <w:tc>
          <w:tcPr>
            <w:tcW w:w="2616" w:type="dxa"/>
            <w:vAlign w:val="bottom"/>
          </w:tcPr>
          <w:p w14:paraId="21088932">
            <w:pPr>
              <w:spacing w:line="360" w:lineRule="auto"/>
              <w:jc w:val="center"/>
              <w:rPr>
                <w:rFonts w:ascii="仿宋_GB2312" w:hAnsi="仿宋_GB2312" w:eastAsia="仿宋_GB2312" w:cs="仿宋_GB2312"/>
                <w:w w:val="90"/>
                <w:sz w:val="24"/>
                <w:szCs w:val="24"/>
              </w:rPr>
            </w:pPr>
            <w:permStart w:id="45" w:edGrp="everyone"/>
            <w:r>
              <w:rPr>
                <w:rFonts w:hint="eastAsia" w:ascii="仿宋_GB2312" w:hAnsi="仿宋_GB2312" w:eastAsia="仿宋_GB2312" w:cs="仿宋_GB2312"/>
                <w:b/>
                <w:bCs/>
                <w:w w:val="90"/>
                <w:sz w:val="24"/>
                <w:szCs w:val="24"/>
                <w:u w:val="single"/>
              </w:rPr>
              <w:t>乙方法定代表人姓名</w:t>
            </w:r>
            <w:permEnd w:id="45"/>
          </w:p>
        </w:tc>
        <w:tc>
          <w:tcPr>
            <w:tcW w:w="2444" w:type="dxa"/>
            <w:shd w:val="clear" w:color="auto" w:fill="auto"/>
            <w:vAlign w:val="bottom"/>
          </w:tcPr>
          <w:p w14:paraId="5E73D101">
            <w:pPr>
              <w:spacing w:line="360" w:lineRule="auto"/>
              <w:jc w:val="center"/>
              <w:rPr>
                <w:rFonts w:ascii="仿宋_GB2312" w:hAnsi="仿宋_GB2312" w:eastAsia="仿宋_GB2312" w:cs="仿宋_GB2312"/>
                <w:b/>
                <w:bCs/>
                <w:w w:val="90"/>
                <w:sz w:val="24"/>
                <w:szCs w:val="24"/>
                <w:u w:val="single"/>
              </w:rPr>
            </w:pPr>
            <w:permStart w:id="46" w:edGrp="everyone"/>
            <w:r>
              <w:rPr>
                <w:rFonts w:hint="eastAsia" w:ascii="仿宋_GB2312" w:hAnsi="仿宋_GB2312" w:eastAsia="仿宋_GB2312" w:cs="仿宋_GB2312"/>
                <w:b/>
                <w:bCs/>
                <w:w w:val="90"/>
                <w:sz w:val="24"/>
                <w:szCs w:val="24"/>
                <w:u w:val="single"/>
              </w:rPr>
              <w:t>丙方法定代表人姓名</w:t>
            </w:r>
            <w:permEnd w:id="46"/>
          </w:p>
        </w:tc>
      </w:tr>
      <w:tr w14:paraId="0C5C7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292028D2">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授权代表</w:t>
            </w:r>
          </w:p>
        </w:tc>
        <w:tc>
          <w:tcPr>
            <w:tcW w:w="2576" w:type="dxa"/>
            <w:vAlign w:val="bottom"/>
          </w:tcPr>
          <w:p w14:paraId="0DC25D80">
            <w:pPr>
              <w:spacing w:line="360" w:lineRule="auto"/>
              <w:jc w:val="center"/>
              <w:rPr>
                <w:rFonts w:ascii="仿宋_GB2312" w:hAnsi="仿宋_GB2312" w:eastAsia="仿宋_GB2312" w:cs="仿宋_GB2312"/>
                <w:w w:val="90"/>
                <w:sz w:val="24"/>
                <w:szCs w:val="24"/>
              </w:rPr>
            </w:pPr>
            <w:permStart w:id="47" w:edGrp="everyone"/>
            <w:r>
              <w:rPr>
                <w:rFonts w:hint="eastAsia" w:ascii="仿宋_GB2312" w:hAnsi="仿宋_GB2312" w:eastAsia="仿宋_GB2312" w:cs="仿宋_GB2312"/>
                <w:b/>
                <w:bCs/>
                <w:w w:val="90"/>
                <w:sz w:val="24"/>
                <w:szCs w:val="24"/>
                <w:u w:val="single"/>
              </w:rPr>
              <w:t>甲方授权代表姓名</w:t>
            </w:r>
            <w:permEnd w:id="47"/>
          </w:p>
        </w:tc>
        <w:tc>
          <w:tcPr>
            <w:tcW w:w="2616" w:type="dxa"/>
            <w:vAlign w:val="bottom"/>
          </w:tcPr>
          <w:p w14:paraId="6DB2E423">
            <w:pPr>
              <w:spacing w:line="360" w:lineRule="auto"/>
              <w:jc w:val="center"/>
              <w:rPr>
                <w:rFonts w:ascii="仿宋_GB2312" w:hAnsi="仿宋_GB2312" w:eastAsia="仿宋_GB2312" w:cs="仿宋_GB2312"/>
                <w:w w:val="90"/>
                <w:sz w:val="24"/>
                <w:szCs w:val="24"/>
              </w:rPr>
            </w:pPr>
            <w:permStart w:id="48" w:edGrp="everyone"/>
            <w:r>
              <w:rPr>
                <w:rFonts w:hint="eastAsia" w:ascii="仿宋_GB2312" w:hAnsi="仿宋_GB2312" w:eastAsia="仿宋_GB2312" w:cs="仿宋_GB2312"/>
                <w:b/>
                <w:bCs/>
                <w:w w:val="90"/>
                <w:sz w:val="24"/>
                <w:szCs w:val="24"/>
                <w:u w:val="single"/>
              </w:rPr>
              <w:t>乙方授权代表姓名</w:t>
            </w:r>
            <w:permEnd w:id="48"/>
          </w:p>
        </w:tc>
        <w:tc>
          <w:tcPr>
            <w:tcW w:w="2444" w:type="dxa"/>
            <w:shd w:val="clear" w:color="auto" w:fill="auto"/>
            <w:vAlign w:val="bottom"/>
          </w:tcPr>
          <w:p w14:paraId="6F10F0CD">
            <w:pPr>
              <w:spacing w:line="360" w:lineRule="auto"/>
              <w:jc w:val="center"/>
              <w:rPr>
                <w:rFonts w:ascii="仿宋_GB2312" w:hAnsi="仿宋_GB2312" w:eastAsia="仿宋_GB2312" w:cs="仿宋_GB2312"/>
                <w:b/>
                <w:bCs/>
                <w:w w:val="90"/>
                <w:sz w:val="24"/>
                <w:szCs w:val="24"/>
                <w:u w:val="single"/>
              </w:rPr>
            </w:pPr>
            <w:permStart w:id="49" w:edGrp="everyone"/>
            <w:r>
              <w:rPr>
                <w:rFonts w:hint="eastAsia" w:ascii="仿宋_GB2312" w:hAnsi="仿宋_GB2312" w:eastAsia="仿宋_GB2312" w:cs="仿宋_GB2312"/>
                <w:b/>
                <w:bCs/>
                <w:w w:val="90"/>
                <w:sz w:val="24"/>
                <w:szCs w:val="24"/>
                <w:u w:val="single"/>
              </w:rPr>
              <w:t>丙方授权代表姓名</w:t>
            </w:r>
            <w:permEnd w:id="49"/>
          </w:p>
        </w:tc>
      </w:tr>
      <w:tr w14:paraId="5FBCC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7E4954FC">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联系电话</w:t>
            </w:r>
          </w:p>
        </w:tc>
        <w:tc>
          <w:tcPr>
            <w:tcW w:w="2576" w:type="dxa"/>
            <w:vAlign w:val="bottom"/>
          </w:tcPr>
          <w:p w14:paraId="0313813C">
            <w:pPr>
              <w:spacing w:line="360" w:lineRule="auto"/>
              <w:jc w:val="center"/>
              <w:rPr>
                <w:rFonts w:ascii="仿宋_GB2312" w:hAnsi="仿宋_GB2312" w:eastAsia="仿宋_GB2312" w:cs="仿宋_GB2312"/>
                <w:w w:val="90"/>
                <w:sz w:val="24"/>
                <w:szCs w:val="24"/>
              </w:rPr>
            </w:pPr>
            <w:permStart w:id="50" w:edGrp="everyone"/>
            <w:r>
              <w:rPr>
                <w:rFonts w:hint="eastAsia" w:ascii="仿宋_GB2312" w:hAnsi="仿宋_GB2312" w:eastAsia="仿宋_GB2312" w:cs="仿宋_GB2312"/>
                <w:b/>
                <w:bCs/>
                <w:w w:val="90"/>
                <w:sz w:val="24"/>
                <w:szCs w:val="24"/>
                <w:u w:val="single"/>
              </w:rPr>
              <w:t>甲方授权代表手机号码</w:t>
            </w:r>
            <w:permEnd w:id="50"/>
          </w:p>
        </w:tc>
        <w:tc>
          <w:tcPr>
            <w:tcW w:w="2616" w:type="dxa"/>
            <w:vAlign w:val="bottom"/>
          </w:tcPr>
          <w:p w14:paraId="3C350E8D">
            <w:pPr>
              <w:spacing w:line="360" w:lineRule="auto"/>
              <w:jc w:val="center"/>
              <w:rPr>
                <w:rFonts w:ascii="仿宋_GB2312" w:hAnsi="仿宋_GB2312" w:eastAsia="仿宋_GB2312" w:cs="仿宋_GB2312"/>
                <w:w w:val="90"/>
                <w:sz w:val="24"/>
                <w:szCs w:val="24"/>
              </w:rPr>
            </w:pPr>
            <w:permStart w:id="51" w:edGrp="everyone"/>
            <w:r>
              <w:rPr>
                <w:rFonts w:hint="eastAsia" w:ascii="仿宋_GB2312" w:hAnsi="仿宋_GB2312" w:eastAsia="仿宋_GB2312" w:cs="仿宋_GB2312"/>
                <w:b/>
                <w:bCs/>
                <w:w w:val="90"/>
                <w:sz w:val="24"/>
                <w:szCs w:val="24"/>
                <w:u w:val="single"/>
              </w:rPr>
              <w:t>乙方授权代表手机号码</w:t>
            </w:r>
            <w:permEnd w:id="51"/>
          </w:p>
        </w:tc>
        <w:tc>
          <w:tcPr>
            <w:tcW w:w="2444" w:type="dxa"/>
            <w:shd w:val="clear" w:color="auto" w:fill="auto"/>
            <w:vAlign w:val="bottom"/>
          </w:tcPr>
          <w:p w14:paraId="0EB0DAEA">
            <w:pPr>
              <w:spacing w:line="360" w:lineRule="auto"/>
              <w:jc w:val="center"/>
              <w:rPr>
                <w:rFonts w:ascii="仿宋_GB2312" w:hAnsi="仿宋_GB2312" w:eastAsia="仿宋_GB2312" w:cs="仿宋_GB2312"/>
                <w:w w:val="90"/>
                <w:sz w:val="24"/>
                <w:szCs w:val="24"/>
              </w:rPr>
            </w:pPr>
            <w:permStart w:id="52" w:edGrp="everyone"/>
            <w:r>
              <w:rPr>
                <w:rFonts w:hint="eastAsia" w:ascii="仿宋_GB2312" w:hAnsi="仿宋_GB2312" w:eastAsia="仿宋_GB2312" w:cs="仿宋_GB2312"/>
                <w:b/>
                <w:bCs/>
                <w:w w:val="90"/>
                <w:sz w:val="24"/>
                <w:szCs w:val="24"/>
                <w:u w:val="single"/>
              </w:rPr>
              <w:t>丙方授权代表手机号码</w:t>
            </w:r>
            <w:permEnd w:id="52"/>
          </w:p>
        </w:tc>
      </w:tr>
      <w:tr w14:paraId="302CD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3FD8DE7E">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联系邮箱</w:t>
            </w:r>
          </w:p>
        </w:tc>
        <w:tc>
          <w:tcPr>
            <w:tcW w:w="2576" w:type="dxa"/>
            <w:vAlign w:val="bottom"/>
          </w:tcPr>
          <w:p w14:paraId="1C3C1602">
            <w:pPr>
              <w:spacing w:line="360" w:lineRule="auto"/>
              <w:jc w:val="center"/>
              <w:rPr>
                <w:rFonts w:ascii="仿宋_GB2312" w:hAnsi="仿宋_GB2312" w:eastAsia="仿宋_GB2312" w:cs="仿宋_GB2312"/>
                <w:w w:val="90"/>
                <w:sz w:val="24"/>
                <w:szCs w:val="24"/>
              </w:rPr>
            </w:pPr>
            <w:permStart w:id="53" w:edGrp="everyone"/>
            <w:r>
              <w:rPr>
                <w:rFonts w:hint="eastAsia" w:ascii="仿宋_GB2312" w:hAnsi="仿宋_GB2312" w:eastAsia="仿宋_GB2312" w:cs="仿宋_GB2312"/>
                <w:b/>
                <w:bCs/>
                <w:w w:val="90"/>
                <w:sz w:val="24"/>
                <w:szCs w:val="24"/>
                <w:u w:val="single"/>
              </w:rPr>
              <w:t>甲方授权代表联系邮箱（非必填）</w:t>
            </w:r>
            <w:permEnd w:id="53"/>
          </w:p>
        </w:tc>
        <w:tc>
          <w:tcPr>
            <w:tcW w:w="2616" w:type="dxa"/>
            <w:vAlign w:val="bottom"/>
          </w:tcPr>
          <w:p w14:paraId="046EE277">
            <w:pPr>
              <w:spacing w:line="360" w:lineRule="auto"/>
              <w:jc w:val="center"/>
              <w:rPr>
                <w:rFonts w:ascii="仿宋_GB2312" w:hAnsi="仿宋_GB2312" w:eastAsia="仿宋_GB2312" w:cs="仿宋_GB2312"/>
                <w:w w:val="90"/>
                <w:sz w:val="24"/>
                <w:szCs w:val="24"/>
              </w:rPr>
            </w:pPr>
            <w:permStart w:id="54" w:edGrp="everyone"/>
            <w:r>
              <w:rPr>
                <w:rFonts w:hint="eastAsia" w:ascii="仿宋_GB2312" w:hAnsi="仿宋_GB2312" w:eastAsia="仿宋_GB2312" w:cs="仿宋_GB2312"/>
                <w:b/>
                <w:bCs/>
                <w:w w:val="90"/>
                <w:sz w:val="24"/>
                <w:szCs w:val="24"/>
                <w:u w:val="single"/>
              </w:rPr>
              <w:t>乙方授权代表联系邮箱（非必填）</w:t>
            </w:r>
            <w:permEnd w:id="54"/>
          </w:p>
        </w:tc>
        <w:tc>
          <w:tcPr>
            <w:tcW w:w="2444" w:type="dxa"/>
            <w:shd w:val="clear" w:color="auto" w:fill="auto"/>
            <w:vAlign w:val="bottom"/>
          </w:tcPr>
          <w:p w14:paraId="31AE8DD1">
            <w:pPr>
              <w:spacing w:line="360" w:lineRule="auto"/>
              <w:jc w:val="center"/>
              <w:rPr>
                <w:rFonts w:ascii="仿宋_GB2312" w:hAnsi="仿宋_GB2312" w:eastAsia="仿宋_GB2312" w:cs="仿宋_GB2312"/>
                <w:w w:val="90"/>
                <w:sz w:val="24"/>
                <w:szCs w:val="24"/>
              </w:rPr>
            </w:pPr>
            <w:permStart w:id="55" w:edGrp="everyone"/>
            <w:r>
              <w:rPr>
                <w:rFonts w:hint="eastAsia" w:ascii="仿宋_GB2312" w:hAnsi="仿宋_GB2312" w:eastAsia="仿宋_GB2312" w:cs="仿宋_GB2312"/>
                <w:b/>
                <w:bCs/>
                <w:w w:val="90"/>
                <w:sz w:val="24"/>
                <w:szCs w:val="24"/>
                <w:u w:val="single"/>
              </w:rPr>
              <w:t>丙方授权代表联系邮箱（非必填）</w:t>
            </w:r>
            <w:permEnd w:id="55"/>
          </w:p>
        </w:tc>
      </w:tr>
      <w:tr w14:paraId="57513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1155614E">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开户银行</w:t>
            </w:r>
          </w:p>
        </w:tc>
        <w:tc>
          <w:tcPr>
            <w:tcW w:w="2576" w:type="dxa"/>
            <w:vAlign w:val="bottom"/>
          </w:tcPr>
          <w:p w14:paraId="20AE2D55">
            <w:pPr>
              <w:spacing w:line="360" w:lineRule="auto"/>
              <w:jc w:val="center"/>
              <w:rPr>
                <w:rFonts w:ascii="仿宋_GB2312" w:hAnsi="仿宋_GB2312" w:eastAsia="仿宋_GB2312" w:cs="仿宋_GB2312"/>
                <w:w w:val="90"/>
                <w:sz w:val="24"/>
                <w:szCs w:val="24"/>
              </w:rPr>
            </w:pPr>
            <w:permStart w:id="56" w:edGrp="everyone"/>
            <w:r>
              <w:rPr>
                <w:rFonts w:hint="eastAsia" w:ascii="仿宋_GB2312" w:hAnsi="仿宋_GB2312" w:eastAsia="仿宋_GB2312" w:cs="仿宋_GB2312"/>
                <w:b/>
                <w:bCs/>
                <w:w w:val="90"/>
                <w:sz w:val="24"/>
                <w:szCs w:val="24"/>
                <w:u w:val="single"/>
              </w:rPr>
              <w:t>甲方开户银行规范全称（非必填）</w:t>
            </w:r>
            <w:permEnd w:id="56"/>
          </w:p>
        </w:tc>
        <w:tc>
          <w:tcPr>
            <w:tcW w:w="2616" w:type="dxa"/>
            <w:vAlign w:val="bottom"/>
          </w:tcPr>
          <w:p w14:paraId="37A7C096">
            <w:pPr>
              <w:spacing w:line="360" w:lineRule="auto"/>
              <w:jc w:val="center"/>
              <w:rPr>
                <w:rFonts w:ascii="仿宋_GB2312" w:hAnsi="仿宋_GB2312" w:eastAsia="仿宋_GB2312" w:cs="仿宋_GB2312"/>
                <w:w w:val="90"/>
                <w:sz w:val="24"/>
                <w:szCs w:val="24"/>
              </w:rPr>
            </w:pPr>
            <w:permStart w:id="57" w:edGrp="everyone"/>
            <w:r>
              <w:rPr>
                <w:rFonts w:hint="eastAsia" w:ascii="仿宋_GB2312" w:hAnsi="仿宋_GB2312" w:eastAsia="仿宋_GB2312" w:cs="仿宋_GB2312"/>
                <w:b/>
                <w:bCs/>
                <w:w w:val="90"/>
                <w:sz w:val="24"/>
                <w:szCs w:val="24"/>
                <w:u w:val="single"/>
              </w:rPr>
              <w:t>乙方开户银行规范全称</w:t>
            </w:r>
            <w:permEnd w:id="57"/>
          </w:p>
        </w:tc>
        <w:tc>
          <w:tcPr>
            <w:tcW w:w="2444" w:type="dxa"/>
            <w:shd w:val="clear" w:color="auto" w:fill="auto"/>
            <w:vAlign w:val="bottom"/>
          </w:tcPr>
          <w:p w14:paraId="0F8E8BE8">
            <w:pPr>
              <w:spacing w:line="360" w:lineRule="auto"/>
              <w:jc w:val="center"/>
              <w:rPr>
                <w:rFonts w:ascii="仿宋_GB2312" w:hAnsi="仿宋_GB2312" w:eastAsia="仿宋_GB2312" w:cs="仿宋_GB2312"/>
                <w:b/>
                <w:bCs/>
                <w:w w:val="90"/>
                <w:sz w:val="24"/>
                <w:szCs w:val="24"/>
                <w:u w:val="single"/>
              </w:rPr>
            </w:pPr>
            <w:permStart w:id="58" w:edGrp="everyone"/>
            <w:r>
              <w:rPr>
                <w:rFonts w:hint="eastAsia" w:ascii="仿宋_GB2312" w:hAnsi="仿宋_GB2312" w:eastAsia="仿宋_GB2312" w:cs="仿宋_GB2312"/>
                <w:b/>
                <w:bCs/>
                <w:w w:val="90"/>
                <w:sz w:val="24"/>
                <w:szCs w:val="24"/>
                <w:u w:val="single"/>
              </w:rPr>
              <w:t>丙方开户银行规范全称</w:t>
            </w:r>
            <w:permEnd w:id="58"/>
          </w:p>
        </w:tc>
      </w:tr>
      <w:tr w14:paraId="12C0D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5693FBC2">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开户行联行号</w:t>
            </w:r>
          </w:p>
        </w:tc>
        <w:tc>
          <w:tcPr>
            <w:tcW w:w="2576" w:type="dxa"/>
            <w:vAlign w:val="bottom"/>
          </w:tcPr>
          <w:p w14:paraId="6E1F14E2">
            <w:pPr>
              <w:spacing w:line="360" w:lineRule="auto"/>
              <w:jc w:val="center"/>
              <w:rPr>
                <w:rFonts w:ascii="仿宋_GB2312" w:hAnsi="仿宋_GB2312" w:eastAsia="仿宋_GB2312" w:cs="仿宋_GB2312"/>
                <w:w w:val="90"/>
                <w:sz w:val="24"/>
                <w:szCs w:val="24"/>
              </w:rPr>
            </w:pPr>
            <w:permStart w:id="59" w:edGrp="everyone"/>
            <w:r>
              <w:rPr>
                <w:rFonts w:hint="eastAsia" w:ascii="仿宋_GB2312" w:hAnsi="仿宋_GB2312" w:eastAsia="仿宋_GB2312" w:cs="仿宋_GB2312"/>
                <w:b/>
                <w:bCs/>
                <w:w w:val="90"/>
                <w:sz w:val="24"/>
                <w:szCs w:val="24"/>
                <w:u w:val="single"/>
              </w:rPr>
              <w:t>甲方开户银行联行号（非必填）</w:t>
            </w:r>
            <w:permEnd w:id="59"/>
          </w:p>
        </w:tc>
        <w:tc>
          <w:tcPr>
            <w:tcW w:w="2616" w:type="dxa"/>
            <w:vAlign w:val="bottom"/>
          </w:tcPr>
          <w:p w14:paraId="28242A83">
            <w:pPr>
              <w:spacing w:line="360" w:lineRule="auto"/>
              <w:jc w:val="center"/>
              <w:rPr>
                <w:rFonts w:ascii="仿宋_GB2312" w:hAnsi="仿宋_GB2312" w:eastAsia="仿宋_GB2312" w:cs="仿宋_GB2312"/>
                <w:w w:val="90"/>
                <w:sz w:val="24"/>
                <w:szCs w:val="24"/>
              </w:rPr>
            </w:pPr>
            <w:permStart w:id="60" w:edGrp="everyone"/>
            <w:r>
              <w:rPr>
                <w:rFonts w:hint="eastAsia" w:ascii="仿宋_GB2312" w:hAnsi="仿宋_GB2312" w:eastAsia="仿宋_GB2312" w:cs="仿宋_GB2312"/>
                <w:b/>
                <w:bCs/>
                <w:w w:val="90"/>
                <w:sz w:val="24"/>
                <w:szCs w:val="24"/>
                <w:u w:val="single"/>
              </w:rPr>
              <w:t>乙方开户银行联行号</w:t>
            </w:r>
            <w:permEnd w:id="60"/>
          </w:p>
        </w:tc>
        <w:tc>
          <w:tcPr>
            <w:tcW w:w="2444" w:type="dxa"/>
            <w:shd w:val="clear" w:color="auto" w:fill="auto"/>
            <w:vAlign w:val="bottom"/>
          </w:tcPr>
          <w:p w14:paraId="3CCF5252">
            <w:pPr>
              <w:spacing w:line="360" w:lineRule="auto"/>
              <w:jc w:val="center"/>
              <w:rPr>
                <w:rFonts w:ascii="仿宋_GB2312" w:hAnsi="仿宋_GB2312" w:eastAsia="仿宋_GB2312" w:cs="仿宋_GB2312"/>
                <w:b/>
                <w:bCs/>
                <w:w w:val="90"/>
                <w:sz w:val="24"/>
                <w:szCs w:val="24"/>
                <w:u w:val="single"/>
              </w:rPr>
            </w:pPr>
            <w:permStart w:id="61" w:edGrp="everyone"/>
            <w:r>
              <w:rPr>
                <w:rFonts w:hint="eastAsia" w:ascii="仿宋_GB2312" w:hAnsi="仿宋_GB2312" w:eastAsia="仿宋_GB2312" w:cs="仿宋_GB2312"/>
                <w:b/>
                <w:bCs/>
                <w:w w:val="90"/>
                <w:sz w:val="24"/>
                <w:szCs w:val="24"/>
                <w:u w:val="single"/>
              </w:rPr>
              <w:t>丙方开户银行联行号</w:t>
            </w:r>
            <w:permEnd w:id="61"/>
          </w:p>
        </w:tc>
      </w:tr>
      <w:tr w14:paraId="40B46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2DA6F82C">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开户账号</w:t>
            </w:r>
          </w:p>
        </w:tc>
        <w:tc>
          <w:tcPr>
            <w:tcW w:w="2576" w:type="dxa"/>
            <w:vAlign w:val="bottom"/>
          </w:tcPr>
          <w:p w14:paraId="1BF44552">
            <w:pPr>
              <w:spacing w:line="360" w:lineRule="auto"/>
              <w:jc w:val="center"/>
              <w:rPr>
                <w:rFonts w:ascii="仿宋_GB2312" w:hAnsi="仿宋_GB2312" w:eastAsia="仿宋_GB2312" w:cs="仿宋_GB2312"/>
                <w:w w:val="90"/>
                <w:sz w:val="24"/>
                <w:szCs w:val="24"/>
              </w:rPr>
            </w:pPr>
            <w:permStart w:id="62" w:edGrp="everyone"/>
            <w:r>
              <w:rPr>
                <w:rFonts w:hint="eastAsia" w:ascii="仿宋_GB2312" w:hAnsi="仿宋_GB2312" w:eastAsia="仿宋_GB2312" w:cs="仿宋_GB2312"/>
                <w:b/>
                <w:bCs/>
                <w:w w:val="90"/>
                <w:sz w:val="24"/>
                <w:szCs w:val="24"/>
                <w:u w:val="single"/>
              </w:rPr>
              <w:t>甲方银行账号（非必填）</w:t>
            </w:r>
            <w:permEnd w:id="62"/>
          </w:p>
        </w:tc>
        <w:tc>
          <w:tcPr>
            <w:tcW w:w="2616" w:type="dxa"/>
            <w:vAlign w:val="bottom"/>
          </w:tcPr>
          <w:p w14:paraId="776167A5">
            <w:pPr>
              <w:spacing w:line="360" w:lineRule="auto"/>
              <w:jc w:val="center"/>
              <w:rPr>
                <w:rFonts w:ascii="仿宋_GB2312" w:hAnsi="仿宋_GB2312" w:eastAsia="仿宋_GB2312" w:cs="仿宋_GB2312"/>
                <w:w w:val="90"/>
                <w:sz w:val="24"/>
                <w:szCs w:val="24"/>
              </w:rPr>
            </w:pPr>
            <w:permStart w:id="63" w:edGrp="everyone"/>
            <w:r>
              <w:rPr>
                <w:rFonts w:hint="eastAsia" w:ascii="仿宋_GB2312" w:hAnsi="仿宋_GB2312" w:eastAsia="仿宋_GB2312" w:cs="仿宋_GB2312"/>
                <w:b/>
                <w:bCs/>
                <w:w w:val="90"/>
                <w:sz w:val="24"/>
                <w:szCs w:val="24"/>
                <w:u w:val="single"/>
              </w:rPr>
              <w:t>乙方银行账号</w:t>
            </w:r>
            <w:permEnd w:id="63"/>
          </w:p>
        </w:tc>
        <w:tc>
          <w:tcPr>
            <w:tcW w:w="2444" w:type="dxa"/>
            <w:shd w:val="clear" w:color="auto" w:fill="auto"/>
            <w:vAlign w:val="bottom"/>
          </w:tcPr>
          <w:p w14:paraId="6A711E73">
            <w:pPr>
              <w:spacing w:line="360" w:lineRule="auto"/>
              <w:jc w:val="center"/>
              <w:rPr>
                <w:rFonts w:ascii="仿宋_GB2312" w:hAnsi="仿宋_GB2312" w:eastAsia="仿宋_GB2312" w:cs="仿宋_GB2312"/>
                <w:b/>
                <w:bCs/>
                <w:w w:val="90"/>
                <w:sz w:val="24"/>
                <w:szCs w:val="24"/>
                <w:u w:val="single"/>
              </w:rPr>
            </w:pPr>
            <w:permStart w:id="64" w:edGrp="everyone"/>
            <w:r>
              <w:rPr>
                <w:rFonts w:hint="eastAsia" w:ascii="仿宋_GB2312" w:hAnsi="仿宋_GB2312" w:eastAsia="仿宋_GB2312" w:cs="仿宋_GB2312"/>
                <w:b/>
                <w:bCs/>
                <w:w w:val="90"/>
                <w:sz w:val="24"/>
                <w:szCs w:val="24"/>
                <w:u w:val="single"/>
              </w:rPr>
              <w:t>丙方银行账号</w:t>
            </w:r>
            <w:permEnd w:id="64"/>
          </w:p>
        </w:tc>
      </w:tr>
      <w:tr w14:paraId="19568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691" w:type="dxa"/>
            <w:vAlign w:val="bottom"/>
          </w:tcPr>
          <w:p w14:paraId="4260295B">
            <w:pPr>
              <w:spacing w:line="360" w:lineRule="auto"/>
              <w:jc w:val="center"/>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其他信息</w:t>
            </w:r>
          </w:p>
        </w:tc>
        <w:tc>
          <w:tcPr>
            <w:tcW w:w="2576" w:type="dxa"/>
            <w:vAlign w:val="bottom"/>
          </w:tcPr>
          <w:p w14:paraId="6FD0BE4F">
            <w:pPr>
              <w:spacing w:line="360" w:lineRule="auto"/>
              <w:jc w:val="center"/>
              <w:rPr>
                <w:rFonts w:ascii="仿宋_GB2312" w:hAnsi="仿宋_GB2312" w:eastAsia="仿宋_GB2312" w:cs="仿宋_GB2312"/>
                <w:w w:val="90"/>
                <w:sz w:val="24"/>
                <w:szCs w:val="24"/>
              </w:rPr>
            </w:pPr>
            <w:permStart w:id="65" w:edGrp="everyone"/>
            <w:r>
              <w:rPr>
                <w:rFonts w:hint="eastAsia" w:ascii="仿宋_GB2312" w:hAnsi="仿宋_GB2312" w:eastAsia="仿宋_GB2312" w:cs="仿宋_GB2312"/>
                <w:b/>
                <w:bCs/>
                <w:w w:val="90"/>
                <w:sz w:val="24"/>
                <w:szCs w:val="24"/>
                <w:u w:val="single"/>
              </w:rPr>
              <w:t>甲方其他需列明企业信息（非必填）</w:t>
            </w:r>
            <w:permEnd w:id="65"/>
          </w:p>
        </w:tc>
        <w:tc>
          <w:tcPr>
            <w:tcW w:w="2616" w:type="dxa"/>
            <w:vAlign w:val="bottom"/>
          </w:tcPr>
          <w:p w14:paraId="15859635">
            <w:pPr>
              <w:spacing w:line="360" w:lineRule="auto"/>
              <w:jc w:val="center"/>
              <w:rPr>
                <w:rFonts w:ascii="仿宋_GB2312" w:hAnsi="仿宋_GB2312" w:eastAsia="仿宋_GB2312" w:cs="仿宋_GB2312"/>
                <w:w w:val="90"/>
                <w:sz w:val="24"/>
                <w:szCs w:val="24"/>
              </w:rPr>
            </w:pPr>
            <w:permStart w:id="66" w:edGrp="everyone"/>
            <w:r>
              <w:rPr>
                <w:rFonts w:hint="eastAsia" w:ascii="仿宋_GB2312" w:hAnsi="仿宋_GB2312" w:eastAsia="仿宋_GB2312" w:cs="仿宋_GB2312"/>
                <w:b/>
                <w:bCs/>
                <w:w w:val="90"/>
                <w:sz w:val="24"/>
                <w:szCs w:val="24"/>
                <w:u w:val="single"/>
              </w:rPr>
              <w:t>乙方其他需列明企业信息（非必填）</w:t>
            </w:r>
            <w:permEnd w:id="66"/>
          </w:p>
        </w:tc>
        <w:tc>
          <w:tcPr>
            <w:tcW w:w="2444" w:type="dxa"/>
            <w:shd w:val="clear" w:color="auto" w:fill="auto"/>
            <w:vAlign w:val="bottom"/>
          </w:tcPr>
          <w:p w14:paraId="199DD025">
            <w:pPr>
              <w:spacing w:line="360" w:lineRule="auto"/>
              <w:jc w:val="center"/>
              <w:rPr>
                <w:rFonts w:ascii="仿宋_GB2312" w:hAnsi="仿宋_GB2312" w:eastAsia="仿宋_GB2312" w:cs="仿宋_GB2312"/>
                <w:b/>
                <w:bCs/>
                <w:w w:val="90"/>
                <w:sz w:val="24"/>
                <w:szCs w:val="24"/>
                <w:u w:val="single"/>
              </w:rPr>
            </w:pPr>
            <w:permStart w:id="67" w:edGrp="everyone"/>
            <w:r>
              <w:rPr>
                <w:rFonts w:hint="eastAsia" w:ascii="仿宋_GB2312" w:hAnsi="仿宋_GB2312" w:eastAsia="仿宋_GB2312" w:cs="仿宋_GB2312"/>
                <w:b/>
                <w:bCs/>
                <w:w w:val="90"/>
                <w:sz w:val="24"/>
                <w:szCs w:val="24"/>
                <w:u w:val="single"/>
              </w:rPr>
              <w:t>丙方其他需列明企业信息（非必填）</w:t>
            </w:r>
            <w:permEnd w:id="67"/>
          </w:p>
        </w:tc>
      </w:tr>
    </w:tbl>
    <w:p w14:paraId="6447D11C">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合同履行过程中，如各方基本信息发生变更，应及时以书面形式告知对方并就付款账户信息变更签署相关补充协议。</w:t>
      </w:r>
    </w:p>
    <w:p w14:paraId="79F3C479">
      <w:pPr>
        <w:tabs>
          <w:tab w:val="left" w:pos="0"/>
          <w:tab w:val="left" w:pos="9060"/>
        </w:tabs>
        <w:spacing w:line="360" w:lineRule="auto"/>
        <w:ind w:firstLine="480"/>
        <w:rPr>
          <w:rFonts w:eastAsia="Calibri"/>
          <w:sz w:val="36"/>
        </w:rPr>
      </w:pPr>
      <w:r>
        <w:rPr>
          <w:rFonts w:ascii="黑体" w:hAnsi="黑体" w:eastAsia="黑体"/>
          <w:sz w:val="24"/>
        </w:rPr>
        <w:t>3.生效条款</w:t>
      </w:r>
    </w:p>
    <w:p w14:paraId="1E6869BB">
      <w:pPr>
        <w:spacing w:line="360" w:lineRule="auto"/>
        <w:ind w:firstLine="480"/>
      </w:pPr>
      <w:r>
        <w:rPr>
          <w:rFonts w:ascii="仿宋_GB2312" w:hAnsi="仿宋_GB2312" w:eastAsia="仿宋_GB2312"/>
          <w:sz w:val="24"/>
        </w:rPr>
        <w:t>3.1本合同经</w:t>
      </w:r>
      <w:r>
        <w:rPr>
          <w:rFonts w:hint="eastAsia" w:ascii="仿宋_GB2312" w:hAnsi="仿宋_GB2312" w:eastAsia="仿宋_GB2312"/>
          <w:sz w:val="24"/>
        </w:rPr>
        <w:t>各</w:t>
      </w:r>
      <w:r>
        <w:rPr>
          <w:rFonts w:ascii="仿宋_GB2312" w:hAnsi="仿宋_GB2312" w:eastAsia="仿宋_GB2312"/>
          <w:sz w:val="24"/>
        </w:rPr>
        <w:t>方签署后生效。</w:t>
      </w:r>
    </w:p>
    <w:p w14:paraId="4F98B09F">
      <w:pPr>
        <w:spacing w:line="360" w:lineRule="auto"/>
        <w:ind w:firstLine="480"/>
      </w:pPr>
      <w:r>
        <w:rPr>
          <w:rFonts w:ascii="仿宋_GB2312" w:hAnsi="仿宋_GB2312" w:eastAsia="仿宋_GB2312"/>
          <w:sz w:val="24"/>
        </w:rPr>
        <w:t>3.2本合同一式四份，</w:t>
      </w:r>
      <w:r>
        <w:rPr>
          <w:rFonts w:hint="eastAsia" w:ascii="仿宋_GB2312" w:hAnsi="仿宋_GB2312" w:eastAsia="仿宋_GB2312"/>
          <w:sz w:val="24"/>
        </w:rPr>
        <w:t>乙方丙方</w:t>
      </w:r>
      <w:r>
        <w:rPr>
          <w:rFonts w:ascii="仿宋_GB2312" w:hAnsi="仿宋_GB2312" w:eastAsia="仿宋_GB2312"/>
          <w:sz w:val="24"/>
        </w:rPr>
        <w:t>各执</w:t>
      </w:r>
      <w:r>
        <w:rPr>
          <w:rFonts w:hint="eastAsia" w:ascii="仿宋_GB2312" w:hAnsi="仿宋_GB2312" w:eastAsia="仿宋_GB2312"/>
          <w:sz w:val="24"/>
        </w:rPr>
        <w:t>一</w:t>
      </w:r>
      <w:r>
        <w:rPr>
          <w:rFonts w:ascii="仿宋_GB2312" w:hAnsi="仿宋_GB2312" w:eastAsia="仿宋_GB2312"/>
          <w:sz w:val="24"/>
        </w:rPr>
        <w:t>份</w:t>
      </w:r>
      <w:r>
        <w:rPr>
          <w:rFonts w:hint="eastAsia" w:ascii="仿宋_GB2312" w:hAnsi="仿宋_GB2312" w:eastAsia="仿宋_GB2312"/>
          <w:sz w:val="24"/>
        </w:rPr>
        <w:t>，甲方执两份</w:t>
      </w:r>
      <w:r>
        <w:rPr>
          <w:rFonts w:ascii="仿宋_GB2312" w:hAnsi="仿宋_GB2312" w:eastAsia="仿宋_GB2312"/>
          <w:sz w:val="24"/>
        </w:rPr>
        <w:t>，具有同等法律效力。</w:t>
      </w:r>
    </w:p>
    <w:p w14:paraId="29EB6C44">
      <w:pPr>
        <w:tabs>
          <w:tab w:val="left" w:pos="0"/>
          <w:tab w:val="left" w:pos="9060"/>
        </w:tabs>
        <w:spacing w:line="360" w:lineRule="auto"/>
        <w:ind w:firstLine="480"/>
        <w:rPr>
          <w:rFonts w:eastAsia="Calibri"/>
          <w:sz w:val="36"/>
        </w:rPr>
      </w:pPr>
      <w:r>
        <w:rPr>
          <w:rFonts w:ascii="黑体" w:hAnsi="黑体" w:eastAsia="黑体"/>
          <w:sz w:val="24"/>
        </w:rPr>
        <w:t>4.特殊约定</w:t>
      </w:r>
    </w:p>
    <w:p w14:paraId="1FE515E6">
      <w:pPr>
        <w:spacing w:line="360" w:lineRule="auto"/>
        <w:ind w:firstLine="437"/>
      </w:pPr>
      <w:permStart w:id="68" w:edGrp="everyone"/>
      <w:r>
        <w:rPr>
          <w:rFonts w:ascii="仿宋_GB2312" w:hAnsi="仿宋_GB2312" w:eastAsia="仿宋_GB2312"/>
          <w:b/>
          <w:w w:val="90"/>
          <w:sz w:val="24"/>
          <w:u w:val="single"/>
        </w:rPr>
        <w:t xml:space="preserve">特殊约定事项，据实填写：4.1                </w:t>
      </w:r>
      <w:r>
        <w:rPr>
          <w:rFonts w:ascii="仿宋_GB2312" w:hAnsi="仿宋_GB2312" w:eastAsia="仿宋_GB2312"/>
          <w:b/>
          <w:w w:val="90"/>
          <w:sz w:val="24"/>
        </w:rPr>
        <w:t>;4.2</w:t>
      </w:r>
      <w:r>
        <w:rPr>
          <w:rFonts w:ascii="仿宋_GB2312" w:hAnsi="仿宋_GB2312" w:eastAsia="仿宋_GB2312"/>
          <w:b/>
          <w:w w:val="90"/>
          <w:sz w:val="24"/>
          <w:u w:val="single"/>
        </w:rPr>
        <w:t xml:space="preserve">              </w:t>
      </w:r>
      <w:r>
        <w:rPr>
          <w:rFonts w:ascii="仿宋_GB2312" w:hAnsi="仿宋_GB2312" w:eastAsia="仿宋_GB2312"/>
          <w:b/>
          <w:w w:val="90"/>
          <w:sz w:val="24"/>
        </w:rPr>
        <w:t>;……。若无，</w:t>
      </w:r>
      <w:r>
        <w:rPr>
          <w:rFonts w:ascii="仿宋_GB2312" w:hAnsi="仿宋_GB2312" w:eastAsia="仿宋_GB2312"/>
          <w:b/>
          <w:sz w:val="24"/>
          <w:u w:val="single"/>
        </w:rPr>
        <w:t>填写“无”。专用条款、通用条款中需进行修改的部分应在此处予以体现。</w:t>
      </w:r>
      <w:permEnd w:id="68"/>
    </w:p>
    <w:p w14:paraId="7E721262">
      <w:pPr>
        <w:widowControl/>
        <w:adjustRightInd w:val="0"/>
        <w:snapToGrid w:val="0"/>
        <w:spacing w:line="360" w:lineRule="auto"/>
        <w:ind w:firstLine="480" w:firstLineChars="200"/>
        <w:jc w:val="left"/>
        <w:rPr>
          <w:rFonts w:ascii="仿宋_GB2312" w:hAnsi="宋体" w:eastAsia="仿宋_GB2312"/>
          <w:snapToGrid w:val="0"/>
          <w:kern w:val="0"/>
          <w:sz w:val="24"/>
          <w:szCs w:val="24"/>
          <w:lang w:eastAsia="zh-Hans"/>
        </w:rPr>
      </w:pPr>
    </w:p>
    <w:p w14:paraId="7144BB75">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69" w:edGrp="everyone"/>
      <w:r>
        <w:rPr>
          <w:rFonts w:hint="eastAsia" w:ascii="仿宋_GB2312" w:hAnsi="宋体" w:eastAsia="仿宋_GB2312"/>
          <w:b/>
          <w:bCs/>
          <w:snapToGrid w:val="0"/>
          <w:kern w:val="0"/>
          <w:sz w:val="24"/>
          <w:szCs w:val="24"/>
          <w:u w:val="single"/>
        </w:rPr>
        <w:t>甲方单位全称</w:t>
      </w:r>
      <w:permEnd w:id="69"/>
    </w:p>
    <w:p w14:paraId="6E439295">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16B01F02">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708BBE1">
      <w:pPr>
        <w:widowControl/>
        <w:adjustRightInd w:val="0"/>
        <w:snapToGrid w:val="0"/>
        <w:spacing w:line="360" w:lineRule="auto"/>
        <w:ind w:firstLine="480" w:firstLineChars="200"/>
        <w:jc w:val="left"/>
        <w:rPr>
          <w:rFonts w:ascii="仿宋_GB2312" w:hAnsi="仿宋_GB2312" w:eastAsia="仿宋_GB2312" w:cs="仿宋_GB2312"/>
          <w:b/>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70" w:edGrp="everyone"/>
      <w:r>
        <w:rPr>
          <w:rFonts w:hint="eastAsia" w:ascii="仿宋_GB2312" w:hAnsi="仿宋_GB2312" w:eastAsia="仿宋_GB2312" w:cs="仿宋_GB2312"/>
          <w:b/>
          <w:bCs/>
          <w:sz w:val="24"/>
          <w:szCs w:val="24"/>
          <w:u w:val="single"/>
        </w:rPr>
        <w:t>乙方单位全称</w:t>
      </w:r>
      <w:permEnd w:id="70"/>
    </w:p>
    <w:p w14:paraId="632A8E85">
      <w:pPr>
        <w:ind w:firstLine="480" w:firstLineChars="200"/>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（签字）：</w:t>
      </w:r>
    </w:p>
    <w:p w14:paraId="5A40C078">
      <w:pPr>
        <w:ind w:firstLine="480" w:firstLineChars="200"/>
        <w:rPr>
          <w:rFonts w:ascii="仿宋_GB2312" w:hAnsi="宋体" w:eastAsia="仿宋_GB2312"/>
          <w:snapToGrid w:val="0"/>
          <w:color w:val="000000"/>
          <w:kern w:val="0"/>
          <w:sz w:val="24"/>
          <w:szCs w:val="24"/>
          <w:lang w:eastAsia="zh-Hans"/>
        </w:rPr>
      </w:pPr>
    </w:p>
    <w:p w14:paraId="0B9E61FA">
      <w:pPr>
        <w:ind w:firstLine="480" w:firstLineChars="200"/>
        <w:rPr>
          <w:rFonts w:ascii="仿宋_GB2312" w:hAnsi="宋体" w:eastAsia="仿宋_GB2312"/>
          <w:snapToGrid w:val="0"/>
          <w:color w:val="000000"/>
          <w:kern w:val="0"/>
          <w:sz w:val="24"/>
          <w:szCs w:val="24"/>
          <w:lang w:eastAsia="zh-Hans"/>
        </w:rPr>
      </w:pPr>
    </w:p>
    <w:p w14:paraId="27992D38">
      <w:pPr>
        <w:widowControl/>
        <w:adjustRightInd w:val="0"/>
        <w:snapToGrid w:val="0"/>
        <w:spacing w:line="360" w:lineRule="auto"/>
        <w:ind w:firstLine="480" w:firstLineChars="200"/>
        <w:jc w:val="left"/>
        <w:rPr>
          <w:rFonts w:ascii="仿宋_GB2312" w:hAnsi="仿宋_GB2312" w:eastAsia="仿宋_GB2312" w:cs="仿宋_GB2312"/>
          <w:b/>
          <w:sz w:val="24"/>
          <w:szCs w:val="24"/>
          <w:u w:val="single"/>
        </w:rPr>
      </w:pPr>
      <w:r>
        <w:rPr>
          <w:rFonts w:hint="eastAsia" w:ascii="仿宋_GB2312" w:hAnsi="宋体" w:eastAsia="仿宋_GB2312"/>
          <w:snapToGrid w:val="0"/>
          <w:kern w:val="0"/>
          <w:sz w:val="24"/>
          <w:szCs w:val="24"/>
        </w:rPr>
        <w:t>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71" w:edGrp="everyone"/>
      <w:r>
        <w:rPr>
          <w:rFonts w:hint="eastAsia" w:ascii="仿宋_GB2312" w:hAnsi="仿宋_GB2312" w:eastAsia="仿宋_GB2312" w:cs="仿宋_GB2312"/>
          <w:b/>
          <w:bCs/>
          <w:sz w:val="24"/>
          <w:szCs w:val="24"/>
          <w:u w:val="single"/>
        </w:rPr>
        <w:t>丙方单位全称</w:t>
      </w:r>
      <w:permEnd w:id="71"/>
    </w:p>
    <w:p w14:paraId="37721528">
      <w:pPr>
        <w:ind w:firstLine="480" w:firstLineChars="200"/>
        <w:rPr>
          <w:rFonts w:ascii="仿宋_GB2312" w:hAnsi="宋体" w:eastAsia="仿宋_GB2312"/>
          <w:snapToGrid w:val="0"/>
          <w:color w:val="000000"/>
          <w:kern w:val="0"/>
          <w:sz w:val="24"/>
          <w:szCs w:val="24"/>
          <w:lang w:eastAsia="zh-Hans"/>
        </w:rPr>
        <w:sectPr>
          <w:footerReference r:id="rId7" w:type="default"/>
          <w:pgSz w:w="11907" w:h="16840"/>
          <w:pgMar w:top="1304" w:right="1418" w:bottom="1304" w:left="1418" w:header="724" w:footer="851" w:gutter="0"/>
          <w:cols w:space="720" w:num="1"/>
          <w:docGrid w:linePitch="290" w:charSpace="-3931"/>
        </w:sectPr>
      </w:pPr>
      <w:r>
        <w:rPr>
          <w:rFonts w:hint="eastAsia" w:ascii="仿宋_GB2312" w:hAnsi="宋体" w:eastAsia="仿宋_GB2312"/>
          <w:snapToGrid w:val="0"/>
          <w:color w:val="000000"/>
          <w:kern w:val="0"/>
          <w:sz w:val="24"/>
          <w:szCs w:val="24"/>
        </w:rPr>
        <w:t>丙方代表</w:t>
      </w:r>
      <w:r>
        <w:rPr>
          <w:rFonts w:hint="eastAsia" w:ascii="仿宋_GB2312" w:hAnsi="宋体" w:eastAsia="仿宋_GB2312"/>
          <w:snapToGrid w:val="0"/>
          <w:color w:val="000000"/>
          <w:kern w:val="0"/>
          <w:sz w:val="24"/>
          <w:szCs w:val="24"/>
          <w:lang w:eastAsia="zh-Hans"/>
        </w:rPr>
        <w:t xml:space="preserve">（签字）：  </w:t>
      </w:r>
    </w:p>
    <w:p w14:paraId="50E99DC3">
      <w:pPr>
        <w:ind w:firstLine="480" w:firstLineChars="200"/>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66CE208">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56D8B607">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69229AC4">
      <w:pPr>
        <w:pStyle w:val="3"/>
        <w:ind w:firstLine="480" w:firstLineChars="200"/>
        <w:jc w:val="both"/>
        <w:rPr>
          <w:rFonts w:ascii="黑体" w:hAnsi="黑体" w:eastAsia="黑体" w:cs="黑体"/>
          <w:b w:val="0"/>
          <w:sz w:val="24"/>
          <w:szCs w:val="24"/>
        </w:rPr>
      </w:pPr>
      <w:bookmarkStart w:id="31" w:name="_Toc17619"/>
      <w:bookmarkStart w:id="32" w:name="_Toc11930"/>
      <w:bookmarkStart w:id="33" w:name="_Toc16330018"/>
      <w:bookmarkStart w:id="34" w:name="_Toc11823"/>
      <w:r>
        <w:rPr>
          <w:rFonts w:hint="eastAsia" w:ascii="黑体" w:hAnsi="黑体" w:eastAsia="黑体" w:cs="黑体"/>
          <w:b w:val="0"/>
          <w:sz w:val="24"/>
          <w:szCs w:val="24"/>
        </w:rPr>
        <w:t>1 合同设备</w:t>
      </w:r>
      <w:bookmarkEnd w:id="31"/>
      <w:bookmarkEnd w:id="32"/>
      <w:bookmarkEnd w:id="33"/>
      <w:bookmarkEnd w:id="34"/>
    </w:p>
    <w:p w14:paraId="0A0A9BF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35" w:name="_Toc22800"/>
      <w:bookmarkStart w:id="36" w:name="_Toc29026"/>
      <w:bookmarkStart w:id="37" w:name="_Toc32510"/>
      <w:r>
        <w:rPr>
          <w:rFonts w:hint="eastAsia" w:ascii="仿宋_GB2312" w:hAnsi="仿宋_GB2312" w:eastAsia="仿宋_GB2312" w:cs="仿宋_GB2312"/>
          <w:sz w:val="24"/>
          <w:szCs w:val="24"/>
        </w:rPr>
        <w:t>本合同约定设备的技术规格详见附件二《技术协议书》。</w:t>
      </w:r>
    </w:p>
    <w:p w14:paraId="42884AE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114A9A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3F67790D">
      <w:pPr>
        <w:pStyle w:val="3"/>
        <w:ind w:firstLine="480" w:firstLineChars="200"/>
        <w:jc w:val="both"/>
        <w:rPr>
          <w:rFonts w:ascii="黑体" w:hAnsi="黑体" w:eastAsia="黑体" w:cs="黑体"/>
          <w:b w:val="0"/>
          <w:sz w:val="24"/>
          <w:szCs w:val="24"/>
        </w:rPr>
      </w:pPr>
      <w:bookmarkStart w:id="38" w:name="_Toc16330019"/>
      <w:r>
        <w:rPr>
          <w:rFonts w:hint="eastAsia" w:ascii="黑体" w:hAnsi="黑体" w:eastAsia="黑体" w:cs="黑体"/>
          <w:b w:val="0"/>
          <w:sz w:val="24"/>
          <w:szCs w:val="24"/>
        </w:rPr>
        <w:t>2 包装</w:t>
      </w:r>
      <w:bookmarkEnd w:id="35"/>
      <w:bookmarkEnd w:id="36"/>
      <w:bookmarkEnd w:id="37"/>
      <w:bookmarkEnd w:id="38"/>
    </w:p>
    <w:p w14:paraId="440A4B8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34658F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799D6AA0">
      <w:pPr>
        <w:pStyle w:val="3"/>
        <w:ind w:firstLine="480" w:firstLineChars="200"/>
        <w:jc w:val="both"/>
        <w:rPr>
          <w:rFonts w:ascii="黑体" w:hAnsi="黑体" w:eastAsia="黑体" w:cs="黑体"/>
          <w:b w:val="0"/>
          <w:sz w:val="24"/>
          <w:szCs w:val="24"/>
        </w:rPr>
      </w:pPr>
      <w:bookmarkStart w:id="39" w:name="_Toc2833"/>
      <w:bookmarkStart w:id="40" w:name="_Toc27453"/>
      <w:bookmarkStart w:id="41" w:name="_Toc16330020"/>
      <w:bookmarkStart w:id="42" w:name="_Toc27144"/>
      <w:r>
        <w:rPr>
          <w:rFonts w:hint="eastAsia" w:ascii="黑体" w:hAnsi="黑体" w:eastAsia="黑体" w:cs="黑体"/>
          <w:b w:val="0"/>
          <w:sz w:val="24"/>
          <w:szCs w:val="24"/>
        </w:rPr>
        <w:t>3 运输标记</w:t>
      </w:r>
      <w:bookmarkEnd w:id="39"/>
      <w:bookmarkEnd w:id="40"/>
      <w:bookmarkEnd w:id="41"/>
      <w:bookmarkEnd w:id="42"/>
    </w:p>
    <w:p w14:paraId="0C47DA1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183B448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36D36D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6B4C0F9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5ECADD7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45E191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569C50A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3B648FD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CAFA014">
      <w:pPr>
        <w:pStyle w:val="3"/>
        <w:ind w:firstLine="480" w:firstLineChars="200"/>
        <w:jc w:val="both"/>
        <w:rPr>
          <w:rFonts w:ascii="黑体" w:hAnsi="黑体" w:eastAsia="黑体" w:cs="黑体"/>
          <w:b w:val="0"/>
          <w:sz w:val="24"/>
          <w:szCs w:val="24"/>
        </w:rPr>
      </w:pPr>
      <w:bookmarkStart w:id="43" w:name="_Toc16330021"/>
      <w:bookmarkStart w:id="44" w:name="_Toc7431"/>
      <w:bookmarkStart w:id="45" w:name="_Toc10630"/>
      <w:bookmarkStart w:id="46" w:name="_Toc16133"/>
      <w:r>
        <w:rPr>
          <w:rFonts w:hint="eastAsia" w:ascii="黑体" w:hAnsi="黑体" w:eastAsia="黑体" w:cs="黑体"/>
          <w:b w:val="0"/>
          <w:sz w:val="24"/>
          <w:szCs w:val="24"/>
        </w:rPr>
        <w:t>4 检验</w:t>
      </w:r>
      <w:bookmarkEnd w:id="43"/>
      <w:bookmarkEnd w:id="44"/>
      <w:bookmarkEnd w:id="45"/>
      <w:bookmarkEnd w:id="46"/>
    </w:p>
    <w:p w14:paraId="0F273AC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382E089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3957BBD7">
      <w:pPr>
        <w:pStyle w:val="3"/>
        <w:ind w:firstLine="480" w:firstLineChars="200"/>
        <w:jc w:val="both"/>
        <w:rPr>
          <w:rFonts w:ascii="黑体" w:hAnsi="黑体" w:eastAsia="黑体" w:cs="黑体"/>
          <w:b w:val="0"/>
          <w:sz w:val="24"/>
          <w:szCs w:val="24"/>
        </w:rPr>
      </w:pPr>
      <w:bookmarkStart w:id="47" w:name="_Toc24467"/>
      <w:bookmarkStart w:id="48" w:name="_Toc19850"/>
      <w:bookmarkStart w:id="49" w:name="_Toc16330022"/>
      <w:bookmarkStart w:id="50" w:name="_Toc11217"/>
      <w:r>
        <w:rPr>
          <w:rFonts w:hint="eastAsia" w:ascii="黑体" w:hAnsi="黑体" w:eastAsia="黑体" w:cs="黑体"/>
          <w:b w:val="0"/>
          <w:sz w:val="24"/>
          <w:szCs w:val="24"/>
        </w:rPr>
        <w:t>5 权利担保</w:t>
      </w:r>
      <w:bookmarkEnd w:id="47"/>
      <w:bookmarkEnd w:id="48"/>
      <w:bookmarkEnd w:id="49"/>
      <w:bookmarkEnd w:id="50"/>
    </w:p>
    <w:p w14:paraId="59D385F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5B0088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6A2BD8C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1260850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6DF3953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35ED0888">
      <w:pPr>
        <w:pStyle w:val="3"/>
        <w:ind w:firstLine="480" w:firstLineChars="200"/>
        <w:jc w:val="both"/>
        <w:rPr>
          <w:rFonts w:ascii="黑体" w:hAnsi="黑体" w:eastAsia="黑体" w:cs="黑体"/>
          <w:b w:val="0"/>
          <w:sz w:val="24"/>
          <w:szCs w:val="24"/>
        </w:rPr>
      </w:pPr>
      <w:bookmarkStart w:id="51" w:name="_Toc14809"/>
      <w:bookmarkStart w:id="52" w:name="_Toc16330023"/>
      <w:bookmarkStart w:id="53" w:name="_Toc11759"/>
      <w:bookmarkStart w:id="54" w:name="_Toc27500"/>
      <w:r>
        <w:rPr>
          <w:rFonts w:hint="eastAsia" w:ascii="黑体" w:hAnsi="黑体" w:eastAsia="黑体" w:cs="黑体"/>
          <w:b w:val="0"/>
          <w:sz w:val="24"/>
          <w:szCs w:val="24"/>
        </w:rPr>
        <w:t>6 交货</w:t>
      </w:r>
      <w:bookmarkEnd w:id="51"/>
      <w:bookmarkEnd w:id="52"/>
      <w:bookmarkEnd w:id="53"/>
      <w:bookmarkEnd w:id="54"/>
    </w:p>
    <w:p w14:paraId="6584EB9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24E5FC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3F75072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816669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44BC20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CB888D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6.4.2指定地点交货：卖方依照合同约定将合同设备卸载至约定地点，经买方根据合同所约定的数量、型号及配置等内容逐一确认无误后，买卖双方完成交付手续，同时卖方应指导协助买方进行安装调试等工作。</w:t>
      </w:r>
    </w:p>
    <w:p w14:paraId="6FD1241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6.4.3自提：买方依照合同约定到卖方所在地提取合同设备，经买方根据合同所约定的数量、型号及配置等内容逐一确认无误后，买卖双方完成交付手续。</w:t>
      </w:r>
    </w:p>
    <w:p w14:paraId="1336930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6A17F49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007FA64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321F6E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40CBB9E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 xml:space="preserve">6.8 </w:t>
      </w:r>
      <w:r>
        <w:rPr>
          <w:rFonts w:hint="eastAsia" w:ascii="仿宋_GB2312" w:hAnsi="黑体" w:eastAsia="仿宋_GB2312" w:cstheme="minorEastAsia"/>
          <w:sz w:val="24"/>
          <w:szCs w:val="24"/>
        </w:rPr>
        <w:t>制造商对卖方未能按照专用条款约定的时间按时到货的行为</w:t>
      </w:r>
      <w:r>
        <w:rPr>
          <w:rFonts w:hint="eastAsia" w:ascii="仿宋_GB2312" w:hAnsi="仿宋_GB2312" w:eastAsia="仿宋_GB2312" w:cs="仿宋_GB2312"/>
          <w:sz w:val="24"/>
          <w:szCs w:val="24"/>
        </w:rPr>
        <w:t>承担连带责任，买方有权就此直接向制造商主张权利。</w:t>
      </w:r>
    </w:p>
    <w:p w14:paraId="2781AA52">
      <w:pPr>
        <w:pStyle w:val="3"/>
        <w:ind w:firstLine="480" w:firstLineChars="200"/>
        <w:jc w:val="both"/>
        <w:rPr>
          <w:rFonts w:ascii="黑体" w:hAnsi="黑体" w:eastAsia="黑体" w:cs="黑体"/>
          <w:b w:val="0"/>
          <w:sz w:val="24"/>
          <w:szCs w:val="24"/>
        </w:rPr>
      </w:pPr>
      <w:bookmarkStart w:id="55" w:name="_Toc8024"/>
      <w:bookmarkStart w:id="56" w:name="_Toc25510"/>
      <w:bookmarkStart w:id="57" w:name="_Toc16330024"/>
      <w:bookmarkStart w:id="58" w:name="_Toc2984"/>
      <w:r>
        <w:rPr>
          <w:rFonts w:hint="eastAsia" w:ascii="黑体" w:hAnsi="黑体" w:eastAsia="黑体" w:cs="黑体"/>
          <w:b w:val="0"/>
          <w:sz w:val="24"/>
          <w:szCs w:val="24"/>
        </w:rPr>
        <w:t>7 安装、调试</w:t>
      </w:r>
      <w:bookmarkEnd w:id="55"/>
      <w:bookmarkEnd w:id="56"/>
      <w:bookmarkEnd w:id="57"/>
      <w:bookmarkEnd w:id="58"/>
    </w:p>
    <w:p w14:paraId="03BA790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23B8858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 在安装、调试过程中，安装场地及施工人员安全，由卖方负责。由于安装、调试等原因造成买方或他人人身损害或财产损失的，由卖方承担赔偿责任。</w:t>
      </w:r>
    </w:p>
    <w:p w14:paraId="6F836D6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5CE9494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 xml:space="preserve">7.4 </w:t>
      </w:r>
      <w:r>
        <w:rPr>
          <w:rFonts w:hint="eastAsia" w:ascii="仿宋_GB2312" w:hAnsi="黑体" w:eastAsia="仿宋_GB2312" w:cstheme="minorEastAsia"/>
          <w:sz w:val="24"/>
          <w:szCs w:val="24"/>
        </w:rPr>
        <w:t>制造商对卖方未能按照专用条款约定的时间安装调试以及卖方未能履行本条</w:t>
      </w:r>
      <w:r>
        <w:rPr>
          <w:rFonts w:hint="eastAsia" w:ascii="仿宋_GB2312" w:hAnsi="仿宋_GB2312" w:eastAsia="仿宋_GB2312" w:cs="仿宋_GB2312"/>
          <w:sz w:val="24"/>
          <w:szCs w:val="24"/>
        </w:rPr>
        <w:t>上述安装调试义务的行为承担连带责任，买方有权就此直接向制造商主张权利。</w:t>
      </w:r>
    </w:p>
    <w:p w14:paraId="62BF0118">
      <w:pPr>
        <w:pStyle w:val="3"/>
        <w:ind w:firstLine="480" w:firstLineChars="200"/>
        <w:jc w:val="both"/>
        <w:rPr>
          <w:rFonts w:ascii="黑体" w:hAnsi="黑体" w:eastAsia="黑体" w:cs="黑体"/>
          <w:b w:val="0"/>
          <w:sz w:val="24"/>
          <w:szCs w:val="24"/>
        </w:rPr>
      </w:pPr>
      <w:bookmarkStart w:id="59" w:name="_Toc14098"/>
      <w:bookmarkStart w:id="60" w:name="_Toc16330025"/>
      <w:bookmarkStart w:id="61" w:name="_Toc6350"/>
      <w:bookmarkStart w:id="62" w:name="_Toc14260"/>
      <w:r>
        <w:rPr>
          <w:rFonts w:hint="eastAsia" w:ascii="黑体" w:hAnsi="黑体" w:eastAsia="黑体" w:cs="黑体"/>
          <w:b w:val="0"/>
          <w:sz w:val="24"/>
          <w:szCs w:val="24"/>
        </w:rPr>
        <w:t>8 价款与支付</w:t>
      </w:r>
      <w:bookmarkEnd w:id="59"/>
      <w:bookmarkEnd w:id="60"/>
      <w:bookmarkEnd w:id="61"/>
      <w:bookmarkEnd w:id="62"/>
    </w:p>
    <w:p w14:paraId="2D24C49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8.1合同价格以不含税价格为准。若因国家税收法律法规或政策调整对本合同业务的税目、税率等产生影响，买卖双方确定本合同约定的各项业务的不含税价格不做调整，各项业务的含税价格依法依规进行调整。</w:t>
      </w:r>
    </w:p>
    <w:p w14:paraId="75EED1B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0F65DAE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8.3买卖双方约定的付款条件执行中，满足付款条件后甲方在30日内完成付款不被视为付款延迟；若甲方在满足付款条件30日后尚未完成付款的，付款延迟违约计算从满足付款条件第31日起开始计算。</w:t>
      </w:r>
    </w:p>
    <w:p w14:paraId="265A0E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8.4卖方结算时，必须使用合法有效并经买方认可的增值税专用发票，否则不予结算。因发票违规给买方造成的增值税、所得税等损失，由卖方承担相关责任，包括但不限于税款、滞纳金、罚款及其它相关损失。</w:t>
      </w:r>
    </w:p>
    <w:p w14:paraId="59F81041">
      <w:pPr>
        <w:pStyle w:val="3"/>
        <w:ind w:firstLine="480" w:firstLineChars="200"/>
        <w:jc w:val="both"/>
        <w:rPr>
          <w:rFonts w:ascii="黑体" w:hAnsi="黑体" w:eastAsia="黑体" w:cs="黑体"/>
          <w:b w:val="0"/>
          <w:sz w:val="24"/>
          <w:szCs w:val="24"/>
        </w:rPr>
      </w:pPr>
      <w:bookmarkStart w:id="63" w:name="_Toc16330026"/>
      <w:bookmarkStart w:id="64" w:name="_Toc6726"/>
      <w:bookmarkStart w:id="65" w:name="_Toc25708"/>
      <w:bookmarkStart w:id="66" w:name="_Toc24085"/>
      <w:r>
        <w:rPr>
          <w:rFonts w:hint="eastAsia" w:ascii="黑体" w:hAnsi="黑体" w:eastAsia="黑体" w:cs="黑体"/>
          <w:b w:val="0"/>
          <w:sz w:val="24"/>
          <w:szCs w:val="24"/>
        </w:rPr>
        <w:t>9 质量保证及售后服务</w:t>
      </w:r>
      <w:bookmarkEnd w:id="63"/>
      <w:bookmarkEnd w:id="64"/>
      <w:bookmarkEnd w:id="65"/>
      <w:bookmarkEnd w:id="66"/>
    </w:p>
    <w:p w14:paraId="208E4D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4604E54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4244FD5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55E4045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370BE0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46860AE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724B763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1EDBA4E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9.8制造商对卖方未能按照上述约定履行质量保证及售后服务的行为承担连带责任，买方有权就此直接向制造商主张权利。</w:t>
      </w:r>
    </w:p>
    <w:p w14:paraId="1119523E">
      <w:pPr>
        <w:pStyle w:val="3"/>
        <w:ind w:firstLine="480" w:firstLineChars="200"/>
        <w:jc w:val="both"/>
        <w:rPr>
          <w:rFonts w:ascii="黑体" w:hAnsi="黑体" w:eastAsia="黑体" w:cs="黑体"/>
          <w:b w:val="0"/>
          <w:sz w:val="24"/>
          <w:szCs w:val="24"/>
        </w:rPr>
      </w:pPr>
      <w:bookmarkStart w:id="67" w:name="_Toc10359"/>
      <w:bookmarkStart w:id="68" w:name="_Toc16330027"/>
      <w:bookmarkStart w:id="69" w:name="_Toc15570"/>
      <w:bookmarkStart w:id="70" w:name="_Toc12927"/>
      <w:r>
        <w:rPr>
          <w:rFonts w:hint="eastAsia" w:ascii="黑体" w:hAnsi="黑体" w:eastAsia="黑体" w:cs="黑体"/>
          <w:b w:val="0"/>
          <w:sz w:val="24"/>
          <w:szCs w:val="24"/>
        </w:rPr>
        <w:t>10法定责任</w:t>
      </w:r>
      <w:bookmarkEnd w:id="67"/>
      <w:bookmarkEnd w:id="68"/>
      <w:bookmarkEnd w:id="69"/>
      <w:bookmarkEnd w:id="70"/>
      <w:r>
        <w:rPr>
          <w:rFonts w:hint="eastAsia" w:ascii="黑体" w:hAnsi="黑体" w:eastAsia="黑体" w:cs="黑体"/>
          <w:b w:val="0"/>
          <w:sz w:val="24"/>
          <w:szCs w:val="24"/>
        </w:rPr>
        <w:t>及合规责任</w:t>
      </w:r>
    </w:p>
    <w:p w14:paraId="40538E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32D780D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2B2E735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10.3各方同意在履行本合同期间各方之间交换、披露、传递或通信的所有工业和商业信息，任何附加文件或相关文件，应该被视为商业秘密，各方应该按照此处规定仅用于本合同的签订和履行。</w:t>
      </w:r>
    </w:p>
    <w:p w14:paraId="178D1E5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09ACFB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10.5卖方及制造商保证截至本合同签署之日，卖方、制造商及其子公司和关联公司未被列入任何国家或者地区的政府机构或者相关国际组织等发布的限制、制裁或反制清单，未隐瞒任何阻碍及可能阻碍此次交易的相关信息。如在本合同签署后发生上述情形，卖方应当在获知被列入清单后24小时之内以书面形式通知买方。</w:t>
      </w:r>
    </w:p>
    <w:p w14:paraId="0B7B13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10.6卖方及制造商已经充分了解并确保会严格遵守开展业务所需适用国家或者地区的出口管制、经济制裁和反制裁相关法律法规（简称“出口管制与制裁法律法规”）。卖方确认不存在任何因违反所需适用国家或者地区出口管制与制裁法律或其他因卖方原因导致本合同无法履行或者延迟履行的情形。如果卖方及制造商在本合同履行过程中发生或者预见到可能发生该等情形，应当及时以书面形式告知买方。如由于卖方及制造商未履行前述义务或其他可归责于卖方的原因导致延迟履行供货或无法按照本合同约定履行供货义务，卖方应承担违约责任，并承担买方因此受到的全部损失。</w:t>
      </w:r>
    </w:p>
    <w:p w14:paraId="64B0ECE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10.7如本合同项下卖方所销售或者提供的任何产品、零部件、软件、技术和服务（以下统称“物项”）有可能受任何国家或者地区出口管制与制裁法律法规管辖，卖方承诺遵守全部所需适用的有关规定，并确保向买方提供该等物项的合法性与合规性。对于受到出口管制管辖的物项，卖方应当书面告知买方受控物项的全部管制信息，包括但不限于原产国、发运国、ECCN、USML编码等方面的特殊限制、物项管控要求等。</w:t>
      </w:r>
    </w:p>
    <w:p w14:paraId="7E80E44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10.8如因卖方不遵守销售物项所需适用国家或地区的出口管制与制裁法律法规及监管政策而使买方遭受任何损失、费用、索赔、处罚、诉讼因由、损害、责任和费用（包括但不限于律师费，所有诉讼和/或和解费用以及法院费用），卖方应当就此承担全部赔偿责任。买方有权视情况暂停或终止其对相关合同的履行。在该等情况下，买方不构成对相关合同的违约、且不免除卖方履行合同的义务。</w:t>
      </w:r>
    </w:p>
    <w:p w14:paraId="69966A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10.9出于项目合作目的，买方已经或将要向卖方提供有关项目的保密信息。“保密信息”指买方现在或将来向卖方及制造商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及制造商承诺：</w:t>
      </w:r>
    </w:p>
    <w:p w14:paraId="1AA3292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1）仅能将买方提供的保密信息用于本协议所约定的项目并承担保密义务。</w:t>
      </w:r>
    </w:p>
    <w:p w14:paraId="5ED4725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将采取有效措施使用买方提供的保密信息，只将该等保密信息提供给本方负责决策或实施合作事项的具体参与人员，卖方及其相关人员不得以任何方式或形式散布、披露或传播给该范围以外的人（包括卖方关联机构），也不得允许任何保密信息被泄漏、被披露、被交流。</w:t>
      </w:r>
    </w:p>
    <w:p w14:paraId="141CE71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如为项目需要，而不得不向该第三方披露保密信息，则应事先从买方得到书面同意。在披露保密信息之前，按照与本协议相同的保护程度与该第三方签署一份保密协议。若上述第三方（包括其股东、高管、雇员）发生泄密，与该第三方承担连带责任。</w:t>
      </w:r>
    </w:p>
    <w:p w14:paraId="45C1F3E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 xml:space="preserve">4）如得悉买方的任何保密信息遭侵犯或疑似侵权，应立即通知买方。如果买方决定就侵权行为进行起诉，或以其他方式停止或阻止该实际或可能发生的侵权行为，尽最大限度予以协助。 </w:t>
      </w:r>
    </w:p>
    <w:p w14:paraId="50CB6B1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5）不得在世界任何地方就保密信息进行升级、变更和/或改进，亦不得直接或间接提交或促使提交专利或著作权或其它权利的申请，也不得以其名义取得或促使以其他人名义取得任何专利或其它权利注册。</w:t>
      </w:r>
    </w:p>
    <w:p w14:paraId="4A39DA3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 xml:space="preserve">6）应遵从买方不时发出的有关使用、处理和保管保密信息的任何指令或政策，并按照买方的要求将本协议项下保密信息的使用情况向买方汇报。 </w:t>
      </w:r>
    </w:p>
    <w:p w14:paraId="40F9C67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7）不得为第三方利益使用保密信息，不得非为实现各方合作目的使用保密信息，不得对保密信息采取任何反向工程、反向编译或反向分解等行为。</w:t>
      </w:r>
    </w:p>
    <w:p w14:paraId="386563C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8）各方合作期间形成的与本协议有关的任何信息和数据受本协议约束。</w:t>
      </w:r>
    </w:p>
    <w:p w14:paraId="79E963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10.10卖方在各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及制造商承诺：</w:t>
      </w:r>
    </w:p>
    <w:p w14:paraId="2BF26C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数据收集必须基于合法授权，需向数据主体明确告知数据用途，并获得明确同意；处理数据应当符合法律、法规和强制性标准的规定，不得从事危害国家安全、公共利益的数据处理活动，不得非法收集、使用、加工、传输、买卖、提供、公开他人个人信息，不得通过误导、欺诈、胁迫等方式处理个人信息。‌</w:t>
      </w:r>
    </w:p>
    <w:p w14:paraId="5DD0117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在存储数据时需采取严格的安全措施，通过加密、访问控制等措施确保数据的完整性和机密性；在使用和传输数据时，需确保数据使用符合收集时的声明，不得超出必要范围；跨境数据传输时，需符合法律规定的合规要求。需确保数据的收集、存储、使用、传输和销毁等过程符合法律要求，防止数据泄露、滥用和侵犯个人隐私，遵守相关的法律法规、行业准则和道德规范，以保护数据主体的合法权益。‌</w:t>
      </w:r>
    </w:p>
    <w:p w14:paraId="4FC471E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3）如需要数据共享时需取得买方的书面同意并确保各方在使用数据时符合合规要求；当数据不再需要时，需采取适当的措施彻底销毁数据，防止其被恢复和滥用。</w:t>
      </w:r>
    </w:p>
    <w:p w14:paraId="2EC9465E">
      <w:pPr>
        <w:pStyle w:val="3"/>
        <w:ind w:firstLine="480" w:firstLineChars="200"/>
        <w:jc w:val="both"/>
        <w:rPr>
          <w:rFonts w:ascii="黑体" w:hAnsi="黑体" w:eastAsia="黑体" w:cs="黑体"/>
          <w:b w:val="0"/>
          <w:sz w:val="24"/>
          <w:szCs w:val="24"/>
        </w:rPr>
      </w:pPr>
      <w:bookmarkStart w:id="71" w:name="_Toc27314"/>
      <w:bookmarkStart w:id="72" w:name="_Toc30381"/>
      <w:bookmarkStart w:id="73" w:name="_Toc16330028"/>
      <w:bookmarkStart w:id="74" w:name="_Toc9708"/>
      <w:r>
        <w:rPr>
          <w:rFonts w:hint="eastAsia" w:ascii="黑体" w:hAnsi="黑体" w:eastAsia="黑体" w:cs="黑体"/>
          <w:b w:val="0"/>
          <w:sz w:val="24"/>
          <w:szCs w:val="24"/>
        </w:rPr>
        <w:t>11 违约责任</w:t>
      </w:r>
      <w:bookmarkEnd w:id="71"/>
      <w:bookmarkEnd w:id="72"/>
      <w:bookmarkEnd w:id="73"/>
      <w:bookmarkEnd w:id="74"/>
    </w:p>
    <w:p w14:paraId="358C068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D81349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736966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4985978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6A7BAC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38280F8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ascii="仿宋_GB2312" w:hAnsi="仿宋_GB2312" w:eastAsia="仿宋_GB2312" w:cs="仿宋_GB2312"/>
          <w:sz w:val="24"/>
          <w:szCs w:val="24"/>
        </w:rPr>
        <w:t>1.4</w:t>
      </w:r>
      <w:r>
        <w:rPr>
          <w:rFonts w:hint="eastAsia" w:ascii="仿宋_GB2312" w:hAnsi="仿宋_GB2312" w:eastAsia="仿宋_GB2312" w:cs="仿宋_GB2312"/>
          <w:sz w:val="24"/>
          <w:szCs w:val="24"/>
        </w:rPr>
        <w:t>、1</w:t>
      </w:r>
      <w:r>
        <w:rPr>
          <w:rFonts w:ascii="仿宋_GB2312" w:hAnsi="仿宋_GB2312" w:eastAsia="仿宋_GB2312" w:cs="仿宋_GB2312"/>
          <w:sz w:val="24"/>
          <w:szCs w:val="24"/>
        </w:rPr>
        <w:t>.5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7B06818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3738A3F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7E240F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4976091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758C3D9E">
      <w:pPr>
        <w:spacing w:line="360" w:lineRule="auto"/>
        <w:ind w:firstLine="480" w:firstLineChars="200"/>
        <w:rPr>
          <w:rFonts w:ascii="仿宋_GB2312" w:hAnsi="宋体" w:eastAsia="仿宋_GB2312" w:cs="宋体"/>
          <w:sz w:val="24"/>
        </w:rPr>
      </w:pPr>
      <w:r>
        <w:rPr>
          <w:rFonts w:hint="eastAsia" w:ascii="仿宋_GB2312" w:hAnsi="宋体" w:eastAsia="仿宋_GB2312" w:cs="宋体"/>
          <w:sz w:val="24"/>
        </w:rPr>
        <w:t>1</w:t>
      </w:r>
      <w:r>
        <w:rPr>
          <w:rFonts w:ascii="仿宋_GB2312" w:hAnsi="宋体" w:eastAsia="仿宋_GB2312" w:cs="宋体"/>
          <w:sz w:val="24"/>
        </w:rPr>
        <w:t>1.9</w:t>
      </w:r>
      <w:r>
        <w:rPr>
          <w:rFonts w:hint="eastAsia" w:ascii="仿宋_GB2312" w:hAnsi="宋体" w:eastAsia="仿宋_GB2312" w:cs="宋体"/>
          <w:sz w:val="24"/>
        </w:rPr>
        <w:t xml:space="preserve"> 上述卖方应承担的违约责任，制造商应依据合同约定及法律规定承担连带责任，买方有权就此直接向制造商主张权利。制造商在明知或应知卖方违约情形下未采取合理措施的，应就扩大的损失承担相应赔偿责任。</w:t>
      </w:r>
    </w:p>
    <w:p w14:paraId="0A938A99">
      <w:pPr>
        <w:pStyle w:val="3"/>
        <w:ind w:firstLine="480" w:firstLineChars="200"/>
        <w:jc w:val="both"/>
        <w:rPr>
          <w:rFonts w:ascii="黑体" w:hAnsi="黑体" w:eastAsia="黑体" w:cs="黑体"/>
          <w:b w:val="0"/>
          <w:sz w:val="24"/>
          <w:szCs w:val="24"/>
        </w:rPr>
      </w:pPr>
      <w:bookmarkStart w:id="75" w:name="_Toc1827"/>
      <w:bookmarkStart w:id="76" w:name="_Toc9172"/>
      <w:bookmarkStart w:id="77" w:name="_Toc31554"/>
      <w:bookmarkStart w:id="78" w:name="_Toc16330029"/>
      <w:r>
        <w:rPr>
          <w:rFonts w:hint="eastAsia" w:ascii="黑体" w:hAnsi="黑体" w:eastAsia="黑体" w:cs="黑体"/>
          <w:b w:val="0"/>
          <w:sz w:val="24"/>
          <w:szCs w:val="24"/>
        </w:rPr>
        <w:t>12 合同的终止与解除</w:t>
      </w:r>
      <w:bookmarkEnd w:id="75"/>
      <w:bookmarkEnd w:id="76"/>
      <w:bookmarkEnd w:id="77"/>
      <w:bookmarkEnd w:id="78"/>
    </w:p>
    <w:p w14:paraId="4DF9C8A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50FD3B6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12.2经各方协商一致，可以解除本合同。</w:t>
      </w:r>
    </w:p>
    <w:p w14:paraId="5B191BB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7A63CC0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68DF857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0514288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6514C48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729A0CA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4181569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7A2CC9A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6B02B76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3853D89E">
      <w:pPr>
        <w:spacing w:line="360" w:lineRule="auto"/>
        <w:ind w:firstLine="480" w:firstLineChars="200"/>
        <w:rPr>
          <w:rFonts w:ascii="仿宋_GB2312" w:hAnsi="宋体" w:eastAsia="仿宋_GB2312" w:cs="宋体"/>
          <w:sz w:val="24"/>
        </w:rPr>
      </w:pPr>
      <w:r>
        <w:rPr>
          <w:rFonts w:hint="eastAsia" w:ascii="仿宋_GB2312" w:hAnsi="宋体" w:eastAsia="仿宋_GB2312" w:cs="宋体"/>
          <w:sz w:val="24"/>
        </w:rPr>
        <w:t>1</w:t>
      </w:r>
      <w:r>
        <w:rPr>
          <w:rFonts w:ascii="仿宋_GB2312" w:hAnsi="宋体" w:eastAsia="仿宋_GB2312" w:cs="宋体"/>
          <w:sz w:val="24"/>
        </w:rPr>
        <w:t>2.8</w:t>
      </w:r>
      <w:r>
        <w:rPr>
          <w:rFonts w:hint="eastAsia" w:ascii="仿宋_GB2312" w:hAnsi="宋体" w:eastAsia="仿宋_GB2312" w:cs="宋体"/>
          <w:sz w:val="24"/>
        </w:rPr>
        <w:t>本条中适用于卖方的义务条款均同等适用于制造商，制造商应按与卖方相同的标准履行义务。</w:t>
      </w:r>
    </w:p>
    <w:p w14:paraId="2ABDC983">
      <w:pPr>
        <w:pStyle w:val="3"/>
        <w:ind w:firstLine="480" w:firstLineChars="200"/>
        <w:jc w:val="both"/>
        <w:rPr>
          <w:rFonts w:ascii="黑体" w:hAnsi="黑体" w:eastAsia="黑体" w:cs="黑体"/>
          <w:b w:val="0"/>
          <w:sz w:val="24"/>
          <w:szCs w:val="24"/>
        </w:rPr>
      </w:pPr>
      <w:bookmarkStart w:id="79" w:name="_Toc13671"/>
      <w:bookmarkStart w:id="80" w:name="_Toc8620"/>
      <w:bookmarkStart w:id="81" w:name="_Toc16330030"/>
      <w:bookmarkStart w:id="82" w:name="_Toc31945"/>
      <w:r>
        <w:rPr>
          <w:rFonts w:hint="eastAsia" w:ascii="黑体" w:hAnsi="黑体" w:eastAsia="黑体" w:cs="黑体"/>
          <w:b w:val="0"/>
          <w:sz w:val="24"/>
          <w:szCs w:val="24"/>
        </w:rPr>
        <w:t>13 不可抗力</w:t>
      </w:r>
      <w:bookmarkEnd w:id="79"/>
      <w:bookmarkEnd w:id="80"/>
      <w:bookmarkEnd w:id="81"/>
      <w:bookmarkEnd w:id="82"/>
    </w:p>
    <w:p w14:paraId="48071A5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58753BF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0BF4604A">
      <w:pPr>
        <w:pStyle w:val="3"/>
        <w:ind w:firstLine="480" w:firstLineChars="200"/>
        <w:jc w:val="both"/>
        <w:rPr>
          <w:rFonts w:ascii="黑体" w:hAnsi="黑体" w:eastAsia="黑体" w:cs="黑体"/>
          <w:b w:val="0"/>
          <w:sz w:val="24"/>
          <w:szCs w:val="24"/>
        </w:rPr>
      </w:pPr>
      <w:bookmarkStart w:id="83" w:name="_Toc31243"/>
      <w:bookmarkStart w:id="84" w:name="_Toc637"/>
      <w:bookmarkStart w:id="85" w:name="_Toc30389"/>
      <w:bookmarkStart w:id="86" w:name="_Toc16330031"/>
      <w:r>
        <w:rPr>
          <w:rFonts w:hint="eastAsia" w:ascii="黑体" w:hAnsi="黑体" w:eastAsia="黑体" w:cs="黑体"/>
          <w:b w:val="0"/>
          <w:sz w:val="24"/>
          <w:szCs w:val="24"/>
        </w:rPr>
        <w:t>14 通讯</w:t>
      </w:r>
      <w:bookmarkEnd w:id="83"/>
      <w:bookmarkEnd w:id="84"/>
      <w:bookmarkEnd w:id="85"/>
      <w:bookmarkEnd w:id="86"/>
    </w:p>
    <w:p w14:paraId="7E34ABB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5725B30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本合同下的任何通讯按照本合同各方提供的信息，以书信、传真、电子通讯方式或电话作出。</w:t>
      </w:r>
    </w:p>
    <w:p w14:paraId="64F2018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4BD8A5F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96FCC4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128F935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7BB04D7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728EDA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508658B7">
      <w:pPr>
        <w:pStyle w:val="3"/>
        <w:ind w:firstLine="480" w:firstLineChars="200"/>
        <w:jc w:val="both"/>
        <w:rPr>
          <w:rFonts w:ascii="黑体" w:hAnsi="黑体" w:eastAsia="黑体" w:cs="黑体"/>
          <w:b w:val="0"/>
          <w:sz w:val="24"/>
          <w:szCs w:val="24"/>
        </w:rPr>
      </w:pPr>
      <w:bookmarkStart w:id="87" w:name="_Toc9915"/>
      <w:bookmarkStart w:id="88" w:name="_Toc16330032"/>
      <w:bookmarkStart w:id="89" w:name="_Toc12984"/>
      <w:bookmarkStart w:id="90" w:name="_Toc11290"/>
      <w:r>
        <w:rPr>
          <w:rFonts w:hint="eastAsia" w:ascii="黑体" w:hAnsi="黑体" w:eastAsia="黑体" w:cs="黑体"/>
          <w:b w:val="0"/>
          <w:sz w:val="24"/>
          <w:szCs w:val="24"/>
        </w:rPr>
        <w:t>15 适用法律及争议解决</w:t>
      </w:r>
      <w:bookmarkEnd w:id="87"/>
      <w:bookmarkEnd w:id="88"/>
      <w:bookmarkEnd w:id="89"/>
      <w:bookmarkEnd w:id="90"/>
    </w:p>
    <w:p w14:paraId="2F68198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2712598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15.2各方同意将本着诚信的态度协商解决本合同履行过程中产生的任何争议。如果争议事项不能通过各方协商解决，本合同各方同意采用向买方所在地人民法院提起诉讼的方式解决。</w:t>
      </w:r>
    </w:p>
    <w:p w14:paraId="54F4495E">
      <w:pPr>
        <w:pStyle w:val="3"/>
        <w:ind w:firstLine="480" w:firstLineChars="200"/>
        <w:jc w:val="both"/>
        <w:rPr>
          <w:rFonts w:ascii="黑体" w:hAnsi="黑体" w:eastAsia="黑体" w:cs="黑体"/>
          <w:b w:val="0"/>
          <w:sz w:val="24"/>
          <w:szCs w:val="24"/>
        </w:rPr>
      </w:pPr>
      <w:bookmarkStart w:id="91" w:name="_Toc23906"/>
      <w:bookmarkStart w:id="92" w:name="_Toc23765"/>
      <w:bookmarkStart w:id="93" w:name="_Toc16330033"/>
      <w:bookmarkStart w:id="94" w:name="_Toc18207"/>
      <w:r>
        <w:rPr>
          <w:rFonts w:hint="eastAsia" w:ascii="黑体" w:hAnsi="黑体" w:eastAsia="黑体" w:cs="黑体"/>
          <w:b w:val="0"/>
          <w:sz w:val="24"/>
          <w:szCs w:val="24"/>
        </w:rPr>
        <w:t>16 附件</w:t>
      </w:r>
      <w:bookmarkEnd w:id="91"/>
      <w:bookmarkEnd w:id="92"/>
      <w:bookmarkEnd w:id="93"/>
      <w:bookmarkEnd w:id="94"/>
    </w:p>
    <w:p w14:paraId="35C172B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本合同及其附件构成各方关于本合同标的之全部协议，包括但不限于下列文件：</w:t>
      </w:r>
    </w:p>
    <w:p w14:paraId="6F10EBE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737564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26FBEE7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16.3卖方中标的设备投标书以及卖方与制造商出具的一切书面承诺；</w:t>
      </w:r>
    </w:p>
    <w:p w14:paraId="76B6461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EF6531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43E753A4">
      <w:pPr>
        <w:pStyle w:val="3"/>
        <w:ind w:firstLine="480" w:firstLineChars="200"/>
        <w:jc w:val="both"/>
        <w:rPr>
          <w:rFonts w:ascii="黑体" w:hAnsi="黑体" w:eastAsia="黑体" w:cs="黑体"/>
          <w:b w:val="0"/>
          <w:sz w:val="24"/>
          <w:szCs w:val="24"/>
        </w:rPr>
      </w:pPr>
      <w:bookmarkStart w:id="95" w:name="_Toc31331"/>
      <w:bookmarkStart w:id="96" w:name="_Toc16330034"/>
      <w:bookmarkStart w:id="97" w:name="_Toc17656"/>
      <w:bookmarkStart w:id="98" w:name="_Toc27202"/>
      <w:r>
        <w:rPr>
          <w:rFonts w:hint="eastAsia" w:ascii="黑体" w:hAnsi="黑体" w:eastAsia="黑体" w:cs="黑体"/>
          <w:b w:val="0"/>
          <w:sz w:val="24"/>
          <w:szCs w:val="24"/>
        </w:rPr>
        <w:t>17 其他规定</w:t>
      </w:r>
      <w:bookmarkEnd w:id="95"/>
      <w:bookmarkEnd w:id="96"/>
      <w:bookmarkEnd w:id="97"/>
      <w:bookmarkEnd w:id="98"/>
    </w:p>
    <w:p w14:paraId="01E8A35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17.1本合同及其附件构成了各方就本合同所含交易而达成的全部合同，并取代各方先前与该等交易有关的全部口头和书面合同。</w:t>
      </w:r>
    </w:p>
    <w:p w14:paraId="06B8092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35CECB3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66F9E78E">
      <w:pPr>
        <w:spacing w:line="360" w:lineRule="auto"/>
        <w:ind w:firstLine="480" w:firstLineChars="200"/>
        <w:rPr>
          <w:rFonts w:ascii="仿宋_GB2312" w:hAnsi="仿宋_GB2312" w:eastAsia="仿宋_GB2312" w:cs="仿宋_GB2312"/>
          <w:sz w:val="24"/>
          <w:szCs w:val="24"/>
        </w:rPr>
      </w:pPr>
      <w:bookmarkStart w:id="99" w:name="_Toc19077"/>
      <w:bookmarkStart w:id="100" w:name="_Toc16330035"/>
      <w:bookmarkStart w:id="101" w:name="_Toc29136"/>
      <w:bookmarkStart w:id="102"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17.4监造，在合同设备的制造过程中，买方有权派出代表对合同设备制造过程中的关键工序进行质量监督，卖方、制造商有配合买方监造的义务。</w:t>
      </w:r>
    </w:p>
    <w:p w14:paraId="03AF5DA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制造商不能向其分包商或外购材料设备供货商及时付款等原因造成了分包商或外购材料设备供货商对买方发生了围堵上访、法律诉讼等不利的影响，卖方及制造商须承担违约责任及对买方造成的一切损失，同时买方有权直接向分包商或其外购材料设备供货商直接付款，该笔款项将直接从卖方的合同款项中扣除。</w:t>
      </w:r>
    </w:p>
    <w:p w14:paraId="0AECF895">
      <w:pPr>
        <w:pStyle w:val="3"/>
        <w:ind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99"/>
      <w:bookmarkEnd w:id="100"/>
      <w:bookmarkEnd w:id="101"/>
      <w:bookmarkEnd w:id="102"/>
    </w:p>
    <w:p w14:paraId="3469487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或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w:t>
      </w:r>
      <w:r>
        <w:rPr>
          <w:rFonts w:ascii="仿宋_GB2312" w:hAnsi="仿宋_GB2312" w:eastAsia="仿宋_GB2312"/>
          <w:sz w:val="24"/>
        </w:rPr>
        <w:t>如各方签章时间不一致的，以最后签章的时间为准。本合同所有的手写涂改、一方擅自增加、删改、篡改部分无效（个人手写签名除外）。</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各方签署完毕。</w:t>
      </w:r>
    </w:p>
    <w:p w14:paraId="2E610D4A">
      <w:pPr>
        <w:widowControl/>
        <w:adjustRightInd w:val="0"/>
        <w:snapToGrid w:val="0"/>
        <w:spacing w:line="360" w:lineRule="auto"/>
        <w:ind w:firstLine="480" w:firstLineChars="200"/>
        <w:jc w:val="left"/>
        <w:rPr>
          <w:rFonts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72" w:edGrp="everyone"/>
      <w:r>
        <w:rPr>
          <w:rFonts w:hint="eastAsia" w:ascii="仿宋_GB2312" w:hAnsi="宋体" w:eastAsia="仿宋_GB2312"/>
          <w:b/>
          <w:bCs/>
          <w:snapToGrid w:val="0"/>
          <w:kern w:val="0"/>
          <w:sz w:val="24"/>
          <w:szCs w:val="24"/>
          <w:u w:val="single"/>
        </w:rPr>
        <w:t>甲方单位全称</w:t>
      </w:r>
      <w:permEnd w:id="72"/>
    </w:p>
    <w:p w14:paraId="6F11BB44">
      <w:pPr>
        <w:widowControl/>
        <w:adjustRightInd w:val="0"/>
        <w:snapToGrid w:val="0"/>
        <w:spacing w:line="360" w:lineRule="auto"/>
        <w:ind w:firstLine="480" w:firstLineChars="200"/>
        <w:jc w:val="left"/>
        <w:rPr>
          <w:rFonts w:ascii="仿宋_GB2312" w:hAnsi="宋体" w:eastAsia="仿宋_GB2312"/>
          <w:snapToGrid w:val="0"/>
          <w:kern w:val="0"/>
          <w:sz w:val="24"/>
          <w:szCs w:val="24"/>
        </w:rPr>
      </w:pPr>
    </w:p>
    <w:p w14:paraId="2AAF37AB">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1779CC90">
      <w:pPr>
        <w:widowControl/>
        <w:adjustRightInd w:val="0"/>
        <w:snapToGrid w:val="0"/>
        <w:spacing w:line="360" w:lineRule="auto"/>
        <w:ind w:firstLine="480" w:firstLineChars="200"/>
        <w:jc w:val="left"/>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6CDE6C8B">
      <w:pPr>
        <w:widowControl/>
        <w:adjustRightInd w:val="0"/>
        <w:snapToGrid w:val="0"/>
        <w:spacing w:line="360" w:lineRule="auto"/>
        <w:ind w:firstLine="480" w:firstLineChars="200"/>
        <w:jc w:val="left"/>
        <w:rPr>
          <w:rFonts w:ascii="仿宋_GB2312" w:hAnsi="宋体" w:eastAsia="仿宋_GB2312"/>
          <w:snapToGrid w:val="0"/>
          <w:kern w:val="0"/>
          <w:sz w:val="24"/>
          <w:szCs w:val="24"/>
          <w:lang w:eastAsia="zh-Hans"/>
        </w:rPr>
      </w:pPr>
    </w:p>
    <w:p w14:paraId="44339AD1">
      <w:pPr>
        <w:widowControl/>
        <w:adjustRightInd w:val="0"/>
        <w:snapToGrid w:val="0"/>
        <w:spacing w:line="360" w:lineRule="auto"/>
        <w:ind w:firstLine="480" w:firstLineChars="200"/>
        <w:jc w:val="left"/>
        <w:rPr>
          <w:rFonts w:ascii="仿宋_GB2312" w:hAnsi="宋体" w:eastAsia="仿宋_GB2312"/>
          <w:snapToGrid w:val="0"/>
          <w:kern w:val="0"/>
          <w:sz w:val="24"/>
          <w:szCs w:val="24"/>
        </w:rPr>
      </w:pPr>
    </w:p>
    <w:p w14:paraId="4388C392">
      <w:pPr>
        <w:widowControl/>
        <w:adjustRightInd w:val="0"/>
        <w:snapToGrid w:val="0"/>
        <w:spacing w:line="360" w:lineRule="auto"/>
        <w:ind w:firstLine="480" w:firstLineChars="200"/>
        <w:jc w:val="left"/>
        <w:rPr>
          <w:rFonts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ermStart w:id="73" w:edGrp="everyone"/>
      <w:r>
        <w:rPr>
          <w:rFonts w:hint="eastAsia" w:ascii="仿宋_GB2312" w:hAnsi="仿宋_GB2312" w:eastAsia="仿宋_GB2312" w:cs="仿宋_GB2312"/>
          <w:b/>
          <w:bCs/>
          <w:sz w:val="24"/>
          <w:szCs w:val="24"/>
          <w:u w:val="single"/>
        </w:rPr>
        <w:t>乙方单位全称</w:t>
      </w:r>
      <w:permEnd w:id="73"/>
    </w:p>
    <w:p w14:paraId="0CCEC2F7">
      <w:pPr>
        <w:widowControl/>
        <w:adjustRightInd w:val="0"/>
        <w:snapToGrid w:val="0"/>
        <w:spacing w:line="360" w:lineRule="auto"/>
        <w:ind w:firstLine="482" w:firstLineChars="200"/>
        <w:jc w:val="left"/>
        <w:rPr>
          <w:rFonts w:ascii="仿宋_GB2312" w:hAnsi="仿宋_GB2312" w:eastAsia="仿宋_GB2312" w:cs="仿宋_GB2312"/>
          <w:b/>
          <w:sz w:val="24"/>
          <w:szCs w:val="24"/>
          <w:u w:val="single"/>
        </w:rPr>
      </w:pPr>
    </w:p>
    <w:p w14:paraId="1849515F">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 xml:space="preserve">（签字）：   </w:t>
      </w:r>
    </w:p>
    <w:p w14:paraId="553C4DE1">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6258F494">
      <w:pPr>
        <w:rPr>
          <w:rFonts w:ascii="黑体" w:hAnsi="黑体" w:eastAsia="黑体" w:cstheme="minorEastAsia"/>
          <w:sz w:val="28"/>
          <w:szCs w:val="28"/>
        </w:rPr>
      </w:pPr>
    </w:p>
    <w:p w14:paraId="0C6AD75B">
      <w:pPr>
        <w:widowControl/>
        <w:adjustRightInd w:val="0"/>
        <w:snapToGrid w:val="0"/>
        <w:spacing w:line="360" w:lineRule="auto"/>
        <w:ind w:firstLine="480" w:firstLineChars="200"/>
        <w:jc w:val="left"/>
        <w:rPr>
          <w:rFonts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丙方单位全称</w:t>
      </w:r>
    </w:p>
    <w:p w14:paraId="42A6633E">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rPr>
      </w:pPr>
    </w:p>
    <w:p w14:paraId="4BFC3D3E">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丙方代表</w:t>
      </w:r>
      <w:r>
        <w:rPr>
          <w:rFonts w:hint="eastAsia" w:ascii="仿宋_GB2312" w:hAnsi="仿宋_GB2312" w:eastAsia="仿宋_GB2312" w:cs="仿宋_GB2312"/>
          <w:snapToGrid w:val="0"/>
          <w:color w:val="000000"/>
          <w:kern w:val="0"/>
          <w:sz w:val="24"/>
          <w:szCs w:val="24"/>
          <w:lang w:eastAsia="zh-Hans"/>
        </w:rPr>
        <w:t xml:space="preserve">（签字）： </w:t>
      </w:r>
    </w:p>
    <w:p w14:paraId="4C3BC3F8">
      <w:pPr>
        <w:rPr>
          <w:rFonts w:ascii="黑体" w:hAnsi="黑体" w:eastAsia="黑体" w:cstheme="minorEastAsia"/>
          <w:sz w:val="28"/>
          <w:szCs w:val="28"/>
        </w:rPr>
        <w:sectPr>
          <w:pgSz w:w="11907" w:h="16840"/>
          <w:pgMar w:top="1304" w:right="1418" w:bottom="1304" w:left="1418" w:header="724" w:footer="851" w:gutter="0"/>
          <w:cols w:space="720" w:num="1"/>
          <w:docGrid w:linePitch="290" w:charSpace="-3931"/>
        </w:sectPr>
      </w:pPr>
    </w:p>
    <w:p w14:paraId="2385D438">
      <w:pPr>
        <w:rPr>
          <w:highlight w:val="yellow"/>
        </w:rPr>
      </w:pPr>
      <w:r>
        <w:rPr>
          <w:rFonts w:hint="eastAsia" w:ascii="黑体" w:hAnsi="黑体" w:eastAsia="黑体" w:cstheme="minorEastAsia"/>
          <w:sz w:val="28"/>
          <w:szCs w:val="28"/>
        </w:rPr>
        <w:t>附件一：设备清单明细表【作为附件另附】</w:t>
      </w:r>
    </w:p>
    <w:tbl>
      <w:tblPr>
        <w:tblStyle w:val="3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756"/>
        <w:gridCol w:w="790"/>
        <w:gridCol w:w="701"/>
        <w:gridCol w:w="1066"/>
        <w:gridCol w:w="1046"/>
        <w:gridCol w:w="977"/>
        <w:gridCol w:w="881"/>
        <w:gridCol w:w="997"/>
        <w:gridCol w:w="677"/>
        <w:gridCol w:w="677"/>
      </w:tblGrid>
      <w:tr w14:paraId="378B3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31E96D4E">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3DC04B31">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058F5082">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503A902A">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7523B29B">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41CE3879">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7FCFD096">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585E9B95">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4AB83795">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3D79EE77">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52D5E33E">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564A6414">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2562BBF8">
            <w:pPr>
              <w:pStyle w:val="22"/>
              <w:spacing w:line="360" w:lineRule="auto"/>
              <w:ind w:left="0" w:firstLine="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20B6C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2970D720">
            <w:pPr>
              <w:pStyle w:val="22"/>
              <w:spacing w:line="360" w:lineRule="auto"/>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4787326F">
            <w:pPr>
              <w:pStyle w:val="22"/>
              <w:spacing w:line="360" w:lineRule="auto"/>
              <w:ind w:left="0" w:firstLine="0"/>
              <w:jc w:val="center"/>
              <w:rPr>
                <w:rFonts w:ascii="仿宋_GB2312" w:eastAsia="仿宋_GB2312" w:hAnsiTheme="minorEastAsia" w:cstheme="minorEastAsia"/>
              </w:rPr>
            </w:pPr>
          </w:p>
        </w:tc>
        <w:tc>
          <w:tcPr>
            <w:tcW w:w="790" w:type="dxa"/>
            <w:vAlign w:val="center"/>
          </w:tcPr>
          <w:p w14:paraId="24FDC5D1">
            <w:pPr>
              <w:pStyle w:val="22"/>
              <w:spacing w:line="360" w:lineRule="auto"/>
              <w:ind w:left="0" w:firstLine="0"/>
              <w:jc w:val="center"/>
              <w:rPr>
                <w:rFonts w:ascii="仿宋_GB2312" w:eastAsia="仿宋_GB2312" w:hAnsiTheme="minorEastAsia" w:cstheme="minorEastAsia"/>
              </w:rPr>
            </w:pPr>
          </w:p>
        </w:tc>
        <w:tc>
          <w:tcPr>
            <w:tcW w:w="701" w:type="dxa"/>
            <w:vAlign w:val="center"/>
          </w:tcPr>
          <w:p w14:paraId="71670ADC">
            <w:pPr>
              <w:pStyle w:val="22"/>
              <w:spacing w:line="360" w:lineRule="auto"/>
              <w:ind w:left="0" w:firstLine="0"/>
              <w:jc w:val="center"/>
              <w:rPr>
                <w:rFonts w:ascii="仿宋_GB2312" w:eastAsia="仿宋_GB2312" w:hAnsiTheme="minorEastAsia" w:cstheme="minorEastAsia"/>
              </w:rPr>
            </w:pPr>
          </w:p>
        </w:tc>
        <w:tc>
          <w:tcPr>
            <w:tcW w:w="1066" w:type="dxa"/>
            <w:vAlign w:val="center"/>
          </w:tcPr>
          <w:p w14:paraId="2DB8DEA4">
            <w:pPr>
              <w:pStyle w:val="22"/>
              <w:spacing w:line="360" w:lineRule="auto"/>
              <w:ind w:left="0" w:firstLine="0"/>
              <w:jc w:val="center"/>
              <w:rPr>
                <w:rFonts w:ascii="仿宋_GB2312" w:eastAsia="仿宋_GB2312" w:hAnsiTheme="minorEastAsia" w:cstheme="minorEastAsia"/>
              </w:rPr>
            </w:pPr>
          </w:p>
        </w:tc>
        <w:tc>
          <w:tcPr>
            <w:tcW w:w="1046" w:type="dxa"/>
            <w:vAlign w:val="center"/>
          </w:tcPr>
          <w:p w14:paraId="7F45A840">
            <w:pPr>
              <w:pStyle w:val="22"/>
              <w:spacing w:line="360" w:lineRule="auto"/>
              <w:ind w:left="0" w:firstLine="0"/>
              <w:jc w:val="center"/>
              <w:rPr>
                <w:rFonts w:ascii="仿宋_GB2312" w:eastAsia="仿宋_GB2312" w:hAnsiTheme="minorEastAsia" w:cstheme="minorEastAsia"/>
              </w:rPr>
            </w:pPr>
          </w:p>
        </w:tc>
        <w:tc>
          <w:tcPr>
            <w:tcW w:w="977" w:type="dxa"/>
            <w:vAlign w:val="center"/>
          </w:tcPr>
          <w:p w14:paraId="0E2A08A9">
            <w:pPr>
              <w:pStyle w:val="22"/>
              <w:spacing w:line="360" w:lineRule="auto"/>
              <w:ind w:left="0" w:firstLine="0"/>
              <w:jc w:val="center"/>
              <w:rPr>
                <w:rFonts w:ascii="仿宋_GB2312" w:eastAsia="仿宋_GB2312" w:hAnsiTheme="minorEastAsia" w:cstheme="minorEastAsia"/>
              </w:rPr>
            </w:pPr>
          </w:p>
        </w:tc>
        <w:tc>
          <w:tcPr>
            <w:tcW w:w="881" w:type="dxa"/>
            <w:vAlign w:val="center"/>
          </w:tcPr>
          <w:p w14:paraId="4DD8B62B">
            <w:pPr>
              <w:pStyle w:val="22"/>
              <w:spacing w:line="360" w:lineRule="auto"/>
              <w:ind w:left="0" w:firstLine="0"/>
              <w:jc w:val="center"/>
              <w:rPr>
                <w:rFonts w:ascii="仿宋_GB2312" w:eastAsia="仿宋_GB2312" w:hAnsiTheme="minorEastAsia" w:cstheme="minorEastAsia"/>
              </w:rPr>
            </w:pPr>
          </w:p>
        </w:tc>
        <w:tc>
          <w:tcPr>
            <w:tcW w:w="997" w:type="dxa"/>
            <w:vAlign w:val="center"/>
          </w:tcPr>
          <w:p w14:paraId="7274B6DB">
            <w:pPr>
              <w:pStyle w:val="22"/>
              <w:spacing w:line="360" w:lineRule="auto"/>
              <w:ind w:left="0" w:firstLine="0"/>
              <w:jc w:val="center"/>
              <w:rPr>
                <w:rFonts w:ascii="仿宋_GB2312" w:eastAsia="仿宋_GB2312" w:hAnsiTheme="minorEastAsia" w:cstheme="minorEastAsia"/>
              </w:rPr>
            </w:pPr>
          </w:p>
        </w:tc>
        <w:tc>
          <w:tcPr>
            <w:tcW w:w="677" w:type="dxa"/>
            <w:vAlign w:val="center"/>
          </w:tcPr>
          <w:p w14:paraId="6C1F4619">
            <w:pPr>
              <w:pStyle w:val="22"/>
              <w:spacing w:line="360" w:lineRule="auto"/>
              <w:ind w:left="0" w:firstLine="0"/>
              <w:jc w:val="center"/>
              <w:rPr>
                <w:rFonts w:ascii="仿宋_GB2312" w:eastAsia="仿宋_GB2312" w:hAnsiTheme="minorEastAsia" w:cstheme="minorEastAsia"/>
              </w:rPr>
            </w:pPr>
          </w:p>
        </w:tc>
        <w:tc>
          <w:tcPr>
            <w:tcW w:w="677" w:type="dxa"/>
            <w:vAlign w:val="center"/>
          </w:tcPr>
          <w:p w14:paraId="716622E8">
            <w:pPr>
              <w:pStyle w:val="22"/>
              <w:spacing w:line="360" w:lineRule="auto"/>
              <w:ind w:left="0" w:firstLine="0"/>
              <w:jc w:val="center"/>
              <w:rPr>
                <w:rFonts w:ascii="仿宋_GB2312" w:eastAsia="仿宋_GB2312" w:hAnsiTheme="minorEastAsia" w:cstheme="minorEastAsia"/>
              </w:rPr>
            </w:pPr>
          </w:p>
        </w:tc>
      </w:tr>
      <w:tr w14:paraId="644E1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859C50F">
            <w:pPr>
              <w:pStyle w:val="22"/>
              <w:spacing w:line="360" w:lineRule="auto"/>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0C815220">
            <w:pPr>
              <w:pStyle w:val="22"/>
              <w:spacing w:line="360" w:lineRule="auto"/>
              <w:ind w:left="0" w:firstLine="0"/>
              <w:jc w:val="center"/>
              <w:rPr>
                <w:rFonts w:ascii="仿宋_GB2312" w:eastAsia="仿宋_GB2312" w:hAnsiTheme="minorEastAsia" w:cstheme="minorEastAsia"/>
              </w:rPr>
            </w:pPr>
          </w:p>
        </w:tc>
        <w:tc>
          <w:tcPr>
            <w:tcW w:w="790" w:type="dxa"/>
            <w:vAlign w:val="center"/>
          </w:tcPr>
          <w:p w14:paraId="15A9CC2D">
            <w:pPr>
              <w:pStyle w:val="22"/>
              <w:spacing w:line="360" w:lineRule="auto"/>
              <w:ind w:left="0" w:firstLine="0"/>
              <w:jc w:val="center"/>
              <w:rPr>
                <w:rFonts w:ascii="仿宋_GB2312" w:eastAsia="仿宋_GB2312" w:hAnsiTheme="minorEastAsia" w:cstheme="minorEastAsia"/>
              </w:rPr>
            </w:pPr>
          </w:p>
        </w:tc>
        <w:tc>
          <w:tcPr>
            <w:tcW w:w="701" w:type="dxa"/>
            <w:vAlign w:val="center"/>
          </w:tcPr>
          <w:p w14:paraId="164F1049">
            <w:pPr>
              <w:pStyle w:val="22"/>
              <w:spacing w:line="360" w:lineRule="auto"/>
              <w:ind w:left="0" w:firstLine="0"/>
              <w:jc w:val="center"/>
              <w:rPr>
                <w:rFonts w:ascii="仿宋_GB2312" w:eastAsia="仿宋_GB2312" w:hAnsiTheme="minorEastAsia" w:cstheme="minorEastAsia"/>
              </w:rPr>
            </w:pPr>
          </w:p>
        </w:tc>
        <w:tc>
          <w:tcPr>
            <w:tcW w:w="1066" w:type="dxa"/>
            <w:vAlign w:val="center"/>
          </w:tcPr>
          <w:p w14:paraId="4890978D">
            <w:pPr>
              <w:pStyle w:val="22"/>
              <w:spacing w:line="360" w:lineRule="auto"/>
              <w:ind w:left="0" w:firstLine="0"/>
              <w:jc w:val="center"/>
              <w:rPr>
                <w:rFonts w:ascii="仿宋_GB2312" w:eastAsia="仿宋_GB2312" w:hAnsiTheme="minorEastAsia" w:cstheme="minorEastAsia"/>
              </w:rPr>
            </w:pPr>
          </w:p>
        </w:tc>
        <w:tc>
          <w:tcPr>
            <w:tcW w:w="1046" w:type="dxa"/>
            <w:vAlign w:val="center"/>
          </w:tcPr>
          <w:p w14:paraId="5C278760">
            <w:pPr>
              <w:pStyle w:val="22"/>
              <w:spacing w:line="360" w:lineRule="auto"/>
              <w:ind w:left="0" w:firstLine="0"/>
              <w:jc w:val="center"/>
              <w:rPr>
                <w:rFonts w:ascii="仿宋_GB2312" w:eastAsia="仿宋_GB2312" w:hAnsiTheme="minorEastAsia" w:cstheme="minorEastAsia"/>
              </w:rPr>
            </w:pPr>
          </w:p>
        </w:tc>
        <w:tc>
          <w:tcPr>
            <w:tcW w:w="977" w:type="dxa"/>
            <w:vAlign w:val="center"/>
          </w:tcPr>
          <w:p w14:paraId="5F2652C7">
            <w:pPr>
              <w:pStyle w:val="22"/>
              <w:spacing w:line="360" w:lineRule="auto"/>
              <w:ind w:left="0" w:firstLine="0"/>
              <w:jc w:val="center"/>
              <w:rPr>
                <w:rFonts w:ascii="仿宋_GB2312" w:eastAsia="仿宋_GB2312" w:hAnsiTheme="minorEastAsia" w:cstheme="minorEastAsia"/>
              </w:rPr>
            </w:pPr>
          </w:p>
        </w:tc>
        <w:tc>
          <w:tcPr>
            <w:tcW w:w="881" w:type="dxa"/>
            <w:vAlign w:val="center"/>
          </w:tcPr>
          <w:p w14:paraId="69DF78F3">
            <w:pPr>
              <w:pStyle w:val="22"/>
              <w:spacing w:line="360" w:lineRule="auto"/>
              <w:ind w:left="0" w:firstLine="0"/>
              <w:jc w:val="center"/>
              <w:rPr>
                <w:rFonts w:ascii="仿宋_GB2312" w:eastAsia="仿宋_GB2312" w:hAnsiTheme="minorEastAsia" w:cstheme="minorEastAsia"/>
              </w:rPr>
            </w:pPr>
          </w:p>
        </w:tc>
        <w:tc>
          <w:tcPr>
            <w:tcW w:w="997" w:type="dxa"/>
            <w:vAlign w:val="center"/>
          </w:tcPr>
          <w:p w14:paraId="43733E3B">
            <w:pPr>
              <w:pStyle w:val="22"/>
              <w:spacing w:line="360" w:lineRule="auto"/>
              <w:ind w:left="0" w:firstLine="0"/>
              <w:jc w:val="center"/>
              <w:rPr>
                <w:rFonts w:ascii="仿宋_GB2312" w:eastAsia="仿宋_GB2312" w:hAnsiTheme="minorEastAsia" w:cstheme="minorEastAsia"/>
              </w:rPr>
            </w:pPr>
          </w:p>
        </w:tc>
        <w:tc>
          <w:tcPr>
            <w:tcW w:w="677" w:type="dxa"/>
            <w:vAlign w:val="center"/>
          </w:tcPr>
          <w:p w14:paraId="316267F8">
            <w:pPr>
              <w:pStyle w:val="22"/>
              <w:spacing w:line="360" w:lineRule="auto"/>
              <w:ind w:left="0" w:firstLine="0"/>
              <w:jc w:val="center"/>
              <w:rPr>
                <w:rFonts w:ascii="仿宋_GB2312" w:eastAsia="仿宋_GB2312" w:hAnsiTheme="minorEastAsia" w:cstheme="minorEastAsia"/>
              </w:rPr>
            </w:pPr>
          </w:p>
        </w:tc>
        <w:tc>
          <w:tcPr>
            <w:tcW w:w="677" w:type="dxa"/>
            <w:vAlign w:val="center"/>
          </w:tcPr>
          <w:p w14:paraId="79CB9E0D">
            <w:pPr>
              <w:pStyle w:val="22"/>
              <w:spacing w:line="360" w:lineRule="auto"/>
              <w:ind w:left="0" w:firstLine="0"/>
              <w:jc w:val="center"/>
              <w:rPr>
                <w:rFonts w:ascii="仿宋_GB2312" w:eastAsia="仿宋_GB2312" w:hAnsiTheme="minorEastAsia" w:cstheme="minorEastAsia"/>
              </w:rPr>
            </w:pPr>
          </w:p>
        </w:tc>
      </w:tr>
      <w:tr w14:paraId="74E5A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DF704A5">
            <w:pPr>
              <w:pStyle w:val="22"/>
              <w:spacing w:line="360" w:lineRule="auto"/>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2FF51EE9">
            <w:pPr>
              <w:pStyle w:val="22"/>
              <w:spacing w:line="360" w:lineRule="auto"/>
              <w:ind w:left="0" w:firstLine="0"/>
              <w:jc w:val="center"/>
              <w:rPr>
                <w:rFonts w:ascii="仿宋_GB2312" w:eastAsia="仿宋_GB2312" w:hAnsiTheme="minorEastAsia" w:cstheme="minorEastAsia"/>
              </w:rPr>
            </w:pPr>
          </w:p>
        </w:tc>
        <w:tc>
          <w:tcPr>
            <w:tcW w:w="790" w:type="dxa"/>
            <w:vAlign w:val="center"/>
          </w:tcPr>
          <w:p w14:paraId="2AC485C9">
            <w:pPr>
              <w:pStyle w:val="22"/>
              <w:spacing w:line="360" w:lineRule="auto"/>
              <w:ind w:left="0" w:firstLine="0"/>
              <w:jc w:val="center"/>
              <w:rPr>
                <w:rFonts w:ascii="仿宋_GB2312" w:eastAsia="仿宋_GB2312" w:hAnsiTheme="minorEastAsia" w:cstheme="minorEastAsia"/>
              </w:rPr>
            </w:pPr>
          </w:p>
        </w:tc>
        <w:tc>
          <w:tcPr>
            <w:tcW w:w="701" w:type="dxa"/>
            <w:vAlign w:val="center"/>
          </w:tcPr>
          <w:p w14:paraId="3A22980E">
            <w:pPr>
              <w:pStyle w:val="22"/>
              <w:spacing w:line="360" w:lineRule="auto"/>
              <w:ind w:left="0" w:firstLine="0"/>
              <w:jc w:val="center"/>
              <w:rPr>
                <w:rFonts w:ascii="仿宋_GB2312" w:eastAsia="仿宋_GB2312" w:hAnsiTheme="minorEastAsia" w:cstheme="minorEastAsia"/>
              </w:rPr>
            </w:pPr>
          </w:p>
        </w:tc>
        <w:tc>
          <w:tcPr>
            <w:tcW w:w="1066" w:type="dxa"/>
            <w:vAlign w:val="center"/>
          </w:tcPr>
          <w:p w14:paraId="5CE5628F">
            <w:pPr>
              <w:pStyle w:val="22"/>
              <w:spacing w:line="360" w:lineRule="auto"/>
              <w:ind w:left="0" w:firstLine="0"/>
              <w:jc w:val="center"/>
              <w:rPr>
                <w:rFonts w:ascii="仿宋_GB2312" w:eastAsia="仿宋_GB2312" w:hAnsiTheme="minorEastAsia" w:cstheme="minorEastAsia"/>
              </w:rPr>
            </w:pPr>
          </w:p>
        </w:tc>
        <w:tc>
          <w:tcPr>
            <w:tcW w:w="1046" w:type="dxa"/>
            <w:vAlign w:val="center"/>
          </w:tcPr>
          <w:p w14:paraId="65CE7DDF">
            <w:pPr>
              <w:pStyle w:val="22"/>
              <w:spacing w:line="360" w:lineRule="auto"/>
              <w:ind w:left="0" w:firstLine="0"/>
              <w:jc w:val="center"/>
              <w:rPr>
                <w:rFonts w:ascii="仿宋_GB2312" w:eastAsia="仿宋_GB2312" w:hAnsiTheme="minorEastAsia" w:cstheme="minorEastAsia"/>
              </w:rPr>
            </w:pPr>
          </w:p>
        </w:tc>
        <w:tc>
          <w:tcPr>
            <w:tcW w:w="977" w:type="dxa"/>
            <w:vAlign w:val="center"/>
          </w:tcPr>
          <w:p w14:paraId="23D4011F">
            <w:pPr>
              <w:pStyle w:val="22"/>
              <w:spacing w:line="360" w:lineRule="auto"/>
              <w:ind w:left="0" w:firstLine="0"/>
              <w:jc w:val="center"/>
              <w:rPr>
                <w:rFonts w:ascii="仿宋_GB2312" w:eastAsia="仿宋_GB2312" w:hAnsiTheme="minorEastAsia" w:cstheme="minorEastAsia"/>
              </w:rPr>
            </w:pPr>
          </w:p>
        </w:tc>
        <w:tc>
          <w:tcPr>
            <w:tcW w:w="881" w:type="dxa"/>
            <w:vAlign w:val="center"/>
          </w:tcPr>
          <w:p w14:paraId="2E065300">
            <w:pPr>
              <w:pStyle w:val="22"/>
              <w:spacing w:line="360" w:lineRule="auto"/>
              <w:ind w:left="0" w:firstLine="0"/>
              <w:jc w:val="center"/>
              <w:rPr>
                <w:rFonts w:ascii="仿宋_GB2312" w:eastAsia="仿宋_GB2312" w:hAnsiTheme="minorEastAsia" w:cstheme="minorEastAsia"/>
              </w:rPr>
            </w:pPr>
          </w:p>
        </w:tc>
        <w:tc>
          <w:tcPr>
            <w:tcW w:w="997" w:type="dxa"/>
            <w:vAlign w:val="center"/>
          </w:tcPr>
          <w:p w14:paraId="067BF588">
            <w:pPr>
              <w:pStyle w:val="22"/>
              <w:spacing w:line="360" w:lineRule="auto"/>
              <w:ind w:left="0" w:firstLine="0"/>
              <w:jc w:val="center"/>
              <w:rPr>
                <w:rFonts w:ascii="仿宋_GB2312" w:eastAsia="仿宋_GB2312" w:hAnsiTheme="minorEastAsia" w:cstheme="minorEastAsia"/>
              </w:rPr>
            </w:pPr>
          </w:p>
        </w:tc>
        <w:tc>
          <w:tcPr>
            <w:tcW w:w="677" w:type="dxa"/>
            <w:vAlign w:val="center"/>
          </w:tcPr>
          <w:p w14:paraId="7100FA2C">
            <w:pPr>
              <w:pStyle w:val="22"/>
              <w:spacing w:line="360" w:lineRule="auto"/>
              <w:ind w:left="0" w:firstLine="0"/>
              <w:jc w:val="center"/>
              <w:rPr>
                <w:rFonts w:ascii="仿宋_GB2312" w:eastAsia="仿宋_GB2312" w:hAnsiTheme="minorEastAsia" w:cstheme="minorEastAsia"/>
              </w:rPr>
            </w:pPr>
          </w:p>
        </w:tc>
        <w:tc>
          <w:tcPr>
            <w:tcW w:w="677" w:type="dxa"/>
            <w:vAlign w:val="center"/>
          </w:tcPr>
          <w:p w14:paraId="71111EE0">
            <w:pPr>
              <w:pStyle w:val="22"/>
              <w:spacing w:line="360" w:lineRule="auto"/>
              <w:ind w:left="0" w:firstLine="0"/>
              <w:jc w:val="center"/>
              <w:rPr>
                <w:rFonts w:ascii="仿宋_GB2312" w:eastAsia="仿宋_GB2312" w:hAnsiTheme="minorEastAsia" w:cstheme="minorEastAsia"/>
              </w:rPr>
            </w:pPr>
          </w:p>
        </w:tc>
      </w:tr>
      <w:tr w14:paraId="5B814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B456AA1">
            <w:pPr>
              <w:pStyle w:val="22"/>
              <w:spacing w:line="360" w:lineRule="auto"/>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25C632F2">
            <w:pPr>
              <w:pStyle w:val="22"/>
              <w:spacing w:line="360" w:lineRule="auto"/>
              <w:ind w:left="0" w:firstLine="0"/>
              <w:jc w:val="center"/>
              <w:rPr>
                <w:rFonts w:ascii="仿宋_GB2312" w:eastAsia="仿宋_GB2312" w:hAnsiTheme="minorEastAsia" w:cstheme="minorEastAsia"/>
              </w:rPr>
            </w:pPr>
          </w:p>
        </w:tc>
        <w:tc>
          <w:tcPr>
            <w:tcW w:w="790" w:type="dxa"/>
            <w:vAlign w:val="center"/>
          </w:tcPr>
          <w:p w14:paraId="1214BFE4">
            <w:pPr>
              <w:pStyle w:val="22"/>
              <w:spacing w:line="360" w:lineRule="auto"/>
              <w:ind w:left="0" w:firstLine="0"/>
              <w:jc w:val="center"/>
              <w:rPr>
                <w:rFonts w:ascii="仿宋_GB2312" w:eastAsia="仿宋_GB2312" w:hAnsiTheme="minorEastAsia" w:cstheme="minorEastAsia"/>
              </w:rPr>
            </w:pPr>
          </w:p>
        </w:tc>
        <w:tc>
          <w:tcPr>
            <w:tcW w:w="701" w:type="dxa"/>
            <w:vAlign w:val="center"/>
          </w:tcPr>
          <w:p w14:paraId="7F00CDE4">
            <w:pPr>
              <w:pStyle w:val="22"/>
              <w:spacing w:line="360" w:lineRule="auto"/>
              <w:ind w:left="0" w:firstLine="0"/>
              <w:jc w:val="center"/>
              <w:rPr>
                <w:rFonts w:ascii="仿宋_GB2312" w:eastAsia="仿宋_GB2312" w:hAnsiTheme="minorEastAsia" w:cstheme="minorEastAsia"/>
              </w:rPr>
            </w:pPr>
          </w:p>
        </w:tc>
        <w:tc>
          <w:tcPr>
            <w:tcW w:w="1066" w:type="dxa"/>
            <w:vAlign w:val="center"/>
          </w:tcPr>
          <w:p w14:paraId="7E848249">
            <w:pPr>
              <w:pStyle w:val="22"/>
              <w:spacing w:line="360" w:lineRule="auto"/>
              <w:ind w:left="0" w:firstLine="0"/>
              <w:jc w:val="center"/>
              <w:rPr>
                <w:rFonts w:ascii="仿宋_GB2312" w:eastAsia="仿宋_GB2312" w:hAnsiTheme="minorEastAsia" w:cstheme="minorEastAsia"/>
              </w:rPr>
            </w:pPr>
          </w:p>
        </w:tc>
        <w:tc>
          <w:tcPr>
            <w:tcW w:w="1046" w:type="dxa"/>
            <w:vAlign w:val="center"/>
          </w:tcPr>
          <w:p w14:paraId="13C60693">
            <w:pPr>
              <w:spacing w:line="360" w:lineRule="auto"/>
              <w:jc w:val="center"/>
              <w:rPr>
                <w:rFonts w:ascii="仿宋_GB2312" w:eastAsia="仿宋_GB2312" w:hAnsiTheme="minorEastAsia" w:cstheme="minorEastAsia"/>
              </w:rPr>
            </w:pPr>
          </w:p>
        </w:tc>
        <w:tc>
          <w:tcPr>
            <w:tcW w:w="977" w:type="dxa"/>
            <w:vAlign w:val="center"/>
          </w:tcPr>
          <w:p w14:paraId="41FBB4A6">
            <w:pPr>
              <w:spacing w:line="360" w:lineRule="auto"/>
              <w:jc w:val="center"/>
              <w:rPr>
                <w:rFonts w:ascii="仿宋_GB2312" w:eastAsia="仿宋_GB2312" w:hAnsiTheme="minorEastAsia" w:cstheme="minorEastAsia"/>
              </w:rPr>
            </w:pPr>
          </w:p>
        </w:tc>
        <w:tc>
          <w:tcPr>
            <w:tcW w:w="881" w:type="dxa"/>
            <w:vAlign w:val="center"/>
          </w:tcPr>
          <w:p w14:paraId="7305272D">
            <w:pPr>
              <w:spacing w:line="360" w:lineRule="auto"/>
              <w:jc w:val="center"/>
              <w:rPr>
                <w:rFonts w:ascii="仿宋_GB2312" w:eastAsia="仿宋_GB2312" w:hAnsiTheme="minorEastAsia" w:cstheme="minorEastAsia"/>
              </w:rPr>
            </w:pPr>
          </w:p>
        </w:tc>
        <w:tc>
          <w:tcPr>
            <w:tcW w:w="997" w:type="dxa"/>
            <w:vAlign w:val="center"/>
          </w:tcPr>
          <w:p w14:paraId="798044D1">
            <w:pPr>
              <w:spacing w:line="360" w:lineRule="auto"/>
              <w:jc w:val="center"/>
              <w:rPr>
                <w:rFonts w:ascii="仿宋_GB2312" w:eastAsia="仿宋_GB2312" w:hAnsiTheme="minorEastAsia" w:cstheme="minorEastAsia"/>
              </w:rPr>
            </w:pPr>
          </w:p>
        </w:tc>
        <w:tc>
          <w:tcPr>
            <w:tcW w:w="677" w:type="dxa"/>
            <w:vAlign w:val="center"/>
          </w:tcPr>
          <w:p w14:paraId="69B87063">
            <w:pPr>
              <w:spacing w:line="360" w:lineRule="auto"/>
              <w:jc w:val="center"/>
              <w:rPr>
                <w:rFonts w:ascii="仿宋_GB2312" w:eastAsia="仿宋_GB2312" w:hAnsiTheme="minorEastAsia" w:cstheme="minorEastAsia"/>
              </w:rPr>
            </w:pPr>
          </w:p>
        </w:tc>
        <w:tc>
          <w:tcPr>
            <w:tcW w:w="677" w:type="dxa"/>
            <w:vAlign w:val="center"/>
          </w:tcPr>
          <w:p w14:paraId="3572E650">
            <w:pPr>
              <w:spacing w:line="360" w:lineRule="auto"/>
              <w:jc w:val="center"/>
              <w:rPr>
                <w:rFonts w:ascii="仿宋_GB2312" w:eastAsia="仿宋_GB2312" w:hAnsiTheme="minorEastAsia" w:cstheme="minorEastAsia"/>
              </w:rPr>
            </w:pPr>
          </w:p>
        </w:tc>
      </w:tr>
    </w:tbl>
    <w:p w14:paraId="295FEDEE">
      <w:pPr>
        <w:pStyle w:val="115"/>
      </w:pPr>
    </w:p>
    <w:p w14:paraId="66D8D050">
      <w:pPr>
        <w:rPr>
          <w:rFonts w:asciiTheme="minorEastAsia" w:hAnsiTheme="minorEastAsia" w:cstheme="minorEastAsia"/>
          <w:sz w:val="20"/>
        </w:rPr>
      </w:pPr>
    </w:p>
    <w:p w14:paraId="47D01417">
      <w:pPr>
        <w:widowControl/>
        <w:adjustRightInd w:val="0"/>
        <w:snapToGrid w:val="0"/>
        <w:spacing w:line="360" w:lineRule="auto"/>
        <w:ind w:firstLine="480" w:firstLineChars="200"/>
        <w:jc w:val="left"/>
        <w:rPr>
          <w:rFonts w:ascii="仿宋_GB2312" w:hAnsi="仿宋_GB2312" w:eastAsia="仿宋_GB2312" w:cs="仿宋_GB2312"/>
          <w:snapToGrid w:val="0"/>
          <w:kern w:val="0"/>
          <w:sz w:val="24"/>
          <w:szCs w:val="24"/>
          <w:lang w:eastAsia="zh-Hans"/>
        </w:rPr>
      </w:pPr>
    </w:p>
    <w:p w14:paraId="1D9054EE">
      <w:pPr>
        <w:widowControl/>
        <w:adjustRightInd w:val="0"/>
        <w:snapToGrid w:val="0"/>
        <w:spacing w:line="360" w:lineRule="auto"/>
        <w:ind w:firstLine="480" w:firstLineChars="200"/>
        <w:jc w:val="left"/>
        <w:rPr>
          <w:rFonts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6618EBFF">
      <w:pPr>
        <w:widowControl/>
        <w:adjustRightInd w:val="0"/>
        <w:snapToGrid w:val="0"/>
        <w:spacing w:line="360" w:lineRule="auto"/>
        <w:ind w:firstLine="480" w:firstLineChars="200"/>
        <w:jc w:val="left"/>
        <w:rPr>
          <w:rFonts w:ascii="仿宋_GB2312" w:hAnsi="仿宋_GB2312" w:eastAsia="仿宋_GB2312" w:cs="仿宋_GB2312"/>
          <w:snapToGrid w:val="0"/>
          <w:kern w:val="0"/>
          <w:sz w:val="24"/>
          <w:szCs w:val="24"/>
        </w:rPr>
      </w:pPr>
    </w:p>
    <w:p w14:paraId="63A0BEB8">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6EF6FECA">
      <w:pPr>
        <w:widowControl/>
        <w:adjustRightInd w:val="0"/>
        <w:snapToGrid w:val="0"/>
        <w:spacing w:line="360" w:lineRule="auto"/>
        <w:ind w:firstLine="480" w:firstLineChars="200"/>
        <w:jc w:val="left"/>
        <w:rPr>
          <w:rFonts w:ascii="仿宋_GB2312" w:hAnsi="仿宋_GB2312" w:eastAsia="仿宋_GB2312" w:cs="仿宋_GB2312"/>
          <w:snapToGrid w:val="0"/>
          <w:kern w:val="0"/>
          <w:sz w:val="24"/>
          <w:szCs w:val="24"/>
        </w:rPr>
      </w:pPr>
    </w:p>
    <w:p w14:paraId="0C582934">
      <w:pPr>
        <w:widowControl/>
        <w:adjustRightInd w:val="0"/>
        <w:snapToGrid w:val="0"/>
        <w:spacing w:line="360" w:lineRule="auto"/>
        <w:ind w:firstLine="480" w:firstLineChars="200"/>
        <w:jc w:val="left"/>
        <w:rPr>
          <w:rFonts w:ascii="仿宋_GB2312" w:hAnsi="仿宋_GB2312" w:eastAsia="仿宋_GB2312" w:cs="仿宋_GB2312"/>
          <w:snapToGrid w:val="0"/>
          <w:kern w:val="0"/>
          <w:sz w:val="24"/>
          <w:szCs w:val="24"/>
        </w:rPr>
      </w:pPr>
    </w:p>
    <w:p w14:paraId="282C45AD">
      <w:pPr>
        <w:widowControl/>
        <w:adjustRightInd w:val="0"/>
        <w:snapToGrid w:val="0"/>
        <w:spacing w:line="360" w:lineRule="auto"/>
        <w:ind w:firstLine="480" w:firstLineChars="200"/>
        <w:jc w:val="left"/>
        <w:rPr>
          <w:rFonts w:ascii="仿宋_GB2312" w:hAnsi="仿宋_GB2312" w:eastAsia="仿宋_GB2312" w:cs="仿宋_GB2312"/>
          <w:snapToGrid w:val="0"/>
          <w:kern w:val="0"/>
          <w:sz w:val="24"/>
          <w:szCs w:val="24"/>
        </w:rPr>
      </w:pPr>
    </w:p>
    <w:p w14:paraId="74478D6D">
      <w:pPr>
        <w:widowControl/>
        <w:adjustRightInd w:val="0"/>
        <w:snapToGrid w:val="0"/>
        <w:spacing w:line="360" w:lineRule="auto"/>
        <w:ind w:firstLine="480" w:firstLineChars="200"/>
        <w:jc w:val="left"/>
        <w:rPr>
          <w:rFonts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50EC785A">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rPr>
      </w:pPr>
    </w:p>
    <w:p w14:paraId="4F3E9686">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4837C7E8">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4BB07403">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1BA33A31">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013C6A1E">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6147039A">
      <w:pPr>
        <w:widowControl/>
        <w:adjustRightInd w:val="0"/>
        <w:snapToGrid w:val="0"/>
        <w:spacing w:line="360" w:lineRule="auto"/>
        <w:ind w:firstLine="480" w:firstLineChars="200"/>
        <w:jc w:val="left"/>
        <w:rPr>
          <w:rFonts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丙方单位全称</w:t>
      </w:r>
    </w:p>
    <w:p w14:paraId="15FD1DD1">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rPr>
      </w:pPr>
    </w:p>
    <w:p w14:paraId="36386DBF">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丙方代表</w:t>
      </w:r>
      <w:r>
        <w:rPr>
          <w:rFonts w:hint="eastAsia" w:ascii="仿宋_GB2312" w:hAnsi="仿宋_GB2312" w:eastAsia="仿宋_GB2312" w:cs="仿宋_GB2312"/>
          <w:snapToGrid w:val="0"/>
          <w:color w:val="000000"/>
          <w:kern w:val="0"/>
          <w:sz w:val="24"/>
          <w:szCs w:val="24"/>
          <w:lang w:eastAsia="zh-Hans"/>
        </w:rPr>
        <w:t xml:space="preserve">（签字）： </w:t>
      </w:r>
    </w:p>
    <w:p w14:paraId="67281D1B">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6F6E418E">
      <w:pPr>
        <w:widowControl/>
        <w:adjustRightInd w:val="0"/>
        <w:snapToGrid w:val="0"/>
        <w:spacing w:line="360" w:lineRule="auto"/>
        <w:ind w:firstLine="480" w:firstLineChars="200"/>
        <w:jc w:val="left"/>
        <w:rPr>
          <w:rFonts w:ascii="仿宋_GB2312" w:hAnsi="仿宋_GB2312" w:eastAsia="仿宋_GB2312" w:cs="仿宋_GB2312"/>
          <w:snapToGrid w:val="0"/>
          <w:color w:val="000000"/>
          <w:kern w:val="0"/>
          <w:sz w:val="24"/>
          <w:szCs w:val="24"/>
          <w:lang w:eastAsia="zh-Hans"/>
        </w:rPr>
      </w:pPr>
    </w:p>
    <w:p w14:paraId="0656783B">
      <w:pPr>
        <w:rPr>
          <w:rFonts w:ascii="黑体" w:hAnsi="黑体" w:eastAsia="黑体" w:cstheme="minorEastAsia"/>
          <w:sz w:val="28"/>
          <w:szCs w:val="28"/>
        </w:rPr>
      </w:pPr>
    </w:p>
    <w:p w14:paraId="78E87106">
      <w:pPr>
        <w:rPr>
          <w:rFonts w:ascii="黑体" w:hAnsi="黑体" w:eastAsia="黑体" w:cstheme="minorEastAsia"/>
          <w:sz w:val="28"/>
          <w:szCs w:val="28"/>
        </w:rPr>
      </w:pPr>
      <w:r>
        <w:rPr>
          <w:rFonts w:hint="eastAsia" w:ascii="黑体" w:hAnsi="黑体" w:eastAsia="黑体" w:cstheme="minorEastAsia"/>
          <w:sz w:val="28"/>
          <w:szCs w:val="28"/>
        </w:rPr>
        <w:t>附件二 技术协议书</w:t>
      </w:r>
    </w:p>
    <w:p w14:paraId="740C64A9">
      <w:pPr>
        <w:widowControl/>
        <w:adjustRightInd w:val="0"/>
        <w:snapToGrid w:val="0"/>
        <w:spacing w:line="360" w:lineRule="auto"/>
        <w:jc w:val="left"/>
        <w:rPr>
          <w:rFonts w:ascii="黑体" w:hAnsi="黑体" w:eastAsia="黑体" w:cstheme="minorEastAsia"/>
          <w:sz w:val="28"/>
          <w:szCs w:val="28"/>
          <w:lang w:eastAsia="zh-Hans"/>
        </w:rPr>
      </w:pPr>
      <w:r>
        <w:rPr>
          <w:rFonts w:hint="eastAsia" w:ascii="黑体" w:hAnsi="黑体" w:eastAsia="黑体" w:cstheme="minorEastAsia"/>
          <w:sz w:val="28"/>
          <w:szCs w:val="28"/>
        </w:rPr>
        <w:t>作为附件另附</w:t>
      </w:r>
      <w:bookmarkEnd w:id="29"/>
    </w:p>
    <w:p w14:paraId="210C48EC">
      <w:pPr>
        <w:rPr>
          <w:rFonts w:hint="eastAsia" w:ascii="微软雅黑" w:hAnsi="微软雅黑" w:eastAsia="微软雅黑" w:cs="微软雅黑"/>
          <w:szCs w:val="24"/>
        </w:rPr>
      </w:pPr>
      <w:r>
        <w:rPr>
          <w:rFonts w:hint="eastAsia" w:ascii="微软雅黑" w:hAnsi="微软雅黑" w:eastAsia="微软雅黑" w:cs="微软雅黑"/>
          <w:szCs w:val="24"/>
        </w:rPr>
        <w:br w:type="page"/>
      </w:r>
    </w:p>
    <w:p w14:paraId="0EB8BBEB">
      <w:pPr>
        <w:pStyle w:val="72"/>
        <w:rPr>
          <w:rFonts w:hint="eastAsia" w:ascii="微软雅黑" w:hAnsi="微软雅黑" w:eastAsia="微软雅黑" w:cs="微软雅黑"/>
          <w:lang w:val="en-US" w:eastAsia="zh-CN"/>
        </w:rPr>
      </w:pPr>
      <w:bookmarkStart w:id="103" w:name="_Toc47976615"/>
      <w:bookmarkStart w:id="104" w:name="_Toc5925"/>
      <w:r>
        <w:rPr>
          <w:rFonts w:hint="eastAsia" w:ascii="微软雅黑" w:hAnsi="微软雅黑" w:eastAsia="微软雅黑" w:cs="微软雅黑"/>
        </w:rPr>
        <w:t>第四部分　</w:t>
      </w:r>
      <w:bookmarkEnd w:id="103"/>
      <w:r>
        <w:rPr>
          <w:rFonts w:hint="eastAsia" w:ascii="微软雅黑" w:hAnsi="微软雅黑" w:eastAsia="微软雅黑" w:cs="微软雅黑"/>
          <w:lang w:val="en-US" w:eastAsia="zh-CN"/>
        </w:rPr>
        <w:t>投标文件附件</w:t>
      </w:r>
      <w:bookmarkEnd w:id="104"/>
    </w:p>
    <w:p w14:paraId="34291980">
      <w:pPr>
        <w:pStyle w:val="73"/>
        <w:numPr>
          <w:ilvl w:val="0"/>
          <w:numId w:val="0"/>
        </w:numPr>
        <w:ind w:leftChars="0"/>
        <w:outlineLvl w:val="1"/>
        <w:rPr>
          <w:rFonts w:hint="eastAsia" w:ascii="微软雅黑" w:hAnsi="微软雅黑" w:eastAsia="微软雅黑" w:cs="微软雅黑"/>
          <w:sz w:val="32"/>
          <w:szCs w:val="32"/>
          <w:highlight w:val="yellow"/>
          <w:lang w:val="en-US" w:eastAsia="zh-CN"/>
        </w:rPr>
      </w:pPr>
      <w:bookmarkStart w:id="105" w:name="_Toc4225"/>
      <w:bookmarkStart w:id="106" w:name="_Toc47976616"/>
      <w:r>
        <w:rPr>
          <w:rFonts w:hint="eastAsia" w:ascii="微软雅黑" w:hAnsi="微软雅黑" w:eastAsia="微软雅黑" w:cs="微软雅黑"/>
          <w:sz w:val="32"/>
          <w:szCs w:val="32"/>
          <w:highlight w:val="none"/>
          <w:lang w:val="en-US" w:eastAsia="zh-CN"/>
        </w:rPr>
        <w:t>附件1 法定代表人授权委托书</w:t>
      </w:r>
    </w:p>
    <w:p w14:paraId="5121093B">
      <w:pPr>
        <w:spacing w:line="360" w:lineRule="auto"/>
        <w:jc w:val="center"/>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法定代表人授权委托书</w:t>
      </w:r>
    </w:p>
    <w:p w14:paraId="180342E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本授权委托书声明：我＿＿＿＿＿＿＿（姓名）系＿＿＿＿＿＿＿＿＿＿＿＿＿＿＿＿＿＿＿＿＿＿＿＿（投标人全称）的法定代表人，就</w:t>
      </w:r>
      <w:r>
        <w:rPr>
          <w:rFonts w:hint="eastAsia" w:ascii="微软雅黑" w:hAnsi="微软雅黑" w:eastAsia="微软雅黑" w:cs="微软雅黑"/>
          <w:b/>
          <w:bCs/>
          <w:color w:val="000000"/>
          <w:sz w:val="24"/>
          <w:szCs w:val="24"/>
          <w:u w:val="single"/>
        </w:rPr>
        <w:t xml:space="preserve"> </w:t>
      </w:r>
      <w:r>
        <w:rPr>
          <w:rFonts w:hint="eastAsia" w:ascii="微软雅黑" w:hAnsi="微软雅黑" w:eastAsia="微软雅黑" w:cs="微软雅黑"/>
          <w:b/>
          <w:bCs/>
          <w:color w:val="000000"/>
          <w:sz w:val="24"/>
          <w:szCs w:val="24"/>
          <w:u w:val="single"/>
          <w:lang w:val="en-US" w:eastAsia="zh-CN"/>
        </w:rPr>
        <w:t xml:space="preserve"> </w:t>
      </w:r>
      <w:r>
        <w:rPr>
          <w:rFonts w:hint="eastAsia" w:ascii="微软雅黑" w:hAnsi="微软雅黑" w:eastAsia="微软雅黑" w:cs="微软雅黑"/>
          <w:b/>
          <w:bCs/>
          <w:color w:val="000000"/>
          <w:sz w:val="24"/>
          <w:szCs w:val="24"/>
          <w:highlight w:val="none"/>
          <w:u w:val="single"/>
          <w:lang w:val="en-US" w:eastAsia="zh-CN"/>
        </w:rPr>
        <w:t xml:space="preserve">济南商用车制造公司会议室升级改造技改项目  </w:t>
      </w:r>
      <w:r>
        <w:rPr>
          <w:rFonts w:hint="eastAsia" w:ascii="微软雅黑" w:hAnsi="微软雅黑" w:eastAsia="微软雅黑" w:cs="微软雅黑"/>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hint="eastAsia" w:ascii="微软雅黑" w:hAnsi="微软雅黑" w:eastAsia="微软雅黑" w:cs="微软雅黑"/>
                <w:sz w:val="24"/>
                <w:szCs w:val="20"/>
                <w:u w:val="none"/>
              </w:rPr>
            </w:pPr>
            <w:r>
              <w:rPr>
                <w:rFonts w:hint="eastAsia" w:ascii="微软雅黑" w:hAnsi="微软雅黑" w:eastAsia="微软雅黑" w:cs="微软雅黑"/>
                <w:sz w:val="24"/>
                <w:szCs w:val="20"/>
              </w:rPr>
              <w:t>附法人身份证明复印件</w:t>
            </w:r>
            <w:r>
              <w:rPr>
                <w:rFonts w:hint="eastAsia" w:ascii="微软雅黑" w:hAnsi="微软雅黑" w:eastAsia="微软雅黑" w:cs="微软雅黑"/>
                <w:sz w:val="24"/>
                <w:szCs w:val="20"/>
                <w:u w:val="none"/>
                <w:lang w:eastAsia="zh-CN"/>
              </w:rPr>
              <w:t>（</w:t>
            </w:r>
            <w:r>
              <w:rPr>
                <w:rFonts w:hint="eastAsia" w:ascii="微软雅黑" w:hAnsi="微软雅黑" w:eastAsia="微软雅黑" w:cs="微软雅黑"/>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rPr>
              <w:t>附授权代理人身份证明复印件</w:t>
            </w:r>
            <w:r>
              <w:rPr>
                <w:rFonts w:hint="eastAsia" w:ascii="微软雅黑" w:hAnsi="微软雅黑" w:eastAsia="微软雅黑" w:cs="微软雅黑"/>
                <w:sz w:val="24"/>
                <w:szCs w:val="20"/>
                <w:lang w:eastAsia="zh-CN"/>
              </w:rPr>
              <w:t>（</w:t>
            </w:r>
            <w:r>
              <w:rPr>
                <w:rFonts w:hint="eastAsia" w:ascii="微软雅黑" w:hAnsi="微软雅黑" w:eastAsia="微软雅黑" w:cs="微软雅黑"/>
                <w:sz w:val="24"/>
                <w:szCs w:val="20"/>
                <w:lang w:val="en-US" w:eastAsia="zh-CN"/>
              </w:rPr>
              <w:t>正反面</w:t>
            </w:r>
            <w:r>
              <w:rPr>
                <w:rFonts w:hint="eastAsia" w:ascii="微软雅黑" w:hAnsi="微软雅黑" w:eastAsia="微软雅黑" w:cs="微软雅黑"/>
                <w:sz w:val="24"/>
                <w:szCs w:val="20"/>
                <w:lang w:eastAsia="zh-CN"/>
              </w:rPr>
              <w:t>）</w:t>
            </w:r>
          </w:p>
        </w:tc>
      </w:tr>
    </w:tbl>
    <w:p w14:paraId="6609A01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全权代表姓名：            性别：          年龄：</w:t>
      </w:r>
    </w:p>
    <w:p w14:paraId="73B5E5A9">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单位：                    部门：          职务：</w:t>
      </w:r>
    </w:p>
    <w:p w14:paraId="6F6925F3">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法定代表人签字或盖章                          </w:t>
      </w:r>
    </w:p>
    <w:p w14:paraId="585FAE34">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被授权人签字  </w:t>
      </w:r>
    </w:p>
    <w:p w14:paraId="6A49D1B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被授权人电话：   </w:t>
      </w:r>
    </w:p>
    <w:p w14:paraId="374AA845">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投标人名称（公章）                       </w:t>
      </w:r>
    </w:p>
    <w:p w14:paraId="2D6CAE40">
      <w:pPr>
        <w:spacing w:line="460" w:lineRule="exact"/>
        <w:ind w:firstLine="5520" w:firstLineChars="23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396A5D81">
      <w:pPr>
        <w:pStyle w:val="73"/>
        <w:numPr>
          <w:ilvl w:val="0"/>
          <w:numId w:val="0"/>
        </w:numPr>
        <w:ind w:leftChars="0"/>
        <w:outlineLvl w:val="1"/>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附件2 投标人基本情况及资产情况汇总表</w:t>
      </w:r>
    </w:p>
    <w:p w14:paraId="58088325">
      <w:pPr>
        <w:spacing w:line="360" w:lineRule="auto"/>
        <w:jc w:val="left"/>
        <w:outlineLvl w:val="3"/>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表 1 投标人基本情况表</w:t>
      </w:r>
    </w:p>
    <w:p w14:paraId="0144CA54">
      <w:pPr>
        <w:spacing w:line="360" w:lineRule="auto"/>
        <w:jc w:val="center"/>
        <w:outlineLvl w:val="9"/>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rPr>
                <w:rFonts w:hint="eastAsia" w:ascii="微软雅黑" w:hAnsi="微软雅黑" w:eastAsia="微软雅黑" w:cs="微软雅黑"/>
              </w:rPr>
            </w:pPr>
            <w:r>
              <w:rPr>
                <w:rFonts w:hint="eastAsia" w:ascii="微软雅黑" w:hAnsi="微软雅黑" w:eastAsia="微软雅黑" w:cs="微软雅黑"/>
              </w:rPr>
              <w:t xml:space="preserve">企业名称 </w:t>
            </w:r>
          </w:p>
        </w:tc>
        <w:tc>
          <w:tcPr>
            <w:tcW w:w="4680" w:type="dxa"/>
            <w:gridSpan w:val="4"/>
            <w:vAlign w:val="center"/>
          </w:tcPr>
          <w:p w14:paraId="095B8201">
            <w:pPr>
              <w:widowControl/>
              <w:jc w:val="center"/>
              <w:textAlignment w:val="center"/>
              <w:rPr>
                <w:rFonts w:hint="eastAsia" w:ascii="微软雅黑" w:hAnsi="微软雅黑" w:eastAsia="微软雅黑" w:cs="微软雅黑"/>
                <w:color w:val="000000"/>
              </w:rPr>
            </w:pPr>
          </w:p>
        </w:tc>
        <w:tc>
          <w:tcPr>
            <w:tcW w:w="1310" w:type="dxa"/>
          </w:tcPr>
          <w:p w14:paraId="57DCA48F">
            <w:pPr>
              <w:pStyle w:val="112"/>
              <w:spacing w:before="106"/>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联系人 </w:t>
            </w:r>
          </w:p>
        </w:tc>
        <w:tc>
          <w:tcPr>
            <w:tcW w:w="1510" w:type="dxa"/>
            <w:vAlign w:val="center"/>
          </w:tcPr>
          <w:p w14:paraId="4819903C">
            <w:pPr>
              <w:widowControl/>
              <w:jc w:val="center"/>
              <w:textAlignment w:val="center"/>
              <w:rPr>
                <w:rFonts w:hint="eastAsia" w:ascii="微软雅黑" w:hAnsi="微软雅黑" w:eastAsia="微软雅黑" w:cs="微软雅黑"/>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rPr>
                <w:rFonts w:hint="eastAsia" w:ascii="微软雅黑" w:hAnsi="微软雅黑" w:eastAsia="微软雅黑" w:cs="微软雅黑"/>
              </w:rPr>
            </w:pPr>
            <w:r>
              <w:rPr>
                <w:rFonts w:hint="eastAsia" w:ascii="微软雅黑" w:hAnsi="微软雅黑" w:eastAsia="微软雅黑" w:cs="微软雅黑"/>
              </w:rPr>
              <w:t xml:space="preserve">企业地址 </w:t>
            </w:r>
          </w:p>
        </w:tc>
        <w:tc>
          <w:tcPr>
            <w:tcW w:w="4680" w:type="dxa"/>
            <w:gridSpan w:val="4"/>
            <w:vAlign w:val="center"/>
          </w:tcPr>
          <w:p w14:paraId="4009A84D">
            <w:pPr>
              <w:widowControl/>
              <w:jc w:val="center"/>
              <w:textAlignment w:val="center"/>
              <w:rPr>
                <w:rFonts w:hint="eastAsia" w:ascii="微软雅黑" w:hAnsi="微软雅黑" w:eastAsia="微软雅黑" w:cs="微软雅黑"/>
                <w:color w:val="000000"/>
              </w:rPr>
            </w:pPr>
          </w:p>
        </w:tc>
        <w:tc>
          <w:tcPr>
            <w:tcW w:w="1310" w:type="dxa"/>
          </w:tcPr>
          <w:p w14:paraId="0BA48AC5">
            <w:pPr>
              <w:pStyle w:val="112"/>
              <w:spacing w:before="106"/>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联系人电话 </w:t>
            </w:r>
          </w:p>
        </w:tc>
        <w:tc>
          <w:tcPr>
            <w:tcW w:w="1510" w:type="dxa"/>
            <w:vAlign w:val="center"/>
          </w:tcPr>
          <w:p w14:paraId="7E3EEDA2">
            <w:pPr>
              <w:widowControl/>
              <w:jc w:val="center"/>
              <w:textAlignment w:val="center"/>
              <w:rPr>
                <w:rFonts w:hint="eastAsia" w:ascii="微软雅黑" w:hAnsi="微软雅黑" w:eastAsia="微软雅黑" w:cs="微软雅黑"/>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rPr>
                <w:rFonts w:hint="eastAsia" w:ascii="微软雅黑" w:hAnsi="微软雅黑" w:eastAsia="微软雅黑" w:cs="微软雅黑"/>
              </w:rPr>
            </w:pPr>
            <w:r>
              <w:rPr>
                <w:rFonts w:hint="eastAsia" w:ascii="微软雅黑" w:hAnsi="微软雅黑" w:eastAsia="微软雅黑" w:cs="微软雅黑"/>
              </w:rPr>
              <w:t xml:space="preserve">企业性质 </w:t>
            </w:r>
          </w:p>
        </w:tc>
        <w:tc>
          <w:tcPr>
            <w:tcW w:w="4680" w:type="dxa"/>
            <w:gridSpan w:val="4"/>
            <w:vAlign w:val="center"/>
          </w:tcPr>
          <w:p w14:paraId="5B648FE9">
            <w:pPr>
              <w:widowControl/>
              <w:jc w:val="center"/>
              <w:textAlignment w:val="center"/>
              <w:rPr>
                <w:rFonts w:hint="eastAsia" w:ascii="微软雅黑" w:hAnsi="微软雅黑" w:eastAsia="微软雅黑" w:cs="微软雅黑"/>
                <w:color w:val="000000"/>
              </w:rPr>
            </w:pPr>
          </w:p>
        </w:tc>
        <w:tc>
          <w:tcPr>
            <w:tcW w:w="1310" w:type="dxa"/>
          </w:tcPr>
          <w:p w14:paraId="022012E2">
            <w:pPr>
              <w:pStyle w:val="112"/>
              <w:spacing w:before="103"/>
              <w:ind w:left="154"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 xml:space="preserve">注册时间 </w:t>
            </w:r>
          </w:p>
        </w:tc>
        <w:tc>
          <w:tcPr>
            <w:tcW w:w="1510" w:type="dxa"/>
            <w:vAlign w:val="center"/>
          </w:tcPr>
          <w:p w14:paraId="3FA7830C">
            <w:pPr>
              <w:widowControl/>
              <w:jc w:val="center"/>
              <w:textAlignment w:val="center"/>
              <w:rPr>
                <w:rFonts w:hint="eastAsia" w:ascii="微软雅黑" w:hAnsi="微软雅黑" w:eastAsia="微软雅黑" w:cs="微软雅黑"/>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rFonts w:hint="eastAsia" w:ascii="微软雅黑" w:hAnsi="微软雅黑" w:eastAsia="微软雅黑" w:cs="微软雅黑"/>
                <w:highlight w:val="yellow"/>
              </w:rPr>
            </w:pPr>
            <w:r>
              <w:rPr>
                <w:rFonts w:hint="eastAsia" w:ascii="微软雅黑" w:hAnsi="微软雅黑" w:eastAsia="微软雅黑" w:cs="微软雅黑"/>
              </w:rPr>
              <w:t xml:space="preserve">企业法人代表  </w:t>
            </w:r>
          </w:p>
        </w:tc>
        <w:tc>
          <w:tcPr>
            <w:tcW w:w="4680" w:type="dxa"/>
            <w:gridSpan w:val="4"/>
          </w:tcPr>
          <w:p w14:paraId="4B5F8599">
            <w:pPr>
              <w:pStyle w:val="6"/>
              <w:keepNext w:val="0"/>
              <w:keepLines w:val="0"/>
              <w:widowControl/>
              <w:shd w:val="clear" w:color="auto" w:fill="FFFFFF"/>
              <w:spacing w:before="0" w:after="0" w:line="450" w:lineRule="atLeast"/>
              <w:rPr>
                <w:rFonts w:hint="eastAsia" w:ascii="微软雅黑" w:hAnsi="微软雅黑" w:eastAsia="微软雅黑" w:cs="微软雅黑"/>
                <w:color w:val="000000"/>
              </w:rPr>
            </w:pPr>
          </w:p>
        </w:tc>
        <w:tc>
          <w:tcPr>
            <w:tcW w:w="1310" w:type="dxa"/>
          </w:tcPr>
          <w:p w14:paraId="6D04B196">
            <w:pPr>
              <w:pStyle w:val="112"/>
              <w:spacing w:before="103"/>
              <w:ind w:right="26"/>
              <w:jc w:val="center"/>
              <w:rPr>
                <w:rFonts w:hint="eastAsia" w:ascii="微软雅黑" w:hAnsi="微软雅黑" w:eastAsia="微软雅黑" w:cs="微软雅黑"/>
                <w:color w:val="000000"/>
              </w:rPr>
            </w:pPr>
            <w:r>
              <w:rPr>
                <w:rFonts w:hint="eastAsia" w:ascii="微软雅黑" w:hAnsi="微软雅黑" w:eastAsia="微软雅黑" w:cs="微软雅黑"/>
                <w:color w:val="000000"/>
              </w:rPr>
              <w:t>企业资质</w:t>
            </w:r>
          </w:p>
        </w:tc>
        <w:tc>
          <w:tcPr>
            <w:tcW w:w="1510" w:type="dxa"/>
            <w:vAlign w:val="center"/>
          </w:tcPr>
          <w:p w14:paraId="475B8BC0">
            <w:pPr>
              <w:widowControl/>
              <w:jc w:val="center"/>
              <w:textAlignment w:val="center"/>
              <w:rPr>
                <w:rFonts w:hint="eastAsia" w:ascii="微软雅黑" w:hAnsi="微软雅黑" w:eastAsia="微软雅黑" w:cs="微软雅黑"/>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rPr>
                <w:rFonts w:hint="eastAsia" w:ascii="微软雅黑" w:hAnsi="微软雅黑" w:eastAsia="微软雅黑" w:cs="微软雅黑"/>
              </w:rPr>
            </w:pPr>
            <w:r>
              <w:rPr>
                <w:rFonts w:hint="eastAsia" w:ascii="微软雅黑" w:hAnsi="微软雅黑" w:eastAsia="微软雅黑" w:cs="微软雅黑"/>
              </w:rPr>
              <w:t xml:space="preserve">品牌区分 </w:t>
            </w:r>
          </w:p>
        </w:tc>
        <w:tc>
          <w:tcPr>
            <w:tcW w:w="7500" w:type="dxa"/>
            <w:gridSpan w:val="6"/>
          </w:tcPr>
          <w:p w14:paraId="3BAE0FF2">
            <w:pPr>
              <w:pStyle w:val="112"/>
              <w:spacing w:before="106"/>
              <w:ind w:left="401"/>
              <w:rPr>
                <w:rFonts w:hint="eastAsia" w:ascii="微软雅黑" w:hAnsi="微软雅黑" w:eastAsia="微软雅黑" w:cs="微软雅黑"/>
              </w:rPr>
            </w:pPr>
            <w:r>
              <w:rPr>
                <w:rFonts w:hint="eastAsia" w:ascii="微软雅黑" w:hAnsi="微软雅黑" w:eastAsia="微软雅黑" w:cs="微软雅黑"/>
              </w:rPr>
              <w:t xml:space="preserve">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自产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总代理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代理  </w:t>
            </w:r>
            <w:r>
              <w:rPr>
                <w:rFonts w:hint="eastAsia" w:ascii="微软雅黑" w:hAnsi="微软雅黑" w:eastAsia="微软雅黑" w:cs="微软雅黑"/>
              </w:rPr>
              <w:sym w:font="Wingdings 2" w:char="00A3"/>
            </w:r>
            <w:r>
              <w:rPr>
                <w:rFonts w:hint="eastAsia" w:ascii="微软雅黑" w:hAnsi="微软雅黑" w:eastAsia="微软雅黑" w:cs="微软雅黑"/>
              </w:rP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rPr>
                <w:rFonts w:hint="eastAsia" w:ascii="微软雅黑" w:hAnsi="微软雅黑" w:eastAsia="微软雅黑" w:cs="微软雅黑"/>
              </w:rPr>
            </w:pPr>
            <w:r>
              <w:rPr>
                <w:rFonts w:hint="eastAsia" w:ascii="微软雅黑" w:hAnsi="微软雅黑" w:eastAsia="微软雅黑" w:cs="微软雅黑"/>
              </w:rPr>
              <w:t xml:space="preserve">品牌名称 </w:t>
            </w:r>
          </w:p>
        </w:tc>
        <w:tc>
          <w:tcPr>
            <w:tcW w:w="3583" w:type="dxa"/>
            <w:gridSpan w:val="3"/>
            <w:vAlign w:val="center"/>
          </w:tcPr>
          <w:p w14:paraId="454E744B">
            <w:pPr>
              <w:widowControl/>
              <w:rPr>
                <w:rFonts w:hint="eastAsia" w:ascii="微软雅黑" w:hAnsi="微软雅黑" w:eastAsia="微软雅黑" w:cs="微软雅黑"/>
                <w:kern w:val="0"/>
                <w:szCs w:val="21"/>
              </w:rPr>
            </w:pPr>
          </w:p>
        </w:tc>
        <w:tc>
          <w:tcPr>
            <w:tcW w:w="1097" w:type="dxa"/>
          </w:tcPr>
          <w:p w14:paraId="089ADBEF">
            <w:pPr>
              <w:pStyle w:val="112"/>
              <w:spacing w:before="15"/>
              <w:ind w:left="279"/>
              <w:rPr>
                <w:rFonts w:hint="eastAsia" w:ascii="微软雅黑" w:hAnsi="微软雅黑" w:eastAsia="微软雅黑" w:cs="微软雅黑"/>
              </w:rPr>
            </w:pPr>
            <w:r>
              <w:rPr>
                <w:rFonts w:hint="eastAsia" w:ascii="微软雅黑" w:hAnsi="微软雅黑" w:eastAsia="微软雅黑" w:cs="微软雅黑"/>
                <w:spacing w:val="-2"/>
              </w:rPr>
              <w:t>质量</w:t>
            </w:r>
            <w:r>
              <w:rPr>
                <w:rFonts w:hint="eastAsia" w:ascii="微软雅黑" w:hAnsi="微软雅黑" w:eastAsia="微软雅黑" w:cs="微软雅黑"/>
              </w:rPr>
              <w:t xml:space="preserve"> </w:t>
            </w:r>
          </w:p>
          <w:p w14:paraId="38F7D920">
            <w:pPr>
              <w:pStyle w:val="112"/>
              <w:spacing w:before="30" w:line="277" w:lineRule="exact"/>
              <w:ind w:left="279"/>
              <w:rPr>
                <w:rFonts w:hint="eastAsia" w:ascii="微软雅黑" w:hAnsi="微软雅黑" w:eastAsia="微软雅黑" w:cs="微软雅黑"/>
              </w:rPr>
            </w:pPr>
            <w:r>
              <w:rPr>
                <w:rFonts w:hint="eastAsia" w:ascii="微软雅黑" w:hAnsi="微软雅黑" w:eastAsia="微软雅黑" w:cs="微软雅黑"/>
              </w:rPr>
              <w:t>体系</w:t>
            </w:r>
          </w:p>
        </w:tc>
        <w:tc>
          <w:tcPr>
            <w:tcW w:w="2820" w:type="dxa"/>
            <w:gridSpan w:val="2"/>
          </w:tcPr>
          <w:p w14:paraId="53E9DAB1">
            <w:pPr>
              <w:pStyle w:val="112"/>
              <w:spacing w:before="158"/>
              <w:jc w:val="center"/>
              <w:rPr>
                <w:rFonts w:hint="eastAsia" w:ascii="微软雅黑" w:hAnsi="微软雅黑" w:eastAsia="微软雅黑" w:cs="微软雅黑"/>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rPr>
                <w:rFonts w:hint="eastAsia" w:ascii="微软雅黑" w:hAnsi="微软雅黑" w:eastAsia="微软雅黑" w:cs="微软雅黑"/>
              </w:rPr>
            </w:pPr>
            <w:r>
              <w:rPr>
                <w:rFonts w:hint="eastAsia" w:ascii="微软雅黑" w:hAnsi="微软雅黑" w:eastAsia="微软雅黑" w:cs="微软雅黑"/>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2"/>
                <w:szCs w:val="21"/>
              </w:rPr>
              <w:t>参保职工总人</w:t>
            </w:r>
            <w:r>
              <w:rPr>
                <w:rFonts w:hint="eastAsia" w:ascii="微软雅黑" w:hAnsi="微软雅黑" w:eastAsia="微软雅黑" w:cs="微软雅黑"/>
                <w:spacing w:val="-1"/>
                <w:szCs w:val="21"/>
              </w:rPr>
              <w:t>数</w:t>
            </w:r>
          </w:p>
        </w:tc>
        <w:tc>
          <w:tcPr>
            <w:tcW w:w="990" w:type="dxa"/>
            <w:vAlign w:val="center"/>
          </w:tcPr>
          <w:p w14:paraId="516C369F">
            <w:pPr>
              <w:widowControl/>
              <w:textAlignment w:val="center"/>
              <w:rPr>
                <w:rFonts w:hint="eastAsia" w:ascii="微软雅黑" w:hAnsi="微软雅黑" w:eastAsia="微软雅黑" w:cs="微软雅黑"/>
                <w:szCs w:val="21"/>
              </w:rPr>
            </w:pPr>
          </w:p>
        </w:tc>
        <w:tc>
          <w:tcPr>
            <w:tcW w:w="1530" w:type="dxa"/>
            <w:vAlign w:val="center"/>
          </w:tcPr>
          <w:p w14:paraId="4DE1BDA9">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2"/>
                <w:szCs w:val="21"/>
              </w:rPr>
              <w:t>工程技术人</w:t>
            </w:r>
            <w:r>
              <w:rPr>
                <w:rFonts w:hint="eastAsia" w:ascii="微软雅黑" w:hAnsi="微软雅黑" w:eastAsia="微软雅黑" w:cs="微软雅黑"/>
                <w:spacing w:val="-1"/>
                <w:szCs w:val="21"/>
              </w:rPr>
              <w:t>员</w:t>
            </w:r>
          </w:p>
        </w:tc>
        <w:tc>
          <w:tcPr>
            <w:tcW w:w="1063" w:type="dxa"/>
            <w:vAlign w:val="center"/>
          </w:tcPr>
          <w:p w14:paraId="590EE67E">
            <w:pPr>
              <w:widowControl/>
              <w:jc w:val="center"/>
              <w:textAlignment w:val="center"/>
              <w:rPr>
                <w:rFonts w:hint="eastAsia" w:ascii="微软雅黑" w:hAnsi="微软雅黑" w:eastAsia="微软雅黑" w:cs="微软雅黑"/>
                <w:szCs w:val="21"/>
              </w:rPr>
            </w:pPr>
          </w:p>
        </w:tc>
        <w:tc>
          <w:tcPr>
            <w:tcW w:w="1097" w:type="dxa"/>
            <w:vAlign w:val="center"/>
          </w:tcPr>
          <w:p w14:paraId="7957444F">
            <w:pPr>
              <w:widowControl/>
              <w:textAlignment w:val="center"/>
              <w:rPr>
                <w:rFonts w:hint="eastAsia" w:ascii="微软雅黑" w:hAnsi="微软雅黑" w:eastAsia="微软雅黑" w:cs="微软雅黑"/>
                <w:szCs w:val="21"/>
              </w:rPr>
            </w:pPr>
            <w:r>
              <w:rPr>
                <w:rFonts w:hint="eastAsia" w:ascii="微软雅黑" w:hAnsi="微软雅黑" w:eastAsia="微软雅黑" w:cs="微软雅黑"/>
                <w:spacing w:val="-3"/>
                <w:szCs w:val="21"/>
              </w:rPr>
              <w:t>生</w:t>
            </w:r>
            <w:r>
              <w:rPr>
                <w:rFonts w:hint="eastAsia" w:ascii="微软雅黑" w:hAnsi="微软雅黑" w:eastAsia="微软雅黑" w:cs="微软雅黑"/>
                <w:spacing w:val="-2"/>
                <w:szCs w:val="21"/>
              </w:rPr>
              <w:t>产、销售人员</w:t>
            </w:r>
          </w:p>
        </w:tc>
        <w:tc>
          <w:tcPr>
            <w:tcW w:w="2820" w:type="dxa"/>
            <w:gridSpan w:val="2"/>
            <w:vAlign w:val="center"/>
          </w:tcPr>
          <w:p w14:paraId="4637678A">
            <w:pPr>
              <w:widowControl/>
              <w:jc w:val="center"/>
              <w:textAlignment w:val="center"/>
              <w:rPr>
                <w:rFonts w:hint="eastAsia" w:ascii="微软雅黑" w:hAnsi="微软雅黑" w:eastAsia="微软雅黑" w:cs="微软雅黑"/>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企业优势、关键产品特点</w:t>
            </w:r>
          </w:p>
        </w:tc>
        <w:tc>
          <w:tcPr>
            <w:tcW w:w="7500" w:type="dxa"/>
            <w:gridSpan w:val="6"/>
            <w:vAlign w:val="center"/>
          </w:tcPr>
          <w:p w14:paraId="0DDABFCC">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color w:val="000000"/>
                <w:kern w:val="0"/>
                <w:szCs w:val="21"/>
              </w:rPr>
              <w:t>企业行业水平及行业口碑</w:t>
            </w:r>
          </w:p>
        </w:tc>
        <w:tc>
          <w:tcPr>
            <w:tcW w:w="7500" w:type="dxa"/>
            <w:gridSpan w:val="6"/>
            <w:vAlign w:val="center"/>
          </w:tcPr>
          <w:p w14:paraId="2D9B58CA">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spacing w:val="-10"/>
                <w:szCs w:val="21"/>
              </w:rPr>
              <w:t>公</w:t>
            </w:r>
            <w:r>
              <w:rPr>
                <w:rFonts w:hint="eastAsia" w:ascii="微软雅黑" w:hAnsi="微软雅黑" w:eastAsia="微软雅黑" w:cs="微软雅黑"/>
                <w:spacing w:val="-7"/>
                <w:szCs w:val="21"/>
              </w:rPr>
              <w:t>司</w:t>
            </w:r>
            <w:r>
              <w:rPr>
                <w:rFonts w:hint="eastAsia" w:ascii="微软雅黑" w:hAnsi="微软雅黑" w:eastAsia="微软雅黑" w:cs="微软雅黑"/>
                <w:spacing w:val="-5"/>
                <w:szCs w:val="21"/>
              </w:rPr>
              <w:t>现有主要研发、</w:t>
            </w:r>
            <w:r>
              <w:rPr>
                <w:rFonts w:hint="eastAsia" w:ascii="微软雅黑" w:hAnsi="微软雅黑" w:eastAsia="微软雅黑" w:cs="微软雅黑"/>
                <w:szCs w:val="21"/>
              </w:rPr>
              <w:t xml:space="preserve"> </w:t>
            </w:r>
            <w:r>
              <w:rPr>
                <w:rFonts w:hint="eastAsia" w:ascii="微软雅黑" w:hAnsi="微软雅黑" w:eastAsia="微软雅黑" w:cs="微软雅黑"/>
                <w:spacing w:val="-4"/>
                <w:szCs w:val="21"/>
              </w:rPr>
              <w:t>实</w:t>
            </w:r>
            <w:r>
              <w:rPr>
                <w:rFonts w:hint="eastAsia" w:ascii="微软雅黑" w:hAnsi="微软雅黑" w:eastAsia="微软雅黑" w:cs="微软雅黑"/>
                <w:spacing w:val="-2"/>
                <w:szCs w:val="21"/>
              </w:rPr>
              <w:t>验、生产设备</w:t>
            </w:r>
          </w:p>
        </w:tc>
        <w:tc>
          <w:tcPr>
            <w:tcW w:w="7500" w:type="dxa"/>
            <w:gridSpan w:val="6"/>
            <w:vAlign w:val="center"/>
          </w:tcPr>
          <w:p w14:paraId="1C36C38C">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近三或五年企业类似业绩及履约情况</w:t>
            </w:r>
          </w:p>
        </w:tc>
        <w:tc>
          <w:tcPr>
            <w:tcW w:w="7500" w:type="dxa"/>
            <w:gridSpan w:val="6"/>
            <w:vAlign w:val="center"/>
          </w:tcPr>
          <w:p w14:paraId="37D8D7C4">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hint="eastAsia" w:ascii="微软雅黑" w:hAnsi="微软雅黑" w:eastAsia="微软雅黑" w:cs="微软雅黑"/>
                <w:szCs w:val="21"/>
              </w:rPr>
            </w:pPr>
            <w:r>
              <w:rPr>
                <w:rFonts w:hint="eastAsia" w:ascii="微软雅黑" w:hAnsi="微软雅黑" w:eastAsia="微软雅黑" w:cs="微软雅黑"/>
                <w:kern w:val="0"/>
                <w:szCs w:val="21"/>
              </w:rPr>
              <w:t>售后服务及质量</w:t>
            </w:r>
          </w:p>
        </w:tc>
        <w:tc>
          <w:tcPr>
            <w:tcW w:w="7500" w:type="dxa"/>
            <w:gridSpan w:val="6"/>
            <w:vAlign w:val="center"/>
          </w:tcPr>
          <w:p w14:paraId="2F1DFF56">
            <w:pPr>
              <w:widowControl/>
              <w:jc w:val="left"/>
              <w:rPr>
                <w:rFonts w:hint="eastAsia" w:ascii="微软雅黑" w:hAnsi="微软雅黑" w:eastAsia="微软雅黑" w:cs="微软雅黑"/>
                <w:szCs w:val="21"/>
              </w:rPr>
            </w:pPr>
            <w:r>
              <w:rPr>
                <w:rFonts w:hint="eastAsia" w:ascii="微软雅黑" w:hAnsi="微软雅黑" w:eastAsia="微软雅黑" w:cs="微软雅黑"/>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hint="eastAsia" w:ascii="微软雅黑" w:hAnsi="微软雅黑" w:eastAsia="微软雅黑" w:cs="微软雅黑"/>
                <w:kern w:val="0"/>
                <w:szCs w:val="21"/>
              </w:rPr>
            </w:pPr>
            <w:r>
              <w:rPr>
                <w:rFonts w:hint="eastAsia" w:ascii="微软雅黑" w:hAnsi="微软雅黑" w:eastAsia="微软雅黑" w:cs="微软雅黑"/>
                <w:spacing w:val="-4"/>
                <w:szCs w:val="21"/>
              </w:rPr>
              <w:t>对本项目在设计、制造、进度、财务等方面采取的组织措施和相</w:t>
            </w:r>
            <w:r>
              <w:rPr>
                <w:rFonts w:hint="eastAsia" w:ascii="微软雅黑" w:hAnsi="微软雅黑" w:eastAsia="微软雅黑" w:cs="微软雅黑"/>
                <w:spacing w:val="-2"/>
                <w:szCs w:val="21"/>
              </w:rPr>
              <w:t>关</w:t>
            </w:r>
            <w:r>
              <w:rPr>
                <w:rFonts w:hint="eastAsia" w:ascii="微软雅黑" w:hAnsi="微软雅黑" w:eastAsia="微软雅黑" w:cs="微软雅黑"/>
                <w:spacing w:val="-3"/>
                <w:szCs w:val="21"/>
              </w:rPr>
              <w:t>人</w:t>
            </w:r>
            <w:r>
              <w:rPr>
                <w:rFonts w:hint="eastAsia" w:ascii="微软雅黑" w:hAnsi="微软雅黑" w:eastAsia="微软雅黑" w:cs="微软雅黑"/>
                <w:spacing w:val="-2"/>
                <w:szCs w:val="21"/>
              </w:rPr>
              <w:t>员简介</w:t>
            </w:r>
          </w:p>
        </w:tc>
        <w:tc>
          <w:tcPr>
            <w:tcW w:w="7500" w:type="dxa"/>
            <w:gridSpan w:val="6"/>
            <w:vAlign w:val="center"/>
          </w:tcPr>
          <w:p w14:paraId="4107F0DC">
            <w:pPr>
              <w:widowControl/>
              <w:jc w:val="left"/>
              <w:rPr>
                <w:rFonts w:hint="eastAsia" w:ascii="微软雅黑" w:hAnsi="微软雅黑" w:eastAsia="微软雅黑" w:cs="微软雅黑"/>
                <w:kern w:val="0"/>
                <w:szCs w:val="21"/>
              </w:rPr>
            </w:pPr>
          </w:p>
        </w:tc>
      </w:tr>
    </w:tbl>
    <w:p w14:paraId="108F8C63">
      <w:pPr>
        <w:pStyle w:val="15"/>
        <w:rPr>
          <w:rFonts w:hint="eastAsia" w:ascii="微软雅黑" w:hAnsi="微软雅黑" w:eastAsia="微软雅黑" w:cs="微软雅黑"/>
          <w:b/>
          <w:bCs/>
          <w:color w:val="000000"/>
          <w:sz w:val="24"/>
          <w:szCs w:val="24"/>
        </w:rPr>
      </w:pPr>
    </w:p>
    <w:p w14:paraId="37100778">
      <w:pPr>
        <w:pStyle w:val="15"/>
        <w:rPr>
          <w:rFonts w:hint="eastAsia" w:ascii="微软雅黑" w:hAnsi="微软雅黑" w:eastAsia="微软雅黑" w:cs="微软雅黑"/>
          <w:b/>
          <w:bCs/>
          <w:color w:val="000000"/>
          <w:sz w:val="24"/>
          <w:szCs w:val="24"/>
        </w:rPr>
      </w:pPr>
    </w:p>
    <w:p w14:paraId="39756F36">
      <w:pPr>
        <w:pStyle w:val="15"/>
        <w:rPr>
          <w:rFonts w:hint="eastAsia" w:ascii="微软雅黑" w:hAnsi="微软雅黑" w:eastAsia="微软雅黑" w:cs="微软雅黑"/>
          <w:b/>
          <w:bCs/>
          <w:color w:val="000000"/>
          <w:sz w:val="24"/>
          <w:szCs w:val="24"/>
        </w:rPr>
      </w:pPr>
    </w:p>
    <w:p w14:paraId="527F4C72">
      <w:pPr>
        <w:pStyle w:val="15"/>
        <w:rPr>
          <w:rFonts w:hint="eastAsia" w:ascii="微软雅黑" w:hAnsi="微软雅黑" w:eastAsia="微软雅黑" w:cs="微软雅黑"/>
          <w:b/>
          <w:bCs/>
          <w:color w:val="000000"/>
          <w:sz w:val="24"/>
          <w:szCs w:val="24"/>
        </w:rPr>
      </w:pPr>
    </w:p>
    <w:p w14:paraId="0FDAE4A3">
      <w:pPr>
        <w:spacing w:line="360" w:lineRule="auto"/>
        <w:jc w:val="left"/>
        <w:outlineLvl w:val="3"/>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表 2 资产情况汇总表</w:t>
      </w:r>
    </w:p>
    <w:p w14:paraId="54D6387F">
      <w:pPr>
        <w:spacing w:line="360" w:lineRule="auto"/>
        <w:jc w:val="center"/>
        <w:outlineLvl w:val="9"/>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资产情况汇总表</w:t>
      </w:r>
    </w:p>
    <w:p w14:paraId="14935736">
      <w:pPr>
        <w:bidi w:val="0"/>
        <w:rPr>
          <w:rFonts w:hint="eastAsia" w:ascii="微软雅黑" w:hAnsi="微软雅黑" w:eastAsia="微软雅黑" w:cs="微软雅黑"/>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8449" w:type="dxa"/>
            <w:gridSpan w:val="4"/>
            <w:vAlign w:val="center"/>
          </w:tcPr>
          <w:p w14:paraId="36F67D10">
            <w:pPr>
              <w:spacing w:line="440" w:lineRule="exact"/>
              <w:jc w:val="center"/>
              <w:rPr>
                <w:rFonts w:hint="eastAsia" w:ascii="微软雅黑" w:hAnsi="微软雅黑" w:eastAsia="微软雅黑" w:cs="微软雅黑"/>
                <w:szCs w:val="24"/>
                <w:highlight w:val="none"/>
              </w:rPr>
            </w:pPr>
            <w:r>
              <w:rPr>
                <w:rFonts w:hint="eastAsia" w:ascii="微软雅黑" w:hAnsi="微软雅黑" w:eastAsia="微软雅黑" w:cs="微软雅黑"/>
                <w:color w:val="000000"/>
                <w:sz w:val="24"/>
                <w:szCs w:val="24"/>
                <w:highlight w:val="none"/>
                <w:u w:val="single"/>
              </w:rPr>
              <w:t xml:space="preserve">                   </w:t>
            </w:r>
            <w:r>
              <w:rPr>
                <w:rFonts w:hint="eastAsia" w:ascii="微软雅黑" w:hAnsi="微软雅黑" w:eastAsia="微软雅黑" w:cs="微软雅黑"/>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4584" w:type="dxa"/>
            <w:vAlign w:val="center"/>
          </w:tcPr>
          <w:p w14:paraId="13AD9074">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注册资金（万元）</w:t>
            </w:r>
          </w:p>
        </w:tc>
        <w:tc>
          <w:tcPr>
            <w:tcW w:w="3865" w:type="dxa"/>
            <w:gridSpan w:val="3"/>
          </w:tcPr>
          <w:p w14:paraId="048B63AC">
            <w:pPr>
              <w:spacing w:line="440" w:lineRule="exact"/>
              <w:jc w:val="center"/>
              <w:rPr>
                <w:rFonts w:hint="eastAsia" w:ascii="微软雅黑" w:hAnsi="微软雅黑" w:eastAsia="微软雅黑" w:cs="微软雅黑"/>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05083AC6">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实收资金（万元）</w:t>
            </w:r>
          </w:p>
        </w:tc>
        <w:tc>
          <w:tcPr>
            <w:tcW w:w="3865" w:type="dxa"/>
            <w:gridSpan w:val="3"/>
          </w:tcPr>
          <w:p w14:paraId="27C3827E">
            <w:pPr>
              <w:spacing w:line="440" w:lineRule="exact"/>
              <w:jc w:val="center"/>
              <w:rPr>
                <w:rFonts w:hint="eastAsia" w:ascii="微软雅黑" w:hAnsi="微软雅黑" w:eastAsia="微软雅黑" w:cs="微软雅黑"/>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3450AE9A">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年度资产情况</w:t>
            </w:r>
          </w:p>
        </w:tc>
        <w:tc>
          <w:tcPr>
            <w:tcW w:w="1287" w:type="dxa"/>
            <w:vAlign w:val="center"/>
          </w:tcPr>
          <w:p w14:paraId="164720DD">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2</w:t>
            </w:r>
            <w:r>
              <w:rPr>
                <w:rFonts w:hint="eastAsia" w:ascii="微软雅黑" w:hAnsi="微软雅黑" w:eastAsia="微软雅黑" w:cs="微软雅黑"/>
                <w:color w:val="000000"/>
                <w:sz w:val="24"/>
                <w:szCs w:val="24"/>
                <w:highlight w:val="none"/>
              </w:rPr>
              <w:t>年</w:t>
            </w:r>
          </w:p>
        </w:tc>
        <w:tc>
          <w:tcPr>
            <w:tcW w:w="1288" w:type="dxa"/>
            <w:vAlign w:val="center"/>
          </w:tcPr>
          <w:p w14:paraId="41C48CBC">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3</w:t>
            </w:r>
            <w:r>
              <w:rPr>
                <w:rFonts w:hint="eastAsia" w:ascii="微软雅黑" w:hAnsi="微软雅黑" w:eastAsia="微软雅黑" w:cs="微软雅黑"/>
                <w:color w:val="000000"/>
                <w:sz w:val="24"/>
                <w:szCs w:val="24"/>
                <w:highlight w:val="none"/>
              </w:rPr>
              <w:t>年</w:t>
            </w:r>
          </w:p>
        </w:tc>
        <w:tc>
          <w:tcPr>
            <w:tcW w:w="1288" w:type="dxa"/>
            <w:vAlign w:val="center"/>
          </w:tcPr>
          <w:p w14:paraId="2C57E8F5">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202</w:t>
            </w:r>
            <w:r>
              <w:rPr>
                <w:rFonts w:hint="eastAsia" w:ascii="微软雅黑" w:hAnsi="微软雅黑" w:eastAsia="微软雅黑" w:cs="微软雅黑"/>
                <w:color w:val="000000"/>
                <w:sz w:val="24"/>
                <w:szCs w:val="24"/>
                <w:highlight w:val="none"/>
                <w:lang w:val="en-US" w:eastAsia="zh-CN"/>
              </w:rPr>
              <w:t>4</w:t>
            </w:r>
            <w:r>
              <w:rPr>
                <w:rFonts w:hint="eastAsia" w:ascii="微软雅黑" w:hAnsi="微软雅黑" w:eastAsia="微软雅黑" w:cs="微软雅黑"/>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2ED956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流动资产（万元）</w:t>
            </w:r>
          </w:p>
        </w:tc>
        <w:tc>
          <w:tcPr>
            <w:tcW w:w="1287" w:type="dxa"/>
          </w:tcPr>
          <w:p w14:paraId="0F8980BD">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91C90D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47EDCBE5">
            <w:pPr>
              <w:spacing w:line="440" w:lineRule="exact"/>
              <w:jc w:val="center"/>
              <w:rPr>
                <w:rFonts w:hint="eastAsia" w:ascii="微软雅黑" w:hAnsi="微软雅黑" w:eastAsia="微软雅黑" w:cs="微软雅黑"/>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700FF47">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非流动资产（万元）</w:t>
            </w:r>
          </w:p>
        </w:tc>
        <w:tc>
          <w:tcPr>
            <w:tcW w:w="1287" w:type="dxa"/>
          </w:tcPr>
          <w:p w14:paraId="7C4E340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5F2F372D">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3164A792">
            <w:pPr>
              <w:spacing w:line="440" w:lineRule="exact"/>
              <w:jc w:val="center"/>
              <w:rPr>
                <w:rFonts w:hint="eastAsia" w:ascii="微软雅黑" w:hAnsi="微软雅黑" w:eastAsia="微软雅黑" w:cs="微软雅黑"/>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A170FD2">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营业收入（万元）</w:t>
            </w:r>
          </w:p>
        </w:tc>
        <w:tc>
          <w:tcPr>
            <w:tcW w:w="1287" w:type="dxa"/>
          </w:tcPr>
          <w:p w14:paraId="71C6D2C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3907D1F">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91CF8E3">
            <w:pPr>
              <w:spacing w:line="440" w:lineRule="exact"/>
              <w:jc w:val="center"/>
              <w:rPr>
                <w:rFonts w:hint="eastAsia" w:ascii="微软雅黑" w:hAnsi="微软雅黑" w:eastAsia="微软雅黑" w:cs="微软雅黑"/>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7FE782AA">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年底资产总值（万元）</w:t>
            </w:r>
          </w:p>
        </w:tc>
        <w:tc>
          <w:tcPr>
            <w:tcW w:w="1287" w:type="dxa"/>
          </w:tcPr>
          <w:p w14:paraId="6F8CAB6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29904DC">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435C2F6F">
            <w:pPr>
              <w:spacing w:line="440" w:lineRule="exact"/>
              <w:jc w:val="center"/>
              <w:rPr>
                <w:rFonts w:hint="eastAsia" w:ascii="微软雅黑" w:hAnsi="微软雅黑" w:eastAsia="微软雅黑" w:cs="微软雅黑"/>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64E1D90">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年底负债总值（万元）</w:t>
            </w:r>
          </w:p>
        </w:tc>
        <w:tc>
          <w:tcPr>
            <w:tcW w:w="1287" w:type="dxa"/>
          </w:tcPr>
          <w:p w14:paraId="0DD10C4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7D1005F">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18080AAA">
            <w:pPr>
              <w:spacing w:line="440" w:lineRule="exact"/>
              <w:jc w:val="center"/>
              <w:rPr>
                <w:rFonts w:hint="eastAsia" w:ascii="微软雅黑" w:hAnsi="微软雅黑" w:eastAsia="微软雅黑" w:cs="微软雅黑"/>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68EC049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资产负债率（  %）</w:t>
            </w:r>
          </w:p>
        </w:tc>
        <w:tc>
          <w:tcPr>
            <w:tcW w:w="1287" w:type="dxa"/>
          </w:tcPr>
          <w:p w14:paraId="41791BBA">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5E29869C">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A1DF8EB">
            <w:pPr>
              <w:spacing w:line="440" w:lineRule="exact"/>
              <w:jc w:val="center"/>
              <w:rPr>
                <w:rFonts w:hint="eastAsia" w:ascii="微软雅黑" w:hAnsi="微软雅黑" w:eastAsia="微软雅黑" w:cs="微软雅黑"/>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AF268DC">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净利润（万元）</w:t>
            </w:r>
          </w:p>
        </w:tc>
        <w:tc>
          <w:tcPr>
            <w:tcW w:w="1287" w:type="dxa"/>
          </w:tcPr>
          <w:p w14:paraId="30AD9A8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F0D5E3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E460E4">
            <w:pPr>
              <w:spacing w:line="440" w:lineRule="exact"/>
              <w:jc w:val="center"/>
              <w:rPr>
                <w:rFonts w:hint="eastAsia" w:ascii="微软雅黑" w:hAnsi="微软雅黑" w:eastAsia="微软雅黑" w:cs="微软雅黑"/>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5B14B596">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未分配利润（万元）</w:t>
            </w:r>
          </w:p>
        </w:tc>
        <w:tc>
          <w:tcPr>
            <w:tcW w:w="1287" w:type="dxa"/>
          </w:tcPr>
          <w:p w14:paraId="44871F9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D3FDD6">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75BDB8A1">
            <w:pPr>
              <w:spacing w:line="440" w:lineRule="exact"/>
              <w:jc w:val="center"/>
              <w:rPr>
                <w:rFonts w:hint="eastAsia" w:ascii="微软雅黑" w:hAnsi="微软雅黑" w:eastAsia="微软雅黑" w:cs="微软雅黑"/>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45652DB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营运资金</w:t>
            </w:r>
          </w:p>
        </w:tc>
        <w:tc>
          <w:tcPr>
            <w:tcW w:w="1287" w:type="dxa"/>
          </w:tcPr>
          <w:p w14:paraId="5597CEC0">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3BE36C99">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1ECA030C">
            <w:pPr>
              <w:spacing w:line="440" w:lineRule="exact"/>
              <w:jc w:val="center"/>
              <w:rPr>
                <w:rFonts w:hint="eastAsia" w:ascii="微软雅黑" w:hAnsi="微软雅黑" w:eastAsia="微软雅黑" w:cs="微软雅黑"/>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584" w:type="dxa"/>
            <w:vAlign w:val="center"/>
          </w:tcPr>
          <w:p w14:paraId="292BE738">
            <w:pPr>
              <w:spacing w:line="440" w:lineRule="exact"/>
              <w:jc w:val="center"/>
              <w:rPr>
                <w:rFonts w:hint="eastAsia" w:ascii="微软雅黑" w:hAnsi="微软雅黑" w:eastAsia="微软雅黑" w:cs="微软雅黑"/>
                <w:color w:val="000000"/>
                <w:sz w:val="24"/>
                <w:szCs w:val="24"/>
                <w:highlight w:val="none"/>
              </w:rPr>
            </w:pPr>
            <w:r>
              <w:rPr>
                <w:rFonts w:hint="eastAsia" w:ascii="微软雅黑" w:hAnsi="微软雅黑" w:eastAsia="微软雅黑" w:cs="微软雅黑"/>
                <w:color w:val="000000"/>
                <w:sz w:val="24"/>
                <w:szCs w:val="24"/>
                <w:highlight w:val="none"/>
              </w:rPr>
              <w:t>（本年营业收入-上年营业收入）÷上年营业收入</w:t>
            </w:r>
          </w:p>
        </w:tc>
        <w:tc>
          <w:tcPr>
            <w:tcW w:w="1287" w:type="dxa"/>
          </w:tcPr>
          <w:p w14:paraId="14521BB3">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2CFD5907">
            <w:pPr>
              <w:spacing w:line="440" w:lineRule="exact"/>
              <w:jc w:val="center"/>
              <w:rPr>
                <w:rFonts w:hint="eastAsia" w:ascii="微软雅黑" w:hAnsi="微软雅黑" w:eastAsia="微软雅黑" w:cs="微软雅黑"/>
                <w:color w:val="000000"/>
                <w:sz w:val="24"/>
                <w:szCs w:val="24"/>
                <w:highlight w:val="none"/>
              </w:rPr>
            </w:pPr>
          </w:p>
        </w:tc>
        <w:tc>
          <w:tcPr>
            <w:tcW w:w="1288" w:type="dxa"/>
          </w:tcPr>
          <w:p w14:paraId="0E4D2176">
            <w:pPr>
              <w:spacing w:line="440" w:lineRule="exact"/>
              <w:jc w:val="center"/>
              <w:rPr>
                <w:rFonts w:hint="eastAsia" w:ascii="微软雅黑" w:hAnsi="微软雅黑" w:eastAsia="微软雅黑" w:cs="微软雅黑"/>
                <w:color w:val="000000"/>
                <w:sz w:val="24"/>
                <w:szCs w:val="24"/>
                <w:highlight w:val="none"/>
              </w:rPr>
            </w:pPr>
          </w:p>
        </w:tc>
      </w:tr>
    </w:tbl>
    <w:p w14:paraId="31D18E00">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投标人：（盖章）</w:t>
      </w:r>
    </w:p>
    <w:p w14:paraId="4DAB8C93">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法定代表人（委托代理人）：（签字）</w:t>
      </w:r>
    </w:p>
    <w:p w14:paraId="264188AE">
      <w:pPr>
        <w:keepNext w:val="0"/>
        <w:keepLines w:val="0"/>
        <w:pageBreakBefore w:val="0"/>
        <w:widowControl w:val="0"/>
        <w:kinsoku/>
        <w:wordWrap/>
        <w:overflowPunct/>
        <w:topLinePunct w:val="0"/>
        <w:autoSpaceDE/>
        <w:autoSpaceDN/>
        <w:bidi w:val="0"/>
        <w:adjustRightInd/>
        <w:snapToGrid/>
        <w:spacing w:line="660" w:lineRule="exact"/>
        <w:ind w:firstLine="240" w:firstLineChars="100"/>
        <w:textAlignment w:val="auto"/>
        <w:rPr>
          <w:rFonts w:hint="eastAsia" w:ascii="微软雅黑" w:hAnsi="微软雅黑" w:eastAsia="微软雅黑" w:cs="微软雅黑"/>
          <w:sz w:val="24"/>
          <w:szCs w:val="20"/>
        </w:rPr>
      </w:pPr>
      <w:r>
        <w:rPr>
          <w:rFonts w:hint="eastAsia" w:ascii="微软雅黑" w:hAnsi="微软雅黑" w:eastAsia="微软雅黑" w:cs="微软雅黑"/>
          <w:sz w:val="24"/>
          <w:szCs w:val="20"/>
        </w:rPr>
        <w:t>日  期：</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26983AFA">
      <w:pPr>
        <w:rPr>
          <w:rFonts w:hint="eastAsia" w:ascii="微软雅黑" w:hAnsi="微软雅黑" w:eastAsia="微软雅黑" w:cs="微软雅黑"/>
          <w:b/>
          <w:bCs/>
          <w:color w:val="000000"/>
          <w:sz w:val="28"/>
          <w:szCs w:val="20"/>
        </w:rPr>
        <w:sectPr>
          <w:footerReference r:id="rId10" w:type="first"/>
          <w:headerReference r:id="rId8" w:type="default"/>
          <w:footerReference r:id="rId9" w:type="default"/>
          <w:pgSz w:w="11906" w:h="16838"/>
          <w:pgMar w:top="1588" w:right="1418" w:bottom="1134" w:left="1418" w:header="851" w:footer="992" w:gutter="0"/>
          <w:cols w:space="720" w:num="1"/>
          <w:titlePg/>
          <w:docGrid w:type="lines" w:linePitch="312" w:charSpace="0"/>
        </w:sectPr>
      </w:pPr>
    </w:p>
    <w:p w14:paraId="6B20C6DF">
      <w:pPr>
        <w:pStyle w:val="73"/>
        <w:numPr>
          <w:ilvl w:val="0"/>
          <w:numId w:val="0"/>
        </w:numPr>
        <w:ind w:leftChars="0"/>
        <w:outlineLvl w:val="1"/>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附件3 保密承诺函</w:t>
      </w:r>
    </w:p>
    <w:p w14:paraId="0F4E083F">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保密承诺函</w:t>
      </w:r>
    </w:p>
    <w:p w14:paraId="4EBD3B8F">
      <w:pPr>
        <w:spacing w:line="240" w:lineRule="exact"/>
        <w:jc w:val="center"/>
        <w:rPr>
          <w:rFonts w:hint="eastAsia" w:ascii="微软雅黑" w:hAnsi="微软雅黑" w:eastAsia="微软雅黑" w:cs="微软雅黑"/>
          <w:b/>
          <w:bCs/>
          <w:sz w:val="36"/>
          <w:szCs w:val="20"/>
        </w:rPr>
      </w:pPr>
    </w:p>
    <w:p w14:paraId="2FA216F9">
      <w:pPr>
        <w:spacing w:line="360" w:lineRule="auto"/>
        <w:rPr>
          <w:rFonts w:hint="eastAsia" w:ascii="微软雅黑" w:hAnsi="微软雅黑" w:eastAsia="微软雅黑" w:cs="微软雅黑"/>
          <w:b/>
          <w:bCs/>
          <w:sz w:val="24"/>
          <w:szCs w:val="24"/>
          <w:highlight w:val="none"/>
          <w:u w:val="single"/>
          <w:lang w:val="en-US" w:eastAsia="zh-CN"/>
        </w:rPr>
      </w:pPr>
      <w:r>
        <w:rPr>
          <w:rFonts w:hint="eastAsia" w:ascii="微软雅黑" w:hAnsi="微软雅黑" w:eastAsia="微软雅黑" w:cs="微软雅黑"/>
          <w:sz w:val="24"/>
          <w:szCs w:val="20"/>
        </w:rPr>
        <w:t>项目名称：</w:t>
      </w:r>
      <w:r>
        <w:rPr>
          <w:rFonts w:hint="eastAsia" w:ascii="微软雅黑" w:hAnsi="微软雅黑" w:eastAsia="微软雅黑" w:cs="微软雅黑"/>
          <w:b/>
          <w:bCs/>
          <w:sz w:val="24"/>
          <w:szCs w:val="24"/>
          <w:highlight w:val="none"/>
          <w:u w:val="single"/>
          <w:lang w:val="en-US" w:eastAsia="zh-CN"/>
        </w:rPr>
        <w:t>济南商用车制造公司会议室升级改造技改项目</w:t>
      </w:r>
    </w:p>
    <w:p w14:paraId="2D225539">
      <w:pPr>
        <w:spacing w:line="360" w:lineRule="auto"/>
        <w:rPr>
          <w:rFonts w:hint="eastAsia" w:ascii="微软雅黑" w:hAnsi="微软雅黑" w:eastAsia="微软雅黑" w:cs="微软雅黑"/>
          <w:b/>
          <w:bCs/>
          <w:sz w:val="24"/>
          <w:szCs w:val="20"/>
        </w:rPr>
      </w:pPr>
      <w:r>
        <w:rPr>
          <w:rFonts w:hint="eastAsia" w:ascii="微软雅黑" w:hAnsi="微软雅黑" w:eastAsia="微软雅黑" w:cs="微软雅黑"/>
          <w:b/>
          <w:bCs/>
          <w:sz w:val="24"/>
          <w:szCs w:val="20"/>
          <w:lang w:eastAsia="zh-CN"/>
        </w:rPr>
        <w:t>中国重汽集团济南商用车制造公司</w:t>
      </w:r>
      <w:r>
        <w:rPr>
          <w:rFonts w:hint="eastAsia" w:ascii="微软雅黑" w:hAnsi="微软雅黑" w:eastAsia="微软雅黑" w:cs="微软雅黑"/>
          <w:b/>
          <w:bCs/>
          <w:sz w:val="24"/>
          <w:szCs w:val="20"/>
        </w:rPr>
        <w:t>：</w:t>
      </w:r>
    </w:p>
    <w:p w14:paraId="5C82D927">
      <w:pPr>
        <w:spacing w:line="360" w:lineRule="auto"/>
        <w:ind w:firstLine="480"/>
        <w:rPr>
          <w:rFonts w:hint="eastAsia" w:ascii="微软雅黑" w:hAnsi="微软雅黑" w:eastAsia="微软雅黑" w:cs="微软雅黑"/>
          <w:sz w:val="24"/>
          <w:szCs w:val="20"/>
        </w:rPr>
      </w:pPr>
      <w:r>
        <w:rPr>
          <w:rFonts w:hint="eastAsia" w:ascii="微软雅黑" w:hAnsi="微软雅黑" w:eastAsia="微软雅黑" w:cs="微软雅黑"/>
          <w:sz w:val="24"/>
          <w:szCs w:val="20"/>
        </w:rPr>
        <w:t>我代表（</w:t>
      </w:r>
      <w:r>
        <w:rPr>
          <w:rFonts w:hint="eastAsia" w:ascii="微软雅黑" w:hAnsi="微软雅黑" w:eastAsia="微软雅黑" w:cs="微软雅黑"/>
          <w:sz w:val="24"/>
          <w:szCs w:val="20"/>
          <w:highlight w:val="none"/>
          <w:u w:val="single"/>
        </w:rPr>
        <w:t>投标单位名称</w:t>
      </w:r>
      <w:r>
        <w:rPr>
          <w:rFonts w:hint="eastAsia" w:ascii="微软雅黑" w:hAnsi="微软雅黑" w:eastAsia="微软雅黑" w:cs="微软雅黑"/>
          <w:sz w:val="24"/>
          <w:szCs w:val="20"/>
        </w:rPr>
        <w:t>）对招标人的商业秘密作如下承诺：</w:t>
      </w:r>
    </w:p>
    <w:p w14:paraId="4898C179">
      <w:pPr>
        <w:spacing w:line="360" w:lineRule="auto"/>
        <w:ind w:left="479" w:leftChars="228"/>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16FF498">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220D74DA">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13932F6D">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7E012EF">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2B4417CC">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2091268">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58E2ADA7">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09DE8234">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69E11B6">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0DB1FADE">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47790580">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745FBF5">
      <w:pPr>
        <w:spacing w:line="360" w:lineRule="auto"/>
        <w:ind w:firstLine="480" w:firstLineChars="200"/>
        <w:rPr>
          <w:rFonts w:hint="eastAsia" w:ascii="微软雅黑" w:hAnsi="微软雅黑" w:eastAsia="微软雅黑" w:cs="微软雅黑"/>
          <w:sz w:val="24"/>
          <w:szCs w:val="20"/>
          <w:u w:val="single"/>
        </w:rPr>
      </w:pPr>
      <w:r>
        <w:rPr>
          <w:rFonts w:hint="eastAsia" w:ascii="微软雅黑" w:hAnsi="微软雅黑" w:eastAsia="微软雅黑" w:cs="微软雅黑"/>
          <w:sz w:val="24"/>
          <w:szCs w:val="20"/>
          <w:u w:val="single"/>
        </w:rPr>
        <w:t xml:space="preserve">                                                                       </w:t>
      </w:r>
    </w:p>
    <w:p w14:paraId="34F442F6">
      <w:pPr>
        <w:spacing w:line="360" w:lineRule="auto"/>
        <w:ind w:firstLine="480" w:firstLineChars="200"/>
        <w:rPr>
          <w:rFonts w:hint="eastAsia" w:ascii="微软雅黑" w:hAnsi="微软雅黑" w:eastAsia="微软雅黑" w:cs="微软雅黑"/>
          <w:sz w:val="24"/>
          <w:szCs w:val="20"/>
          <w:u w:val="single"/>
        </w:rPr>
      </w:pPr>
    </w:p>
    <w:p w14:paraId="5E34C75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投标人：（盖章）</w:t>
      </w:r>
    </w:p>
    <w:p w14:paraId="71CB54F9">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法定代表人（委托代理人）：（签字）</w:t>
      </w:r>
    </w:p>
    <w:p w14:paraId="7966A3D1">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日  期：       年    月    日</w:t>
      </w:r>
    </w:p>
    <w:p w14:paraId="38EF994B">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6051EA65">
      <w:pPr>
        <w:pStyle w:val="73"/>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附件4 开标一览表</w:t>
      </w:r>
    </w:p>
    <w:p w14:paraId="169A8622">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开标一览表</w:t>
      </w:r>
    </w:p>
    <w:p w14:paraId="2D0DAAF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项目名称：</w:t>
      </w:r>
      <w:r>
        <w:rPr>
          <w:rFonts w:hint="eastAsia" w:ascii="微软雅黑" w:hAnsi="微软雅黑" w:eastAsia="微软雅黑" w:cs="微软雅黑"/>
          <w:color w:val="000000"/>
          <w:sz w:val="24"/>
          <w:szCs w:val="24"/>
          <w:u w:val="single"/>
          <w:lang w:val="en-US" w:eastAsia="zh-CN"/>
        </w:rPr>
        <w:t xml:space="preserve"> 济南商用车制造公司会议室升级改造技改项目 </w:t>
      </w:r>
      <w:r>
        <w:rPr>
          <w:rFonts w:hint="eastAsia" w:ascii="微软雅黑" w:hAnsi="微软雅黑" w:eastAsia="微软雅黑" w:cs="微软雅黑"/>
          <w:color w:val="000000"/>
          <w:sz w:val="24"/>
          <w:szCs w:val="24"/>
        </w:rPr>
        <w:t xml:space="preserve">                                                      </w:t>
      </w:r>
    </w:p>
    <w:tbl>
      <w:tblPr>
        <w:tblStyle w:val="3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4630D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41996339">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序号</w:t>
            </w:r>
          </w:p>
        </w:tc>
        <w:tc>
          <w:tcPr>
            <w:tcW w:w="1518" w:type="dxa"/>
            <w:vAlign w:val="center"/>
          </w:tcPr>
          <w:p w14:paraId="25631901">
            <w:pPr>
              <w:jc w:val="center"/>
              <w:rPr>
                <w:rFonts w:hint="eastAsia" w:ascii="微软雅黑" w:hAnsi="微软雅黑" w:eastAsia="微软雅黑" w:cs="微软雅黑"/>
                <w:b/>
                <w:szCs w:val="20"/>
              </w:rPr>
            </w:pPr>
            <w:r>
              <w:rPr>
                <w:rFonts w:hint="eastAsia" w:ascii="微软雅黑" w:hAnsi="微软雅黑" w:eastAsia="微软雅黑" w:cs="微软雅黑"/>
                <w:b/>
                <w:szCs w:val="20"/>
              </w:rPr>
              <w:t>货物名称</w:t>
            </w:r>
          </w:p>
        </w:tc>
        <w:tc>
          <w:tcPr>
            <w:tcW w:w="848" w:type="dxa"/>
            <w:vAlign w:val="center"/>
          </w:tcPr>
          <w:p w14:paraId="209B70C2">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数量</w:t>
            </w:r>
          </w:p>
        </w:tc>
        <w:tc>
          <w:tcPr>
            <w:tcW w:w="2270" w:type="dxa"/>
            <w:vAlign w:val="center"/>
          </w:tcPr>
          <w:p w14:paraId="08F857F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投标总价（元）</w:t>
            </w:r>
          </w:p>
        </w:tc>
        <w:tc>
          <w:tcPr>
            <w:tcW w:w="1100" w:type="dxa"/>
            <w:vAlign w:val="center"/>
          </w:tcPr>
          <w:p w14:paraId="717646C7">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技术支撑延续性</w:t>
            </w:r>
          </w:p>
        </w:tc>
        <w:tc>
          <w:tcPr>
            <w:tcW w:w="1243" w:type="dxa"/>
            <w:vAlign w:val="center"/>
          </w:tcPr>
          <w:p w14:paraId="761F5A44">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服务交付与成果验收</w:t>
            </w:r>
          </w:p>
        </w:tc>
        <w:tc>
          <w:tcPr>
            <w:tcW w:w="705" w:type="dxa"/>
            <w:vAlign w:val="center"/>
          </w:tcPr>
          <w:p w14:paraId="479D6922">
            <w:pPr>
              <w:jc w:val="center"/>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付款方式及比例如何响应</w:t>
            </w:r>
          </w:p>
        </w:tc>
        <w:tc>
          <w:tcPr>
            <w:tcW w:w="699" w:type="dxa"/>
            <w:vAlign w:val="center"/>
          </w:tcPr>
          <w:p w14:paraId="11D1DA77">
            <w:pPr>
              <w:jc w:val="center"/>
              <w:rPr>
                <w:rFonts w:hint="eastAsia" w:ascii="微软雅黑" w:hAnsi="微软雅黑" w:eastAsia="微软雅黑" w:cs="微软雅黑"/>
                <w:b/>
                <w:szCs w:val="20"/>
                <w:lang w:val="en-US"/>
              </w:rPr>
            </w:pPr>
            <w:r>
              <w:rPr>
                <w:rFonts w:hint="eastAsia" w:ascii="微软雅黑" w:hAnsi="微软雅黑" w:eastAsia="微软雅黑" w:cs="微软雅黑"/>
                <w:b/>
                <w:szCs w:val="20"/>
                <w:lang w:val="en-US" w:eastAsia="zh-CN"/>
              </w:rPr>
              <w:t>商务条款是否偏离</w:t>
            </w:r>
          </w:p>
        </w:tc>
      </w:tr>
      <w:tr w14:paraId="709D7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AF13AEF">
            <w:pPr>
              <w:jc w:val="center"/>
              <w:rPr>
                <w:rFonts w:hint="eastAsia" w:ascii="微软雅黑" w:hAnsi="微软雅黑" w:eastAsia="微软雅黑" w:cs="微软雅黑"/>
                <w:b/>
                <w:szCs w:val="20"/>
              </w:rPr>
            </w:pPr>
          </w:p>
        </w:tc>
        <w:tc>
          <w:tcPr>
            <w:tcW w:w="1518" w:type="dxa"/>
            <w:vAlign w:val="center"/>
          </w:tcPr>
          <w:p w14:paraId="3D9915D6">
            <w:pPr>
              <w:jc w:val="center"/>
              <w:rPr>
                <w:rFonts w:hint="eastAsia" w:ascii="微软雅黑" w:hAnsi="微软雅黑" w:eastAsia="微软雅黑" w:cs="微软雅黑"/>
                <w:b/>
                <w:szCs w:val="20"/>
                <w:lang w:eastAsia="zh-CN"/>
              </w:rPr>
            </w:pPr>
          </w:p>
        </w:tc>
        <w:tc>
          <w:tcPr>
            <w:tcW w:w="848" w:type="dxa"/>
            <w:vAlign w:val="center"/>
          </w:tcPr>
          <w:p w14:paraId="6EB9817A">
            <w:pPr>
              <w:jc w:val="center"/>
              <w:rPr>
                <w:rFonts w:hint="eastAsia" w:ascii="微软雅黑" w:hAnsi="微软雅黑" w:eastAsia="微软雅黑" w:cs="微软雅黑"/>
                <w:b/>
                <w:szCs w:val="20"/>
                <w:lang w:val="en-US" w:eastAsia="zh-CN"/>
              </w:rPr>
            </w:pPr>
          </w:p>
        </w:tc>
        <w:tc>
          <w:tcPr>
            <w:tcW w:w="2270" w:type="dxa"/>
            <w:vAlign w:val="center"/>
          </w:tcPr>
          <w:p w14:paraId="7D548484">
            <w:pPr>
              <w:jc w:val="left"/>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rPr>
              <w:t>不含税价</w:t>
            </w:r>
            <w:r>
              <w:rPr>
                <w:rFonts w:hint="eastAsia" w:ascii="微软雅黑" w:hAnsi="微软雅黑" w:eastAsia="微软雅黑" w:cs="微软雅黑"/>
                <w:b/>
                <w:szCs w:val="20"/>
                <w:lang w:eastAsia="zh-CN"/>
              </w:rPr>
              <w:t>：</w:t>
            </w:r>
          </w:p>
          <w:p w14:paraId="7A6DC42D">
            <w:pPr>
              <w:jc w:val="left"/>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rPr>
              <w:t>含税价格：</w:t>
            </w:r>
            <w:r>
              <w:rPr>
                <w:rFonts w:hint="eastAsia" w:ascii="微软雅黑" w:hAnsi="微软雅黑" w:eastAsia="微软雅黑" w:cs="微软雅黑"/>
                <w:b/>
                <w:szCs w:val="20"/>
                <w:u w:val="single"/>
                <w:lang w:val="en-US" w:eastAsia="zh-CN"/>
              </w:rPr>
              <w:t xml:space="preserve">    （大写：    ）</w:t>
            </w:r>
          </w:p>
          <w:p w14:paraId="544338D7">
            <w:pPr>
              <w:jc w:val="left"/>
              <w:rPr>
                <w:rFonts w:hint="eastAsia" w:ascii="微软雅黑" w:hAnsi="微软雅黑" w:eastAsia="微软雅黑" w:cs="微软雅黑"/>
                <w:b/>
                <w:szCs w:val="20"/>
              </w:rPr>
            </w:pPr>
            <w:r>
              <w:rPr>
                <w:rFonts w:hint="eastAsia" w:ascii="微软雅黑" w:hAnsi="微软雅黑" w:eastAsia="微软雅黑" w:cs="微软雅黑"/>
                <w:b/>
                <w:szCs w:val="20"/>
              </w:rPr>
              <w:t>税率：</w:t>
            </w:r>
          </w:p>
        </w:tc>
        <w:tc>
          <w:tcPr>
            <w:tcW w:w="1100" w:type="dxa"/>
            <w:vAlign w:val="center"/>
          </w:tcPr>
          <w:p w14:paraId="54BFC44F">
            <w:pPr>
              <w:jc w:val="center"/>
              <w:rPr>
                <w:rFonts w:hint="eastAsia" w:ascii="微软雅黑" w:hAnsi="微软雅黑" w:eastAsia="微软雅黑" w:cs="微软雅黑"/>
                <w:b/>
                <w:szCs w:val="20"/>
              </w:rPr>
            </w:pPr>
          </w:p>
        </w:tc>
        <w:tc>
          <w:tcPr>
            <w:tcW w:w="1243" w:type="dxa"/>
            <w:vAlign w:val="center"/>
          </w:tcPr>
          <w:p w14:paraId="57A89F38">
            <w:pPr>
              <w:jc w:val="center"/>
              <w:rPr>
                <w:rFonts w:hint="eastAsia" w:ascii="微软雅黑" w:hAnsi="微软雅黑" w:eastAsia="微软雅黑" w:cs="微软雅黑"/>
                <w:b/>
                <w:szCs w:val="20"/>
              </w:rPr>
            </w:pPr>
          </w:p>
        </w:tc>
        <w:tc>
          <w:tcPr>
            <w:tcW w:w="705" w:type="dxa"/>
            <w:vAlign w:val="center"/>
          </w:tcPr>
          <w:p w14:paraId="221C5C61">
            <w:pPr>
              <w:jc w:val="center"/>
              <w:rPr>
                <w:rFonts w:hint="eastAsia" w:ascii="微软雅黑" w:hAnsi="微软雅黑" w:eastAsia="微软雅黑" w:cs="微软雅黑"/>
                <w:b/>
                <w:szCs w:val="20"/>
              </w:rPr>
            </w:pPr>
          </w:p>
        </w:tc>
        <w:tc>
          <w:tcPr>
            <w:tcW w:w="699" w:type="dxa"/>
            <w:vAlign w:val="center"/>
          </w:tcPr>
          <w:p w14:paraId="70D41C9A">
            <w:pPr>
              <w:jc w:val="center"/>
              <w:rPr>
                <w:rFonts w:hint="eastAsia" w:ascii="微软雅黑" w:hAnsi="微软雅黑" w:eastAsia="微软雅黑" w:cs="微软雅黑"/>
                <w:b/>
                <w:szCs w:val="20"/>
              </w:rPr>
            </w:pPr>
          </w:p>
        </w:tc>
      </w:tr>
    </w:tbl>
    <w:p w14:paraId="653DF183">
      <w:pPr>
        <w:rPr>
          <w:rFonts w:hint="eastAsia" w:ascii="微软雅黑" w:hAnsi="微软雅黑" w:eastAsia="微软雅黑" w:cs="微软雅黑"/>
          <w:sz w:val="24"/>
          <w:szCs w:val="24"/>
        </w:rPr>
      </w:pPr>
    </w:p>
    <w:p w14:paraId="749CBAB5">
      <w:pPr>
        <w:spacing w:line="400" w:lineRule="exact"/>
        <w:rPr>
          <w:rFonts w:hint="eastAsia" w:ascii="微软雅黑" w:hAnsi="微软雅黑" w:eastAsia="微软雅黑" w:cs="微软雅黑"/>
          <w:szCs w:val="21"/>
        </w:rPr>
      </w:pPr>
      <w:r>
        <w:rPr>
          <w:rFonts w:hint="eastAsia" w:ascii="微软雅黑" w:hAnsi="微软雅黑" w:eastAsia="微软雅黑" w:cs="微软雅黑"/>
          <w:b/>
          <w:bCs/>
          <w:szCs w:val="21"/>
        </w:rPr>
        <w:t>注：</w:t>
      </w:r>
    </w:p>
    <w:p w14:paraId="0A413E88">
      <w:pPr>
        <w:spacing w:line="520" w:lineRule="exact"/>
        <w:rPr>
          <w:rFonts w:hint="eastAsia" w:ascii="微软雅黑" w:hAnsi="微软雅黑" w:eastAsia="微软雅黑" w:cs="微软雅黑"/>
          <w:b/>
          <w:bCs/>
          <w:szCs w:val="21"/>
        </w:rPr>
      </w:pPr>
      <w:r>
        <w:rPr>
          <w:rFonts w:hint="eastAsia" w:ascii="微软雅黑" w:hAnsi="微软雅黑" w:eastAsia="微软雅黑" w:cs="微软雅黑"/>
          <w:b/>
          <w:bCs/>
          <w:szCs w:val="21"/>
        </w:rPr>
        <w:t>1.此表中的报价必须与相应的报价明细表中的报价一致。</w:t>
      </w:r>
    </w:p>
    <w:p w14:paraId="3EC8A730">
      <w:pPr>
        <w:spacing w:line="300" w:lineRule="auto"/>
        <w:rPr>
          <w:rFonts w:hint="eastAsia" w:ascii="微软雅黑" w:hAnsi="微软雅黑" w:eastAsia="微软雅黑" w:cs="微软雅黑"/>
          <w:b/>
          <w:szCs w:val="20"/>
        </w:rPr>
      </w:pPr>
      <w:r>
        <w:rPr>
          <w:rFonts w:hint="eastAsia" w:ascii="微软雅黑" w:hAnsi="微软雅黑" w:eastAsia="微软雅黑" w:cs="微软雅黑"/>
          <w:b/>
          <w:szCs w:val="20"/>
          <w:lang w:val="en-US" w:eastAsia="zh-CN"/>
        </w:rPr>
        <w:t>2</w:t>
      </w:r>
      <w:r>
        <w:rPr>
          <w:rFonts w:hint="eastAsia" w:ascii="微软雅黑" w:hAnsi="微软雅黑" w:eastAsia="微软雅黑" w:cs="微软雅黑"/>
          <w:b/>
          <w:szCs w:val="20"/>
        </w:rPr>
        <w:t>.需写明含税价、不含税价格、税率。</w:t>
      </w:r>
    </w:p>
    <w:p w14:paraId="6D94BCCB">
      <w:pPr>
        <w:spacing w:line="300" w:lineRule="auto"/>
        <w:rPr>
          <w:rFonts w:hint="eastAsia" w:ascii="微软雅黑" w:hAnsi="微软雅黑" w:eastAsia="微软雅黑" w:cs="微软雅黑"/>
          <w:b/>
          <w:szCs w:val="20"/>
          <w:lang w:val="en-US" w:eastAsia="zh-CN"/>
        </w:rPr>
      </w:pPr>
      <w:r>
        <w:rPr>
          <w:rFonts w:hint="eastAsia" w:ascii="微软雅黑" w:hAnsi="微软雅黑" w:eastAsia="微软雅黑" w:cs="微软雅黑"/>
          <w:b/>
          <w:szCs w:val="20"/>
          <w:lang w:val="en-US" w:eastAsia="zh-CN"/>
        </w:rPr>
        <w:t>3</w:t>
      </w:r>
      <w:r>
        <w:rPr>
          <w:rFonts w:hint="eastAsia" w:ascii="微软雅黑" w:hAnsi="微软雅黑" w:eastAsia="微软雅黑" w:cs="微软雅黑"/>
          <w:b/>
          <w:szCs w:val="20"/>
        </w:rPr>
        <w:t>.投标总价包括设备费、调试费、备品备件、特殊工具、运杂费、装卸费、技术服务费、保险费及增值税和其它税费。</w:t>
      </w:r>
    </w:p>
    <w:p w14:paraId="2D6B1BCF">
      <w:pPr>
        <w:pStyle w:val="15"/>
        <w:rPr>
          <w:rFonts w:hint="eastAsia" w:ascii="微软雅黑" w:hAnsi="微软雅黑" w:eastAsia="微软雅黑" w:cs="微软雅黑"/>
          <w:b/>
          <w:bCs/>
          <w:szCs w:val="21"/>
          <w:highlight w:val="yellow"/>
        </w:rPr>
      </w:pPr>
    </w:p>
    <w:p w14:paraId="5ABA3C54">
      <w:pPr>
        <w:pStyle w:val="15"/>
        <w:rPr>
          <w:rFonts w:hint="eastAsia" w:ascii="微软雅黑" w:hAnsi="微软雅黑" w:eastAsia="微软雅黑" w:cs="微软雅黑"/>
          <w:b/>
          <w:bCs/>
          <w:szCs w:val="21"/>
          <w:highlight w:val="yellow"/>
        </w:rPr>
      </w:pPr>
    </w:p>
    <w:p w14:paraId="0A01439C">
      <w:pPr>
        <w:spacing w:line="660" w:lineRule="exact"/>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lang w:val="en-US" w:eastAsia="zh-CN"/>
        </w:rPr>
        <w:t xml:space="preserve">                        </w:t>
      </w:r>
      <w:r>
        <w:rPr>
          <w:rFonts w:hint="eastAsia" w:ascii="微软雅黑" w:hAnsi="微软雅黑" w:eastAsia="微软雅黑" w:cs="微软雅黑"/>
          <w:sz w:val="24"/>
          <w:szCs w:val="20"/>
        </w:rPr>
        <w:t>投标人：（盖章）</w:t>
      </w:r>
    </w:p>
    <w:p w14:paraId="40C72638">
      <w:pPr>
        <w:spacing w:line="660" w:lineRule="exact"/>
        <w:jc w:val="right"/>
        <w:rPr>
          <w:rFonts w:hint="eastAsia" w:ascii="微软雅黑" w:hAnsi="微软雅黑" w:eastAsia="微软雅黑" w:cs="微软雅黑"/>
          <w:sz w:val="24"/>
          <w:szCs w:val="20"/>
        </w:rPr>
      </w:pPr>
      <w:r>
        <w:rPr>
          <w:rFonts w:hint="eastAsia" w:ascii="微软雅黑" w:hAnsi="微软雅黑" w:eastAsia="微软雅黑" w:cs="微软雅黑"/>
          <w:sz w:val="24"/>
          <w:szCs w:val="20"/>
        </w:rPr>
        <w:t>法定代表人（委托代理人）：（签字）</w:t>
      </w:r>
    </w:p>
    <w:p w14:paraId="2104FD9A">
      <w:pPr>
        <w:spacing w:line="660" w:lineRule="exact"/>
        <w:jc w:val="center"/>
        <w:rPr>
          <w:rFonts w:hint="eastAsia" w:ascii="微软雅黑" w:hAnsi="微软雅黑" w:eastAsia="微软雅黑" w:cs="微软雅黑"/>
          <w:sz w:val="24"/>
          <w:szCs w:val="20"/>
        </w:rPr>
      </w:pPr>
      <w:r>
        <w:rPr>
          <w:rFonts w:hint="eastAsia" w:ascii="微软雅黑" w:hAnsi="微软雅黑" w:eastAsia="微软雅黑" w:cs="微软雅黑"/>
          <w:sz w:val="24"/>
          <w:szCs w:val="20"/>
          <w:lang w:val="en-US" w:eastAsia="zh-CN"/>
        </w:rPr>
        <w:t xml:space="preserve">                                     </w:t>
      </w:r>
      <w:r>
        <w:rPr>
          <w:rFonts w:hint="eastAsia" w:ascii="微软雅黑" w:hAnsi="微软雅黑" w:eastAsia="微软雅黑" w:cs="微软雅黑"/>
          <w:sz w:val="24"/>
          <w:szCs w:val="20"/>
        </w:rPr>
        <w:t>日  期：</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年</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月</w:t>
      </w:r>
      <w:r>
        <w:rPr>
          <w:rFonts w:hint="eastAsia" w:ascii="微软雅黑" w:hAnsi="微软雅黑" w:eastAsia="微软雅黑" w:cs="微软雅黑"/>
          <w:sz w:val="24"/>
          <w:szCs w:val="20"/>
          <w:u w:val="single"/>
        </w:rPr>
        <w:t xml:space="preserve">    </w:t>
      </w:r>
      <w:r>
        <w:rPr>
          <w:rFonts w:hint="eastAsia" w:ascii="微软雅黑" w:hAnsi="微软雅黑" w:eastAsia="微软雅黑" w:cs="微软雅黑"/>
          <w:sz w:val="24"/>
          <w:szCs w:val="20"/>
        </w:rPr>
        <w:t>日</w:t>
      </w:r>
    </w:p>
    <w:p w14:paraId="58B83876">
      <w:pPr>
        <w:pStyle w:val="77"/>
        <w:bidi w:val="0"/>
        <w:rPr>
          <w:rFonts w:hint="eastAsia" w:ascii="微软雅黑" w:hAnsi="微软雅黑" w:eastAsia="微软雅黑" w:cs="微软雅黑"/>
        </w:rPr>
      </w:pPr>
      <w:r>
        <w:rPr>
          <w:rFonts w:hint="eastAsia" w:ascii="微软雅黑" w:hAnsi="微软雅黑" w:eastAsia="微软雅黑" w:cs="微软雅黑"/>
        </w:rPr>
        <w:t xml:space="preserve"> </w:t>
      </w:r>
    </w:p>
    <w:p w14:paraId="52D93833">
      <w:pPr>
        <w:pStyle w:val="77"/>
        <w:bidi w:val="0"/>
        <w:rPr>
          <w:rFonts w:hint="eastAsia" w:ascii="微软雅黑" w:hAnsi="微软雅黑" w:eastAsia="微软雅黑" w:cs="微软雅黑"/>
        </w:rPr>
      </w:pPr>
    </w:p>
    <w:p w14:paraId="479AE700">
      <w:pPr>
        <w:pStyle w:val="77"/>
        <w:bidi w:val="0"/>
        <w:rPr>
          <w:rFonts w:hint="eastAsia" w:ascii="微软雅黑" w:hAnsi="微软雅黑" w:eastAsia="微软雅黑" w:cs="微软雅黑"/>
        </w:rPr>
      </w:pPr>
    </w:p>
    <w:p w14:paraId="0A484835">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230754D8">
      <w:pPr>
        <w:pStyle w:val="73"/>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附件5 投标函</w:t>
      </w:r>
    </w:p>
    <w:p w14:paraId="78BEF19D">
      <w:pPr>
        <w:spacing w:line="360" w:lineRule="auto"/>
        <w:jc w:val="center"/>
        <w:rPr>
          <w:rFonts w:hint="eastAsia" w:ascii="微软雅黑" w:hAnsi="微软雅黑" w:eastAsia="微软雅黑" w:cs="微软雅黑"/>
          <w:b/>
          <w:bCs/>
          <w:color w:val="000000"/>
          <w:sz w:val="32"/>
          <w:szCs w:val="32"/>
        </w:rPr>
      </w:pPr>
      <w:r>
        <w:rPr>
          <w:rFonts w:hint="eastAsia" w:ascii="微软雅黑" w:hAnsi="微软雅黑" w:eastAsia="微软雅黑" w:cs="微软雅黑"/>
          <w:b/>
          <w:bCs/>
          <w:color w:val="000000"/>
          <w:sz w:val="32"/>
          <w:szCs w:val="32"/>
        </w:rPr>
        <w:t>投标函</w:t>
      </w:r>
    </w:p>
    <w:p w14:paraId="1A7AA2F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致：</w:t>
      </w:r>
      <w:r>
        <w:rPr>
          <w:rFonts w:hint="eastAsia" w:ascii="微软雅黑" w:hAnsi="微软雅黑" w:eastAsia="微软雅黑" w:cs="微软雅黑"/>
          <w:color w:val="000000"/>
          <w:sz w:val="24"/>
          <w:szCs w:val="24"/>
          <w:lang w:eastAsia="zh-CN"/>
        </w:rPr>
        <w:t>中国重汽集团济南商用车制造公司</w:t>
      </w:r>
      <w:r>
        <w:rPr>
          <w:rFonts w:hint="eastAsia" w:ascii="微软雅黑" w:hAnsi="微软雅黑" w:eastAsia="微软雅黑" w:cs="微软雅黑"/>
          <w:color w:val="000000"/>
          <w:sz w:val="24"/>
          <w:szCs w:val="24"/>
        </w:rPr>
        <w:t>：</w:t>
      </w:r>
    </w:p>
    <w:p w14:paraId="251C176C">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根</w:t>
      </w:r>
      <w:r>
        <w:rPr>
          <w:rFonts w:hint="eastAsia" w:ascii="微软雅黑" w:hAnsi="微软雅黑" w:eastAsia="微软雅黑" w:cs="微软雅黑"/>
          <w:color w:val="000000"/>
          <w:sz w:val="24"/>
          <w:szCs w:val="24"/>
          <w:highlight w:val="none"/>
        </w:rPr>
        <w:t>据贵方</w:t>
      </w:r>
      <w:r>
        <w:rPr>
          <w:rFonts w:hint="eastAsia" w:ascii="微软雅黑" w:hAnsi="微软雅黑" w:eastAsia="微软雅黑" w:cs="微软雅黑"/>
          <w:color w:val="000000"/>
          <w:sz w:val="24"/>
          <w:szCs w:val="24"/>
          <w:highlight w:val="none"/>
          <w:u w:val="single"/>
          <w:lang w:val="en-US" w:eastAsia="zh-CN"/>
        </w:rPr>
        <w:t>济南商用车制造公司会议室升级改造技改项目</w:t>
      </w:r>
      <w:r>
        <w:rPr>
          <w:rFonts w:hint="eastAsia" w:ascii="微软雅黑" w:hAnsi="微软雅黑" w:eastAsia="微软雅黑" w:cs="微软雅黑"/>
          <w:bCs/>
          <w:snapToGrid w:val="0"/>
          <w:color w:val="000000"/>
          <w:kern w:val="0"/>
          <w:sz w:val="24"/>
          <w:szCs w:val="24"/>
          <w:highlight w:val="none"/>
        </w:rPr>
        <w:t>招</w:t>
      </w:r>
      <w:r>
        <w:rPr>
          <w:rFonts w:hint="eastAsia" w:ascii="微软雅黑" w:hAnsi="微软雅黑" w:eastAsia="微软雅黑" w:cs="微软雅黑"/>
          <w:bCs/>
          <w:snapToGrid w:val="0"/>
          <w:color w:val="000000"/>
          <w:kern w:val="0"/>
          <w:sz w:val="24"/>
          <w:szCs w:val="24"/>
        </w:rPr>
        <w:t>标公告</w:t>
      </w:r>
      <w:r>
        <w:rPr>
          <w:rFonts w:hint="eastAsia" w:ascii="微软雅黑" w:hAnsi="微软雅黑" w:eastAsia="微软雅黑" w:cs="微软雅黑"/>
          <w:color w:val="000000"/>
          <w:sz w:val="24"/>
          <w:szCs w:val="24"/>
        </w:rPr>
        <w:t>，</w:t>
      </w:r>
      <w:r>
        <w:rPr>
          <w:rFonts w:hint="eastAsia" w:ascii="微软雅黑" w:hAnsi="微软雅黑" w:eastAsia="微软雅黑" w:cs="微软雅黑"/>
          <w:b/>
          <w:color w:val="000000"/>
          <w:sz w:val="24"/>
          <w:szCs w:val="24"/>
          <w:u w:val="single"/>
        </w:rPr>
        <w:t xml:space="preserve">            </w:t>
      </w:r>
      <w:r>
        <w:rPr>
          <w:rFonts w:hint="eastAsia" w:ascii="微软雅黑" w:hAnsi="微软雅黑" w:eastAsia="微软雅黑" w:cs="微软雅黑"/>
          <w:color w:val="000000"/>
          <w:sz w:val="24"/>
          <w:szCs w:val="24"/>
        </w:rPr>
        <w:t>投标公司， 法人代表人为</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，正式授权</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 xml:space="preserve"> 提交</w:t>
      </w:r>
      <w:r>
        <w:rPr>
          <w:rFonts w:hint="eastAsia" w:ascii="微软雅黑" w:hAnsi="微软雅黑" w:eastAsia="微软雅黑" w:cs="微软雅黑"/>
          <w:color w:val="000000"/>
          <w:sz w:val="24"/>
          <w:szCs w:val="24"/>
          <w:lang w:val="en-US" w:eastAsia="zh-CN"/>
        </w:rPr>
        <w:t>电子版</w:t>
      </w:r>
      <w:r>
        <w:rPr>
          <w:rFonts w:hint="eastAsia" w:ascii="微软雅黑" w:hAnsi="微软雅黑" w:eastAsia="微软雅黑" w:cs="微软雅黑"/>
          <w:color w:val="000000"/>
          <w:sz w:val="24"/>
          <w:szCs w:val="24"/>
        </w:rPr>
        <w:t>投标文件：资质证明文件、商务文件和技术文件。</w:t>
      </w:r>
    </w:p>
    <w:p w14:paraId="65C45EAB">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据此函，签字代表宣布同意如下：</w:t>
      </w:r>
    </w:p>
    <w:p w14:paraId="10880B3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hint="eastAsia" w:ascii="微软雅黑" w:hAnsi="微软雅黑" w:eastAsia="微软雅黑" w:cs="微软雅黑"/>
          <w:color w:val="000000"/>
          <w:sz w:val="24"/>
          <w:szCs w:val="24"/>
          <w:highlight w:val="none"/>
          <w:u w:val="none"/>
        </w:rPr>
      </w:pPr>
      <w:r>
        <w:rPr>
          <w:rFonts w:hint="eastAsia" w:ascii="微软雅黑" w:hAnsi="微软雅黑" w:eastAsia="微软雅黑" w:cs="微软雅黑"/>
          <w:color w:val="000000"/>
          <w:sz w:val="24"/>
          <w:szCs w:val="24"/>
        </w:rPr>
        <w:t>2.投标人在投标之前已经与贵方进行了充分的沟通，完全理解并接受招标文件的各项规定和要求，对招标文件的</w:t>
      </w:r>
      <w:r>
        <w:rPr>
          <w:rFonts w:hint="eastAsia" w:ascii="微软雅黑" w:hAnsi="微软雅黑" w:eastAsia="微软雅黑" w:cs="微软雅黑"/>
          <w:color w:val="000000"/>
          <w:sz w:val="24"/>
          <w:szCs w:val="24"/>
          <w:highlight w:val="none"/>
          <w:u w:val="none"/>
        </w:rPr>
        <w:t>合理性、合法性不再有异议。</w:t>
      </w:r>
    </w:p>
    <w:p w14:paraId="45B0FEC9">
      <w:pPr>
        <w:spacing w:line="360" w:lineRule="auto"/>
        <w:ind w:firstLine="480" w:firstLineChars="200"/>
        <w:rPr>
          <w:rFonts w:hint="eastAsia" w:ascii="微软雅黑" w:hAnsi="微软雅黑" w:eastAsia="微软雅黑" w:cs="微软雅黑"/>
          <w:color w:val="000000"/>
          <w:sz w:val="24"/>
          <w:szCs w:val="24"/>
          <w:lang w:eastAsia="zh-CN"/>
        </w:rPr>
      </w:pPr>
      <w:r>
        <w:rPr>
          <w:rFonts w:hint="eastAsia" w:ascii="微软雅黑" w:hAnsi="微软雅黑" w:eastAsia="微软雅黑" w:cs="微软雅黑"/>
          <w:color w:val="000000"/>
          <w:sz w:val="24"/>
          <w:szCs w:val="24"/>
          <w:highlight w:val="none"/>
          <w:u w:val="none"/>
        </w:rPr>
        <w:t>3.本投标有效期自开标日起</w:t>
      </w:r>
      <w:r>
        <w:rPr>
          <w:rFonts w:hint="eastAsia" w:ascii="微软雅黑" w:hAnsi="微软雅黑" w:eastAsia="微软雅黑" w:cs="微软雅黑"/>
          <w:bCs/>
          <w:color w:val="000000"/>
          <w:sz w:val="24"/>
          <w:szCs w:val="24"/>
          <w:highlight w:val="none"/>
          <w:u w:val="none"/>
          <w:lang w:val="en-US" w:eastAsia="zh-CN"/>
        </w:rPr>
        <w:t>90</w:t>
      </w:r>
      <w:r>
        <w:rPr>
          <w:rFonts w:hint="eastAsia" w:ascii="微软雅黑" w:hAnsi="微软雅黑" w:eastAsia="微软雅黑" w:cs="微软雅黑"/>
          <w:color w:val="000000"/>
          <w:sz w:val="24"/>
          <w:szCs w:val="24"/>
          <w:highlight w:val="none"/>
          <w:u w:val="none"/>
        </w:rPr>
        <w:t>个日历</w:t>
      </w:r>
      <w:r>
        <w:rPr>
          <w:rFonts w:hint="eastAsia" w:ascii="微软雅黑" w:hAnsi="微软雅黑" w:eastAsia="微软雅黑" w:cs="微软雅黑"/>
          <w:color w:val="000000"/>
          <w:sz w:val="24"/>
          <w:szCs w:val="24"/>
        </w:rPr>
        <w:t>日。</w:t>
      </w:r>
    </w:p>
    <w:p w14:paraId="48E1E958">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4.如中标，本投标文件至本项目合同履行完毕止均保持有效，本投标人将按“招标文件”及政府采购法律、法规的规定履行合同责任和义务。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5.投标人同意按照贵方要求提供与投标有关的一切数据或资料。</w:t>
      </w:r>
    </w:p>
    <w:p w14:paraId="62D730F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6.与本投标有关的一切正式往来信函请寄：</w:t>
      </w:r>
    </w:p>
    <w:p w14:paraId="0D70DD7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地址：                             </w:t>
      </w:r>
    </w:p>
    <w:p w14:paraId="15A13782">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邮编：        </w:t>
      </w:r>
    </w:p>
    <w:p w14:paraId="642217AF">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电话：        传真：                   </w:t>
      </w:r>
    </w:p>
    <w:p w14:paraId="64E7D1CD">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投标人代表姓名：</w:t>
      </w:r>
      <w:r>
        <w:rPr>
          <w:rFonts w:hint="eastAsia" w:ascii="微软雅黑" w:hAnsi="微软雅黑" w:eastAsia="微软雅黑" w:cs="微软雅黑"/>
          <w:color w:val="000000"/>
          <w:sz w:val="24"/>
          <w:szCs w:val="24"/>
          <w:u w:val="single"/>
        </w:rPr>
        <w:t xml:space="preserve">         </w:t>
      </w:r>
      <w:r>
        <w:rPr>
          <w:rFonts w:hint="eastAsia" w:ascii="微软雅黑" w:hAnsi="微软雅黑" w:eastAsia="微软雅黑" w:cs="微软雅黑"/>
          <w:color w:val="000000"/>
          <w:sz w:val="24"/>
          <w:szCs w:val="24"/>
        </w:rPr>
        <w:t xml:space="preserve">职务：          </w:t>
      </w:r>
    </w:p>
    <w:p w14:paraId="6770A280">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开户银行：                   </w:t>
      </w:r>
    </w:p>
    <w:p w14:paraId="076E3F31">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 xml:space="preserve">银行帐号：                   </w:t>
      </w:r>
    </w:p>
    <w:p w14:paraId="696EA9C7">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投标人名称（</w:t>
      </w:r>
      <w:r>
        <w:rPr>
          <w:rFonts w:hint="eastAsia" w:ascii="微软雅黑" w:hAnsi="微软雅黑" w:eastAsia="微软雅黑" w:cs="微软雅黑"/>
          <w:bCs/>
          <w:color w:val="000000"/>
          <w:sz w:val="24"/>
          <w:szCs w:val="24"/>
        </w:rPr>
        <w:t>盖章）</w:t>
      </w:r>
      <w:r>
        <w:rPr>
          <w:rFonts w:hint="eastAsia" w:ascii="微软雅黑" w:hAnsi="微软雅黑" w:eastAsia="微软雅黑" w:cs="微软雅黑"/>
          <w:color w:val="000000"/>
          <w:sz w:val="24"/>
          <w:szCs w:val="24"/>
        </w:rPr>
        <w:t xml:space="preserve">: </w:t>
      </w:r>
    </w:p>
    <w:p w14:paraId="006F5074">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授权代表签字</w:t>
      </w:r>
      <w:r>
        <w:rPr>
          <w:rFonts w:hint="eastAsia" w:ascii="微软雅黑" w:hAnsi="微软雅黑" w:eastAsia="微软雅黑" w:cs="微软雅黑"/>
          <w:bCs/>
          <w:color w:val="000000"/>
          <w:sz w:val="24"/>
          <w:szCs w:val="24"/>
        </w:rPr>
        <w:t>：</w:t>
      </w:r>
    </w:p>
    <w:p w14:paraId="348E15CE">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日期：     年      月      日</w:t>
      </w:r>
    </w:p>
    <w:p w14:paraId="3391EAE8">
      <w:pPr>
        <w:pStyle w:val="77"/>
        <w:bidi w:val="0"/>
        <w:rPr>
          <w:rFonts w:hint="eastAsia" w:ascii="微软雅黑" w:hAnsi="微软雅黑" w:eastAsia="微软雅黑" w:cs="微软雅黑"/>
        </w:rPr>
      </w:pPr>
    </w:p>
    <w:p w14:paraId="49E6F05A">
      <w:pPr>
        <w:pStyle w:val="77"/>
        <w:bidi w:val="0"/>
        <w:rPr>
          <w:rFonts w:hint="eastAsia" w:ascii="微软雅黑" w:hAnsi="微软雅黑" w:eastAsia="微软雅黑" w:cs="微软雅黑"/>
        </w:rPr>
      </w:pPr>
    </w:p>
    <w:p w14:paraId="1DC3B28E">
      <w:pPr>
        <w:pStyle w:val="77"/>
        <w:bidi w:val="0"/>
        <w:rPr>
          <w:rFonts w:hint="eastAsia" w:ascii="微软雅黑" w:hAnsi="微软雅黑" w:eastAsia="微软雅黑" w:cs="微软雅黑"/>
        </w:rPr>
      </w:pPr>
    </w:p>
    <w:p w14:paraId="32C9A5BE">
      <w:pPr>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br w:type="page"/>
      </w:r>
    </w:p>
    <w:p w14:paraId="4E91CA03">
      <w:pPr>
        <w:pStyle w:val="73"/>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附件6 商务条款偏离表</w:t>
      </w:r>
    </w:p>
    <w:p w14:paraId="38D36224">
      <w:pPr>
        <w:spacing w:line="360" w:lineRule="auto"/>
        <w:jc w:val="center"/>
        <w:rPr>
          <w:rFonts w:hint="eastAsia" w:ascii="微软雅黑" w:hAnsi="微软雅黑" w:eastAsia="微软雅黑" w:cs="微软雅黑"/>
          <w:b/>
          <w:bCs/>
          <w:color w:val="000000"/>
          <w:sz w:val="32"/>
          <w:szCs w:val="32"/>
          <w:lang w:val="en-US" w:eastAsia="zh-CN"/>
        </w:rPr>
      </w:pPr>
      <w:r>
        <w:rPr>
          <w:rFonts w:hint="eastAsia" w:ascii="微软雅黑" w:hAnsi="微软雅黑" w:eastAsia="微软雅黑" w:cs="微软雅黑"/>
          <w:b/>
          <w:bCs/>
          <w:color w:val="000000"/>
          <w:sz w:val="32"/>
          <w:szCs w:val="32"/>
          <w:lang w:val="en-US" w:eastAsia="zh-CN"/>
        </w:rPr>
        <w:t>商务条款偏离表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hint="eastAsia" w:ascii="微软雅黑" w:hAnsi="微软雅黑" w:eastAsia="微软雅黑" w:cs="微软雅黑"/>
                <w:b/>
                <w:szCs w:val="20"/>
                <w:lang w:val="en-US"/>
              </w:rPr>
            </w:pPr>
            <w:r>
              <w:rPr>
                <w:rFonts w:hint="eastAsia" w:ascii="微软雅黑" w:hAnsi="微软雅黑" w:eastAsia="微软雅黑" w:cs="微软雅黑"/>
                <w:b/>
                <w:bCs/>
                <w:i w:val="0"/>
                <w:iCs w:val="0"/>
                <w:sz w:val="24"/>
                <w:szCs w:val="24"/>
                <w:highlight w:val="none"/>
                <w:u w:val="none"/>
                <w:lang w:val="en-US" w:eastAsia="zh-CN"/>
              </w:rPr>
              <w:t>济南商用车制造公司会议室升级改造技改项目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是否偏离</w:t>
            </w:r>
          </w:p>
          <w:p w14:paraId="695C9B64">
            <w:pPr>
              <w:jc w:val="center"/>
              <w:rPr>
                <w:rFonts w:hint="eastAsia" w:ascii="微软雅黑" w:hAnsi="微软雅黑" w:eastAsia="微软雅黑" w:cs="微软雅黑"/>
                <w:b/>
                <w:szCs w:val="20"/>
              </w:rPr>
            </w:pPr>
            <w:r>
              <w:rPr>
                <w:rFonts w:hint="eastAsia" w:ascii="微软雅黑" w:hAnsi="微软雅黑" w:eastAsia="微软雅黑" w:cs="微软雅黑"/>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hint="eastAsia" w:ascii="微软雅黑" w:hAnsi="微软雅黑" w:eastAsia="微软雅黑" w:cs="微软雅黑"/>
                <w:b/>
                <w:szCs w:val="20"/>
              </w:rPr>
            </w:pPr>
            <w:r>
              <w:rPr>
                <w:rFonts w:hint="eastAsia" w:ascii="微软雅黑" w:hAnsi="微软雅黑" w:eastAsia="微软雅黑" w:cs="微软雅黑"/>
                <w:b/>
                <w:bCs/>
              </w:rPr>
              <w:t>技术支撑延续性</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hint="eastAsia" w:ascii="微软雅黑" w:hAnsi="微软雅黑" w:eastAsia="微软雅黑" w:cs="微软雅黑"/>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hint="eastAsia" w:ascii="微软雅黑" w:hAnsi="微软雅黑" w:eastAsia="微软雅黑" w:cs="微软雅黑"/>
                <w:b/>
                <w:szCs w:val="20"/>
              </w:rPr>
            </w:pPr>
            <w:r>
              <w:rPr>
                <w:rFonts w:hint="eastAsia" w:ascii="微软雅黑" w:hAnsi="微软雅黑" w:eastAsia="微软雅黑" w:cs="微软雅黑"/>
                <w:b/>
                <w:szCs w:val="20"/>
                <w:lang w:val="en-US" w:eastAsia="zh-CN"/>
              </w:rPr>
              <w:t>实施</w:t>
            </w:r>
            <w:r>
              <w:rPr>
                <w:rFonts w:hint="eastAsia" w:ascii="微软雅黑" w:hAnsi="微软雅黑" w:eastAsia="微软雅黑" w:cs="微软雅黑"/>
                <w:b/>
                <w:szCs w:val="20"/>
              </w:rPr>
              <w:t>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hint="eastAsia" w:ascii="微软雅黑" w:hAnsi="微软雅黑" w:eastAsia="微软雅黑" w:cs="微软雅黑"/>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hint="eastAsia" w:ascii="微软雅黑" w:hAnsi="微软雅黑" w:eastAsia="微软雅黑" w:cs="微软雅黑"/>
                <w:b/>
                <w:szCs w:val="20"/>
              </w:rPr>
            </w:pPr>
            <w:r>
              <w:rPr>
                <w:rFonts w:hint="eastAsia" w:ascii="微软雅黑" w:hAnsi="微软雅黑" w:eastAsia="微软雅黑" w:cs="微软雅黑"/>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hint="eastAsia" w:ascii="微软雅黑" w:hAnsi="微软雅黑" w:eastAsia="微软雅黑" w:cs="微软雅黑"/>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hint="eastAsia" w:ascii="微软雅黑" w:hAnsi="微软雅黑" w:eastAsia="微软雅黑" w:cs="微软雅黑"/>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hint="eastAsia" w:ascii="微软雅黑" w:hAnsi="微软雅黑" w:eastAsia="微软雅黑" w:cs="微软雅黑"/>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hint="eastAsia" w:ascii="微软雅黑" w:hAnsi="微软雅黑" w:eastAsia="微软雅黑" w:cs="微软雅黑"/>
                <w:b/>
                <w:szCs w:val="21"/>
              </w:rPr>
            </w:pPr>
          </w:p>
          <w:p w14:paraId="2311C360">
            <w:pPr>
              <w:jc w:val="center"/>
              <w:rPr>
                <w:rFonts w:hint="eastAsia" w:ascii="微软雅黑" w:hAnsi="微软雅黑" w:eastAsia="微软雅黑" w:cs="微软雅黑"/>
                <w:b/>
                <w:szCs w:val="21"/>
              </w:rPr>
            </w:pPr>
          </w:p>
          <w:p w14:paraId="7FD0011A">
            <w:pPr>
              <w:jc w:val="center"/>
              <w:rPr>
                <w:rFonts w:hint="eastAsia" w:ascii="微软雅黑" w:hAnsi="微软雅黑" w:eastAsia="微软雅黑" w:cs="微软雅黑"/>
                <w:b/>
                <w:szCs w:val="21"/>
              </w:rPr>
            </w:pPr>
          </w:p>
          <w:p w14:paraId="7E133CE2">
            <w:pPr>
              <w:jc w:val="center"/>
              <w:rPr>
                <w:rFonts w:hint="eastAsia" w:ascii="微软雅黑" w:hAnsi="微软雅黑" w:eastAsia="微软雅黑" w:cs="微软雅黑"/>
                <w:b/>
                <w:szCs w:val="21"/>
              </w:rPr>
            </w:pPr>
          </w:p>
          <w:p w14:paraId="51AC5346">
            <w:pPr>
              <w:jc w:val="center"/>
              <w:rPr>
                <w:rFonts w:hint="eastAsia" w:ascii="微软雅黑" w:hAnsi="微软雅黑" w:eastAsia="微软雅黑" w:cs="微软雅黑"/>
                <w:b/>
                <w:szCs w:val="21"/>
              </w:rPr>
            </w:pPr>
          </w:p>
          <w:p w14:paraId="2BC45769">
            <w:pPr>
              <w:jc w:val="center"/>
              <w:rPr>
                <w:rFonts w:hint="eastAsia" w:ascii="微软雅黑" w:hAnsi="微软雅黑" w:eastAsia="微软雅黑" w:cs="微软雅黑"/>
                <w:b/>
                <w:szCs w:val="21"/>
              </w:rPr>
            </w:pPr>
          </w:p>
          <w:p w14:paraId="76CE503C">
            <w:pPr>
              <w:jc w:val="center"/>
              <w:rPr>
                <w:rFonts w:hint="eastAsia" w:ascii="微软雅黑" w:hAnsi="微软雅黑" w:eastAsia="微软雅黑" w:cs="微软雅黑"/>
                <w:b/>
                <w:szCs w:val="21"/>
              </w:rPr>
            </w:pPr>
          </w:p>
          <w:p w14:paraId="085D6DBC">
            <w:pPr>
              <w:jc w:val="center"/>
              <w:rPr>
                <w:rFonts w:hint="eastAsia" w:ascii="微软雅黑" w:hAnsi="微软雅黑" w:eastAsia="微软雅黑" w:cs="微软雅黑"/>
                <w:b/>
                <w:szCs w:val="21"/>
              </w:rPr>
            </w:pPr>
          </w:p>
          <w:p w14:paraId="1571192F">
            <w:pPr>
              <w:jc w:val="center"/>
              <w:rPr>
                <w:rFonts w:hint="eastAsia" w:ascii="微软雅黑" w:hAnsi="微软雅黑" w:eastAsia="微软雅黑" w:cs="微软雅黑"/>
                <w:b/>
                <w:szCs w:val="21"/>
              </w:rPr>
            </w:pPr>
          </w:p>
          <w:p w14:paraId="7D15E4F6">
            <w:pPr>
              <w:jc w:val="center"/>
              <w:rPr>
                <w:rFonts w:hint="eastAsia" w:ascii="微软雅黑" w:hAnsi="微软雅黑" w:eastAsia="微软雅黑" w:cs="微软雅黑"/>
                <w:b/>
                <w:szCs w:val="21"/>
              </w:rPr>
            </w:pPr>
          </w:p>
          <w:p w14:paraId="4542552C">
            <w:pPr>
              <w:jc w:val="center"/>
              <w:rPr>
                <w:rFonts w:hint="eastAsia" w:ascii="微软雅黑" w:hAnsi="微软雅黑" w:eastAsia="微软雅黑" w:cs="微软雅黑"/>
                <w:b/>
                <w:szCs w:val="21"/>
              </w:rPr>
            </w:pPr>
          </w:p>
          <w:p w14:paraId="53820639">
            <w:pPr>
              <w:jc w:val="center"/>
              <w:rPr>
                <w:rFonts w:hint="eastAsia" w:ascii="微软雅黑" w:hAnsi="微软雅黑" w:eastAsia="微软雅黑" w:cs="微软雅黑"/>
                <w:b/>
                <w:szCs w:val="21"/>
              </w:rPr>
            </w:pPr>
          </w:p>
          <w:p w14:paraId="58C55B20">
            <w:pPr>
              <w:jc w:val="center"/>
              <w:rPr>
                <w:rFonts w:hint="eastAsia" w:ascii="微软雅黑" w:hAnsi="微软雅黑" w:eastAsia="微软雅黑" w:cs="微软雅黑"/>
                <w:b/>
                <w:szCs w:val="21"/>
              </w:rPr>
            </w:pPr>
          </w:p>
          <w:p w14:paraId="0214A778">
            <w:pPr>
              <w:jc w:val="center"/>
              <w:rPr>
                <w:rFonts w:hint="eastAsia" w:ascii="微软雅黑" w:hAnsi="微软雅黑" w:eastAsia="微软雅黑" w:cs="微软雅黑"/>
                <w:b/>
                <w:szCs w:val="21"/>
              </w:rPr>
            </w:pPr>
          </w:p>
          <w:p w14:paraId="6EFAB8EF">
            <w:pPr>
              <w:jc w:val="center"/>
              <w:rPr>
                <w:rFonts w:hint="eastAsia" w:ascii="微软雅黑" w:hAnsi="微软雅黑" w:eastAsia="微软雅黑" w:cs="微软雅黑"/>
                <w:b/>
                <w:szCs w:val="21"/>
              </w:rPr>
            </w:pPr>
          </w:p>
          <w:p w14:paraId="576EE7F4">
            <w:pPr>
              <w:jc w:val="center"/>
              <w:rPr>
                <w:rFonts w:hint="eastAsia" w:ascii="微软雅黑" w:hAnsi="微软雅黑" w:eastAsia="微软雅黑" w:cs="微软雅黑"/>
                <w:b/>
                <w:szCs w:val="21"/>
              </w:rPr>
            </w:pPr>
          </w:p>
          <w:p w14:paraId="1C6A0C58">
            <w:pPr>
              <w:jc w:val="center"/>
              <w:rPr>
                <w:rFonts w:hint="eastAsia" w:ascii="微软雅黑" w:hAnsi="微软雅黑" w:eastAsia="微软雅黑" w:cs="微软雅黑"/>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hint="eastAsia" w:ascii="微软雅黑" w:hAnsi="微软雅黑" w:eastAsia="微软雅黑" w:cs="微软雅黑"/>
                <w:b/>
                <w:szCs w:val="20"/>
              </w:rPr>
            </w:pPr>
            <w:r>
              <w:rPr>
                <w:rFonts w:hint="eastAsia" w:ascii="微软雅黑" w:hAnsi="微软雅黑" w:eastAsia="微软雅黑" w:cs="微软雅黑"/>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hint="eastAsia" w:ascii="微软雅黑" w:hAnsi="微软雅黑" w:eastAsia="微软雅黑" w:cs="微软雅黑"/>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hint="eastAsia" w:ascii="微软雅黑" w:hAnsi="微软雅黑" w:eastAsia="微软雅黑" w:cs="微软雅黑"/>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hint="eastAsia" w:ascii="微软雅黑" w:hAnsi="微软雅黑" w:eastAsia="微软雅黑" w:cs="微软雅黑"/>
                <w:b/>
                <w:szCs w:val="20"/>
              </w:rPr>
            </w:pPr>
          </w:p>
        </w:tc>
      </w:tr>
    </w:tbl>
    <w:p w14:paraId="1D46FAD5">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投标人名称：                   授权代表签字：            日期：</w:t>
      </w:r>
    </w:p>
    <w:p w14:paraId="2ACA508A">
      <w:pPr>
        <w:spacing w:line="360" w:lineRule="auto"/>
        <w:ind w:firstLine="480" w:firstLineChars="200"/>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注：为避免歧义，无偏离也应要提报该表，并注明“无”字。如无该表则即使在其它部分已反映，将也被视为“无偏离”。</w:t>
      </w:r>
    </w:p>
    <w:p w14:paraId="14A64866">
      <w:pPr>
        <w:pStyle w:val="4"/>
        <w:rPr>
          <w:rFonts w:hint="eastAsia" w:ascii="微软雅黑" w:hAnsi="微软雅黑" w:eastAsia="微软雅黑" w:cs="微软雅黑"/>
          <w:lang w:val="en-US" w:eastAsia="zh-CN"/>
        </w:rPr>
      </w:pPr>
    </w:p>
    <w:p w14:paraId="0D0184EF">
      <w:pPr>
        <w:pStyle w:val="77"/>
        <w:rPr>
          <w:rFonts w:hint="eastAsia" w:ascii="微软雅黑" w:hAnsi="微软雅黑" w:eastAsia="微软雅黑" w:cs="微软雅黑"/>
          <w:sz w:val="24"/>
          <w:lang w:val="en-US"/>
        </w:rPr>
      </w:pPr>
    </w:p>
    <w:p w14:paraId="25341579">
      <w:pPr>
        <w:pStyle w:val="77"/>
        <w:rPr>
          <w:rFonts w:hint="eastAsia" w:ascii="微软雅黑" w:hAnsi="微软雅黑" w:eastAsia="微软雅黑" w:cs="微软雅黑"/>
          <w:sz w:val="24"/>
          <w:lang w:val="en-US"/>
        </w:rPr>
      </w:pPr>
    </w:p>
    <w:p w14:paraId="3D42EF00">
      <w:pPr>
        <w:pStyle w:val="77"/>
        <w:rPr>
          <w:rFonts w:hint="eastAsia" w:ascii="微软雅黑" w:hAnsi="微软雅黑" w:eastAsia="微软雅黑" w:cs="微软雅黑"/>
          <w:sz w:val="24"/>
          <w:lang w:val="en-US"/>
        </w:rPr>
      </w:pPr>
    </w:p>
    <w:p w14:paraId="690158EE">
      <w:pPr>
        <w:rPr>
          <w:rFonts w:hint="eastAsia" w:ascii="微软雅黑" w:hAnsi="微软雅黑" w:eastAsia="微软雅黑" w:cs="微软雅黑"/>
          <w:sz w:val="24"/>
          <w:lang w:val="en-US"/>
        </w:rPr>
      </w:pPr>
      <w:r>
        <w:rPr>
          <w:rFonts w:hint="eastAsia" w:ascii="微软雅黑" w:hAnsi="微软雅黑" w:eastAsia="微软雅黑" w:cs="微软雅黑"/>
          <w:sz w:val="32"/>
          <w:szCs w:val="32"/>
          <w:highlight w:val="none"/>
          <w:lang w:val="en-US" w:eastAsia="zh-CN"/>
        </w:rPr>
        <w:br w:type="page"/>
      </w:r>
    </w:p>
    <w:p w14:paraId="7F7233A4">
      <w:pPr>
        <w:pStyle w:val="73"/>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附件7 SRM非生产供应商注册操作手册</w:t>
      </w:r>
    </w:p>
    <w:p w14:paraId="053BD63F">
      <w:pPr>
        <w:adjustRightInd w:val="0"/>
        <w:snapToGrid w:val="0"/>
        <w:jc w:val="left"/>
        <w:rPr>
          <w:rFonts w:hint="eastAsia" w:ascii="微软雅黑" w:hAnsi="微软雅黑" w:eastAsia="微软雅黑" w:cs="微软雅黑"/>
          <w:sz w:val="24"/>
          <w:szCs w:val="24"/>
        </w:rPr>
      </w:pPr>
    </w:p>
    <w:p w14:paraId="391ADFBC">
      <w:pPr>
        <w:adjustRightInd w:val="0"/>
        <w:snapToGrid w:val="0"/>
        <w:spacing w:line="360" w:lineRule="auto"/>
        <w:jc w:val="left"/>
        <w:rPr>
          <w:rFonts w:hint="eastAsia" w:ascii="微软雅黑" w:hAnsi="微软雅黑" w:eastAsia="微软雅黑" w:cs="微软雅黑"/>
          <w:sz w:val="24"/>
          <w:szCs w:val="24"/>
        </w:rPr>
      </w:pPr>
      <w:r>
        <w:rPr>
          <w:rFonts w:hint="eastAsia" w:ascii="微软雅黑" w:hAnsi="微软雅黑" w:eastAsia="微软雅黑" w:cs="微软雅黑"/>
          <w:sz w:val="24"/>
          <w:szCs w:val="24"/>
        </w:rPr>
        <w:t>浏览器中输入地址;</w:t>
      </w:r>
    </w:p>
    <w:p w14:paraId="71650608">
      <w:pPr>
        <w:adjustRightInd w:val="0"/>
        <w:snapToGrid w:val="0"/>
        <w:spacing w:line="360" w:lineRule="auto"/>
        <w:jc w:val="left"/>
        <w:rPr>
          <w:rFonts w:hint="eastAsia" w:ascii="微软雅黑" w:hAnsi="微软雅黑" w:eastAsia="微软雅黑" w:cs="微软雅黑"/>
          <w:sz w:val="24"/>
          <w:szCs w:val="24"/>
          <w:lang w:val="en-US" w:eastAsia="zh-CN"/>
        </w:rPr>
      </w:pPr>
      <w:r>
        <w:rPr>
          <w:rFonts w:hint="eastAsia" w:ascii="微软雅黑" w:hAnsi="微软雅黑" w:eastAsia="微软雅黑" w:cs="微软雅黑"/>
        </w:rPr>
        <w:fldChar w:fldCharType="begin"/>
      </w:r>
      <w:r>
        <w:rPr>
          <w:rFonts w:hint="eastAsia" w:ascii="微软雅黑" w:hAnsi="微软雅黑" w:eastAsia="微软雅黑" w:cs="微软雅黑"/>
        </w:rPr>
        <w:instrText xml:space="preserve"> HYPERLINK "http://ecaitong.sinotruk.com:8012/" \l "/login" \t "dlt" </w:instrText>
      </w:r>
      <w:r>
        <w:rPr>
          <w:rFonts w:hint="eastAsia" w:ascii="微软雅黑" w:hAnsi="微软雅黑" w:eastAsia="微软雅黑" w:cs="微软雅黑"/>
        </w:rPr>
        <w:fldChar w:fldCharType="separate"/>
      </w:r>
      <w:r>
        <w:rPr>
          <w:rFonts w:hint="eastAsia" w:ascii="微软雅黑" w:hAnsi="微软雅黑" w:eastAsia="微软雅黑" w:cs="微软雅黑"/>
          <w:sz w:val="24"/>
          <w:szCs w:val="24"/>
        </w:rPr>
        <w:t>http</w:t>
      </w:r>
      <w:r>
        <w:rPr>
          <w:rFonts w:hint="eastAsia" w:ascii="微软雅黑" w:hAnsi="微软雅黑" w:eastAsia="微软雅黑" w:cs="微软雅黑"/>
          <w:sz w:val="24"/>
          <w:szCs w:val="24"/>
          <w:lang w:val="en-US" w:eastAsia="zh-CN"/>
        </w:rPr>
        <w:t>s</w:t>
      </w:r>
      <w:r>
        <w:rPr>
          <w:rFonts w:hint="eastAsia" w:ascii="微软雅黑" w:hAnsi="微软雅黑" w:eastAsia="微软雅黑" w:cs="微软雅黑"/>
          <w:sz w:val="24"/>
          <w:szCs w:val="24"/>
        </w:rPr>
        <w:t>://ecaitong.sinotruk.com:8012/#/login</w:t>
      </w:r>
      <w:r>
        <w:rPr>
          <w:rFonts w:hint="eastAsia" w:ascii="微软雅黑" w:hAnsi="微软雅黑" w:eastAsia="微软雅黑" w:cs="微软雅黑"/>
          <w:sz w:val="24"/>
          <w:szCs w:val="24"/>
        </w:rPr>
        <w:fldChar w:fldCharType="end"/>
      </w:r>
      <w:r>
        <w:rPr>
          <w:rFonts w:hint="eastAsia" w:ascii="微软雅黑" w:hAnsi="微软雅黑" w:eastAsia="微软雅黑" w:cs="微软雅黑"/>
          <w:sz w:val="24"/>
          <w:szCs w:val="24"/>
        </w:rPr>
        <w:br w:type="textWrapping"/>
      </w:r>
      <w:r>
        <w:rPr>
          <w:rFonts w:hint="eastAsia" w:ascii="微软雅黑" w:hAnsi="微软雅黑" w:eastAsia="微软雅黑" w:cs="微软雅黑"/>
          <w:b/>
          <w:bCs/>
          <w:sz w:val="24"/>
          <w:szCs w:val="24"/>
          <w:lang w:val="en-US" w:eastAsia="zh-CN"/>
        </w:rPr>
        <w:t>注：登录页面可下载《供应商用户手册》</w:t>
      </w:r>
    </w:p>
    <w:p w14:paraId="2C189A2E">
      <w:pPr>
        <w:adjustRightInd w:val="0"/>
        <w:snapToGrid w:val="0"/>
        <w:spacing w:line="360" w:lineRule="auto"/>
        <w:jc w:val="left"/>
        <w:rPr>
          <w:rFonts w:hint="eastAsia" w:ascii="微软雅黑" w:hAnsi="微软雅黑" w:eastAsia="微软雅黑" w:cs="微软雅黑"/>
          <w:sz w:val="24"/>
          <w:szCs w:val="24"/>
        </w:rPr>
      </w:pPr>
      <w:r>
        <w:rPr>
          <w:rFonts w:hint="eastAsia" w:ascii="微软雅黑" w:hAnsi="微软雅黑" w:eastAsia="微软雅黑" w:cs="微软雅黑"/>
          <w:sz w:val="24"/>
          <w:szCs w:val="24"/>
        </w:rPr>
        <w:t>1.点击立即注册</w:t>
      </w:r>
    </w:p>
    <w:p w14:paraId="1671563F">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2.填写手机号码（没有注册过的）</w:t>
      </w:r>
    </w:p>
    <w:p w14:paraId="664B60BE">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3.注册成功登录这个手机号码的账号进入系统，点击供应商注册</w:t>
      </w:r>
    </w:p>
    <w:p w14:paraId="13D6993F">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hint="eastAsia" w:ascii="微软雅黑" w:hAnsi="微软雅黑" w:eastAsia="微软雅黑" w:cs="微软雅黑"/>
          <w:sz w:val="24"/>
          <w:szCs w:val="28"/>
        </w:rPr>
      </w:pPr>
      <w:r>
        <w:rPr>
          <w:rFonts w:hint="eastAsia" w:ascii="微软雅黑" w:hAnsi="微软雅黑" w:eastAsia="微软雅黑" w:cs="微软雅黑"/>
          <w:color w:val="000000"/>
          <w:sz w:val="24"/>
          <w:szCs w:val="28"/>
        </w:rPr>
        <w:t>4.点击新增</w:t>
      </w:r>
    </w:p>
    <w:p w14:paraId="0B89FC17">
      <w:pPr>
        <w:snapToGrid w:val="0"/>
        <w:spacing w:line="312" w:lineRule="auto"/>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17346439">
      <w:pPr>
        <w:numPr>
          <w:ilvl w:val="0"/>
          <w:numId w:val="30"/>
        </w:numPr>
        <w:spacing w:line="360" w:lineRule="auto"/>
        <w:rPr>
          <w:rFonts w:hint="eastAsia" w:ascii="微软雅黑" w:hAnsi="微软雅黑" w:eastAsia="微软雅黑" w:cs="微软雅黑"/>
          <w:color w:val="000000"/>
          <w:sz w:val="24"/>
          <w:szCs w:val="28"/>
        </w:rPr>
      </w:pPr>
      <w:r>
        <w:rPr>
          <w:rFonts w:hint="eastAsia" w:ascii="微软雅黑" w:hAnsi="微软雅黑" w:eastAsia="微软雅黑" w:cs="微软雅黑"/>
          <w:color w:val="000000"/>
          <w:sz w:val="24"/>
          <w:szCs w:val="28"/>
        </w:rPr>
        <w:t>按要求填写所有信息，注意非生产类要填写合作单位，最后提交审批</w:t>
      </w:r>
    </w:p>
    <w:p w14:paraId="344240B0">
      <w:pPr>
        <w:pStyle w:val="15"/>
        <w:numPr>
          <w:ilvl w:val="0"/>
          <w:numId w:val="0"/>
        </w:numPr>
        <w:rPr>
          <w:rFonts w:hint="eastAsia" w:ascii="微软雅黑" w:hAnsi="微软雅黑" w:eastAsia="微软雅黑" w:cs="微软雅黑"/>
        </w:rPr>
      </w:pPr>
    </w:p>
    <w:p w14:paraId="589FEC2E">
      <w:pPr>
        <w:rPr>
          <w:rFonts w:hint="eastAsia" w:ascii="微软雅黑" w:hAnsi="微软雅黑" w:eastAsia="微软雅黑" w:cs="微软雅黑"/>
          <w:color w:val="000000"/>
        </w:rPr>
      </w:pPr>
    </w:p>
    <w:p w14:paraId="1255D244">
      <w:pPr>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F803865">
      <w:pPr>
        <w:pStyle w:val="15"/>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1B088E0A">
      <w:pPr>
        <w:pStyle w:val="15"/>
        <w:rPr>
          <w:rFonts w:hint="eastAsia" w:ascii="微软雅黑" w:hAnsi="微软雅黑" w:eastAsia="微软雅黑" w:cs="微软雅黑"/>
        </w:rPr>
      </w:pPr>
    </w:p>
    <w:p w14:paraId="7AAAB53F">
      <w:pPr>
        <w:pStyle w:val="15"/>
        <w:rPr>
          <w:rFonts w:hint="eastAsia" w:ascii="微软雅黑" w:hAnsi="微软雅黑" w:eastAsia="微软雅黑" w:cs="微软雅黑"/>
        </w:rPr>
      </w:pPr>
    </w:p>
    <w:p w14:paraId="1E4FAFDD">
      <w:pPr>
        <w:rPr>
          <w:rFonts w:hint="eastAsia" w:ascii="微软雅黑" w:hAnsi="微软雅黑" w:eastAsia="微软雅黑" w:cs="微软雅黑"/>
          <w:b/>
          <w:bCs/>
          <w:color w:val="000000"/>
          <w:sz w:val="24"/>
          <w:szCs w:val="28"/>
          <w:highlight w:val="none"/>
        </w:rPr>
      </w:pPr>
      <w:r>
        <w:rPr>
          <w:rFonts w:hint="eastAsia" w:ascii="微软雅黑" w:hAnsi="微软雅黑" w:eastAsia="微软雅黑" w:cs="微软雅黑"/>
          <w:b/>
          <w:bCs/>
          <w:color w:val="000000"/>
          <w:sz w:val="24"/>
          <w:szCs w:val="28"/>
          <w:highlight w:val="none"/>
        </w:rPr>
        <w:t>注：</w:t>
      </w:r>
    </w:p>
    <w:p w14:paraId="721A68E1">
      <w:pPr>
        <w:rPr>
          <w:rFonts w:hint="eastAsia" w:ascii="微软雅黑" w:hAnsi="微软雅黑" w:eastAsia="微软雅黑" w:cs="微软雅黑"/>
          <w:b/>
          <w:bCs/>
          <w:color w:val="000000"/>
          <w:sz w:val="24"/>
          <w:szCs w:val="28"/>
          <w:highlight w:val="none"/>
        </w:rPr>
      </w:pPr>
      <w:r>
        <w:rPr>
          <w:rFonts w:hint="eastAsia" w:ascii="微软雅黑" w:hAnsi="微软雅黑" w:eastAsia="微软雅黑" w:cs="微软雅黑"/>
          <w:b/>
          <w:bCs/>
          <w:color w:val="000000"/>
          <w:sz w:val="24"/>
          <w:szCs w:val="28"/>
          <w:highlight w:val="none"/>
        </w:rPr>
        <w:t>1.</w:t>
      </w:r>
      <w:r>
        <w:rPr>
          <w:rFonts w:hint="eastAsia" w:ascii="微软雅黑" w:hAnsi="微软雅黑" w:eastAsia="微软雅黑" w:cs="微软雅黑"/>
          <w:b/>
          <w:bCs/>
          <w:kern w:val="2"/>
          <w:sz w:val="21"/>
          <w:lang w:val="en-US" w:eastAsia="zh-CN" w:bidi="ar-SA"/>
        </w:rPr>
        <w:t>“项目名称”和“采购形式编号”见招标文件内容；</w:t>
      </w:r>
    </w:p>
    <w:p w14:paraId="1F9C4FE5">
      <w:pPr>
        <w:pStyle w:val="15"/>
        <w:bidi w:val="0"/>
        <w:rPr>
          <w:rFonts w:hint="eastAsia" w:ascii="微软雅黑" w:hAnsi="微软雅黑" w:eastAsia="微软雅黑" w:cs="微软雅黑"/>
          <w:b/>
          <w:bCs/>
          <w:lang w:val="en-US" w:eastAsia="zh-CN"/>
        </w:rPr>
      </w:pPr>
      <w:r>
        <w:rPr>
          <w:rFonts w:hint="eastAsia" w:ascii="微软雅黑" w:hAnsi="微软雅黑" w:eastAsia="微软雅黑" w:cs="微软雅黑"/>
          <w:b/>
          <w:bCs/>
        </w:rPr>
        <w:t>2.配套能力“供货类别”填“</w:t>
      </w:r>
      <w:r>
        <w:rPr>
          <w:rFonts w:hint="eastAsia" w:ascii="微软雅黑" w:hAnsi="微软雅黑" w:eastAsia="微软雅黑" w:cs="微软雅黑"/>
          <w:b/>
          <w:bCs/>
          <w:highlight w:val="cyan"/>
        </w:rPr>
        <w:t xml:space="preserve">直管单位非生产招标/ </w:t>
      </w:r>
      <w:r>
        <w:rPr>
          <w:rFonts w:hint="eastAsia" w:ascii="微软雅黑" w:hAnsi="微软雅黑" w:eastAsia="微软雅黑" w:cs="微软雅黑"/>
          <w:b/>
          <w:bCs/>
          <w:highlight w:val="cyan"/>
          <w:lang w:val="en-US" w:eastAsia="zh-CN"/>
        </w:rPr>
        <w:t>信息化</w:t>
      </w:r>
      <w:r>
        <w:rPr>
          <w:rFonts w:hint="eastAsia" w:ascii="微软雅黑" w:hAnsi="微软雅黑" w:eastAsia="微软雅黑" w:cs="微软雅黑"/>
          <w:b/>
          <w:bCs/>
          <w:highlight w:val="cyan"/>
        </w:rPr>
        <w:t xml:space="preserve"> /</w:t>
      </w:r>
      <w:r>
        <w:rPr>
          <w:rFonts w:hint="eastAsia" w:ascii="微软雅黑" w:hAnsi="微软雅黑" w:eastAsia="微软雅黑" w:cs="微软雅黑"/>
          <w:b/>
          <w:bCs/>
          <w:highlight w:val="cyan"/>
          <w:lang w:val="en-US" w:eastAsia="zh-CN"/>
        </w:rPr>
        <w:t xml:space="preserve"> 信息化技术服务</w:t>
      </w:r>
      <w:r>
        <w:rPr>
          <w:rFonts w:hint="eastAsia" w:ascii="微软雅黑" w:hAnsi="微软雅黑" w:eastAsia="微软雅黑" w:cs="微软雅黑"/>
          <w:b/>
          <w:bCs/>
        </w:rPr>
        <w:t>”，业务主管部门选择“</w:t>
      </w:r>
      <w:r>
        <w:rPr>
          <w:rFonts w:hint="eastAsia" w:ascii="微软雅黑" w:hAnsi="微软雅黑" w:eastAsia="微软雅黑" w:cs="微软雅黑"/>
          <w:b/>
          <w:bCs/>
          <w:highlight w:val="cyan"/>
        </w:rPr>
        <w:t>数智化转型发展部</w:t>
      </w:r>
      <w:r>
        <w:rPr>
          <w:rFonts w:hint="eastAsia" w:ascii="微软雅黑" w:hAnsi="微软雅黑" w:eastAsia="微软雅黑" w:cs="微软雅黑"/>
          <w:b/>
          <w:bCs/>
        </w:rPr>
        <w:t>”。</w:t>
      </w:r>
    </w:p>
    <w:p w14:paraId="454958B0">
      <w:pPr>
        <w:rPr>
          <w:rFonts w:hint="eastAsia" w:ascii="微软雅黑" w:hAnsi="微软雅黑" w:eastAsia="微软雅黑" w:cs="微软雅黑"/>
          <w:b/>
          <w:bCs/>
          <w:color w:val="000000"/>
          <w:sz w:val="24"/>
          <w:szCs w:val="24"/>
          <w:lang w:val="en-US" w:eastAsia="zh-CN"/>
        </w:rPr>
      </w:pPr>
      <w:r>
        <w:rPr>
          <w:rFonts w:hint="eastAsia" w:ascii="微软雅黑" w:hAnsi="微软雅黑" w:eastAsia="微软雅黑" w:cs="微软雅黑"/>
          <w:b/>
          <w:bCs/>
          <w:color w:val="000000"/>
          <w:sz w:val="24"/>
          <w:szCs w:val="24"/>
          <w:lang w:val="en-US" w:eastAsia="zh-CN"/>
        </w:rPr>
        <w:br w:type="page"/>
      </w:r>
    </w:p>
    <w:p w14:paraId="6FEFF112">
      <w:pPr>
        <w:pStyle w:val="73"/>
        <w:numPr>
          <w:ilvl w:val="0"/>
          <w:numId w:val="0"/>
        </w:numPr>
        <w:ind w:leftChars="0"/>
        <w:rPr>
          <w:rFonts w:hint="eastAsia" w:ascii="微软雅黑" w:hAnsi="微软雅黑" w:eastAsia="微软雅黑" w:cs="微软雅黑"/>
          <w:sz w:val="32"/>
          <w:szCs w:val="32"/>
          <w:highlight w:val="none"/>
          <w:lang w:val="en-US" w:eastAsia="zh-CN"/>
        </w:rPr>
      </w:pPr>
      <w:r>
        <w:rPr>
          <w:rFonts w:hint="eastAsia" w:ascii="微软雅黑" w:hAnsi="微软雅黑" w:eastAsia="微软雅黑" w:cs="微软雅黑"/>
          <w:sz w:val="32"/>
          <w:szCs w:val="32"/>
          <w:highlight w:val="none"/>
          <w:lang w:val="en-US" w:eastAsia="zh-CN"/>
        </w:rPr>
        <w:t>附件8 SRM系统供应商用户手册</w:t>
      </w:r>
    </w:p>
    <w:p w14:paraId="4F79C23C">
      <w:pPr>
        <w:snapToGrid/>
        <w:spacing w:before="0" w:after="0" w:line="360" w:lineRule="auto"/>
        <w:ind w:left="0" w:right="0" w:firstLine="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系统网址：</w:t>
      </w:r>
      <w:r>
        <w:rPr>
          <w:rStyle w:val="38"/>
          <w:rFonts w:hint="eastAsia" w:ascii="微软雅黑" w:hAnsi="微软雅黑" w:eastAsia="微软雅黑" w:cs="微软雅黑"/>
          <w:sz w:val="24"/>
          <w:szCs w:val="24"/>
        </w:rPr>
        <w:fldChar w:fldCharType="begin"/>
      </w:r>
      <w:r>
        <w:rPr>
          <w:rStyle w:val="38"/>
          <w:rFonts w:hint="eastAsia" w:ascii="微软雅黑" w:hAnsi="微软雅黑" w:eastAsia="微软雅黑" w:cs="微软雅黑"/>
          <w:sz w:val="24"/>
          <w:szCs w:val="24"/>
        </w:rPr>
        <w:instrText xml:space="preserve">HYPERLINK http://ecaitong.sinotruk.com:8012/ normalLink \tdkey u5b6qk \tdfu http://ecaitong.sinotruk.com:8012/ \tdfn http%3A//ecaitong.sinotruk.com%3A8012/ \tdfe -10 \tdlt text </w:instrText>
      </w:r>
      <w:r>
        <w:rPr>
          <w:rStyle w:val="38"/>
          <w:rFonts w:hint="eastAsia" w:ascii="微软雅黑" w:hAnsi="微软雅黑" w:eastAsia="微软雅黑" w:cs="微软雅黑"/>
          <w:sz w:val="24"/>
          <w:szCs w:val="24"/>
        </w:rPr>
        <w:fldChar w:fldCharType="separate"/>
      </w:r>
      <w:r>
        <w:rPr>
          <w:rStyle w:val="38"/>
          <w:rFonts w:hint="eastAsia" w:ascii="微软雅黑" w:hAnsi="微软雅黑" w:eastAsia="微软雅黑" w:cs="微软雅黑"/>
          <w:sz w:val="24"/>
          <w:szCs w:val="24"/>
        </w:rPr>
        <w:t>http</w:t>
      </w:r>
      <w:r>
        <w:rPr>
          <w:rStyle w:val="38"/>
          <w:rFonts w:hint="eastAsia" w:ascii="微软雅黑" w:hAnsi="微软雅黑" w:eastAsia="微软雅黑" w:cs="微软雅黑"/>
          <w:sz w:val="24"/>
          <w:szCs w:val="24"/>
          <w:lang w:val="en-US" w:eastAsia="zh-CN"/>
        </w:rPr>
        <w:t>s</w:t>
      </w:r>
      <w:r>
        <w:rPr>
          <w:rStyle w:val="38"/>
          <w:rFonts w:hint="eastAsia" w:ascii="微软雅黑" w:hAnsi="微软雅黑" w:eastAsia="微软雅黑" w:cs="微软雅黑"/>
          <w:sz w:val="24"/>
          <w:szCs w:val="24"/>
        </w:rPr>
        <w:t>://ecaitong.sinotruk.com:8012/</w:t>
      </w:r>
      <w:r>
        <w:rPr>
          <w:rStyle w:val="38"/>
          <w:rFonts w:hint="eastAsia" w:ascii="微软雅黑" w:hAnsi="微软雅黑" w:eastAsia="微软雅黑" w:cs="微软雅黑"/>
          <w:sz w:val="24"/>
          <w:szCs w:val="24"/>
        </w:rPr>
        <w:fldChar w:fldCharType="end"/>
      </w:r>
    </w:p>
    <w:p w14:paraId="6870C911">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1.供应商应标</w:t>
      </w:r>
    </w:p>
    <w:p w14:paraId="6B38AD38">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路径：招投标中心-非生产类招投标-供应商应标</w:t>
      </w:r>
    </w:p>
    <w:p w14:paraId="09129DA8">
      <w:pPr>
        <w:snapToGrid/>
        <w:spacing w:before="0" w:after="0" w:line="360" w:lineRule="auto"/>
        <w:ind w:left="0" w:right="0"/>
        <w:jc w:val="both"/>
        <w:rPr>
          <w:rFonts w:hint="eastAsia" w:ascii="微软雅黑" w:hAnsi="微软雅黑" w:eastAsia="微软雅黑" w:cs="微软雅黑"/>
          <w:i w:val="0"/>
          <w:strike w:val="0"/>
          <w:color w:val="000000"/>
          <w:sz w:val="24"/>
          <w:szCs w:val="24"/>
          <w:u w:val="none"/>
        </w:rPr>
      </w:pPr>
      <w:r>
        <w:rPr>
          <w:rFonts w:hint="eastAsia" w:ascii="微软雅黑" w:hAnsi="微软雅黑" w:eastAsia="微软雅黑" w:cs="微软雅黑"/>
          <w:i w:val="0"/>
          <w:strike w:val="0"/>
          <w:color w:val="000000"/>
          <w:sz w:val="24"/>
          <w:szCs w:val="24"/>
          <w:u w:val="none"/>
        </w:rPr>
        <w:t>点击应标，上传文件之后点击提交。</w:t>
      </w:r>
    </w:p>
    <w:p w14:paraId="29700869">
      <w:pPr>
        <w:snapToGrid/>
        <w:spacing w:before="0" w:after="0" w:line="240" w:lineRule="auto"/>
        <w:ind w:left="0" w:right="0"/>
        <w:jc w:val="both"/>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rPr>
          <w:rFonts w:hint="eastAsia" w:ascii="微软雅黑" w:hAnsi="微软雅黑" w:eastAsia="微软雅黑" w:cs="微软雅黑"/>
        </w:rPr>
      </w:pPr>
    </w:p>
    <w:p w14:paraId="12566FF3">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2.供应商投标</w:t>
      </w:r>
    </w:p>
    <w:p w14:paraId="5B08C7A4">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路径：招投标中心-非生产类招投标-供应商投标</w:t>
      </w:r>
    </w:p>
    <w:p w14:paraId="5452BC84">
      <w:pPr>
        <w:snapToGrid/>
        <w:spacing w:before="0" w:after="0" w:line="240" w:lineRule="auto"/>
        <w:ind w:left="0" w:right="0"/>
        <w:jc w:val="both"/>
        <w:rPr>
          <w:rFonts w:hint="eastAsia" w:ascii="微软雅黑" w:hAnsi="微软雅黑" w:eastAsia="微软雅黑" w:cs="微软雅黑"/>
          <w:i w:val="0"/>
          <w:strike w:val="0"/>
          <w:color w:val="000000"/>
          <w:sz w:val="21"/>
          <w:u w:val="none"/>
        </w:rPr>
      </w:pPr>
      <w:r>
        <w:rPr>
          <w:rFonts w:hint="eastAsia" w:ascii="微软雅黑" w:hAnsi="微软雅黑" w:eastAsia="微软雅黑" w:cs="微软雅黑"/>
          <w:i w:val="0"/>
          <w:strike w:val="0"/>
          <w:color w:val="000000"/>
          <w:sz w:val="21"/>
          <w:u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hint="eastAsia" w:ascii="微软雅黑" w:hAnsi="微软雅黑" w:eastAsia="微软雅黑" w:cs="微软雅黑"/>
          <w:i w:val="0"/>
          <w:strike w:val="0"/>
          <w:color w:val="000000"/>
          <w:sz w:val="24"/>
          <w:szCs w:val="28"/>
          <w:u w:val="none"/>
        </w:rPr>
      </w:pPr>
      <w:r>
        <w:rPr>
          <w:rFonts w:hint="eastAsia" w:ascii="微软雅黑" w:hAnsi="微软雅黑" w:eastAsia="微软雅黑" w:cs="微软雅黑"/>
          <w:i w:val="0"/>
          <w:strike w:val="0"/>
          <w:color w:val="000000"/>
          <w:sz w:val="24"/>
          <w:szCs w:val="28"/>
          <w:u w:val="none"/>
        </w:rPr>
        <w:t>点击投标按钮，进入详情页，输入投标报价并上传相应的附件。</w:t>
      </w:r>
    </w:p>
    <w:p w14:paraId="767038DF">
      <w:pPr>
        <w:pStyle w:val="15"/>
        <w:rPr>
          <w:rFonts w:hint="eastAsia" w:ascii="微软雅黑" w:hAnsi="微软雅黑" w:eastAsia="微软雅黑" w:cs="微软雅黑"/>
          <w:b/>
          <w:bCs/>
          <w:highlight w:val="none"/>
        </w:rPr>
      </w:pPr>
      <w:r>
        <w:rPr>
          <w:rFonts w:hint="eastAsia" w:ascii="微软雅黑" w:hAnsi="微软雅黑" w:eastAsia="微软雅黑" w:cs="微软雅黑"/>
          <w:b/>
          <w:bCs/>
          <w:i w:val="0"/>
          <w:strike w:val="0"/>
          <w:color w:val="000000"/>
          <w:sz w:val="24"/>
          <w:szCs w:val="28"/>
          <w:highlight w:val="none"/>
          <w:u w:val="none"/>
          <w:lang w:val="en-US" w:eastAsia="zh-CN"/>
        </w:rPr>
        <w:t>注意：系统内的投标报价单位为“万元”，如开标现场发现填错报价，即直接淘汰。</w:t>
      </w:r>
    </w:p>
    <w:p w14:paraId="2C1CB367">
      <w:pPr>
        <w:pStyle w:val="7"/>
        <w:snapToGrid/>
        <w:spacing w:before="280" w:after="290" w:line="372" w:lineRule="auto"/>
        <w:ind w:left="425" w:right="0" w:hanging="425"/>
        <w:jc w:val="both"/>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8"/>
          <w:u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路径：招投标中心-非生产类招投标-供应商技术标澄清函</w:t>
      </w:r>
    </w:p>
    <w:p w14:paraId="33A7F0BF">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点击编辑按钮进入系统，上传技术标澄清函。</w:t>
      </w:r>
    </w:p>
    <w:p w14:paraId="7DFB480E">
      <w:pPr>
        <w:spacing w:before="0" w:after="0" w:line="360" w:lineRule="auto"/>
        <w:ind w:left="0"/>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4"/>
          <w:szCs w:val="24"/>
          <w:u w:val="none"/>
        </w:rPr>
        <w:t>开标之后所有投标的供应商都可编辑提交，技术标入围之后 都不可编辑</w:t>
      </w:r>
      <w:r>
        <w:rPr>
          <w:rFonts w:hint="eastAsia" w:ascii="微软雅黑" w:hAnsi="微软雅黑" w:eastAsia="微软雅黑" w:cs="微软雅黑"/>
          <w:i w:val="0"/>
          <w:strike w:val="0"/>
          <w:color w:val="000000"/>
          <w:sz w:val="28"/>
          <w:u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4.供应商报价</w:t>
      </w:r>
    </w:p>
    <w:p w14:paraId="6351E23D">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路径：招投标中心-非生产类招投标-供应商报价</w:t>
      </w:r>
    </w:p>
    <w:p w14:paraId="063B414B">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5.供应商澄清报价</w:t>
      </w:r>
    </w:p>
    <w:p w14:paraId="60B7C771">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路径：招投标中心-非生产类招投标-供应商澄清报价</w:t>
      </w:r>
    </w:p>
    <w:p w14:paraId="6D12A282">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7"/>
        <w:snapToGrid/>
        <w:spacing w:before="280" w:after="290" w:line="372" w:lineRule="auto"/>
        <w:ind w:left="425" w:right="0" w:hanging="425"/>
        <w:jc w:val="both"/>
        <w:rPr>
          <w:rFonts w:hint="eastAsia" w:ascii="微软雅黑" w:hAnsi="微软雅黑" w:eastAsia="微软雅黑" w:cs="微软雅黑"/>
          <w:i w:val="0"/>
          <w:strike w:val="0"/>
          <w:color w:val="000000"/>
          <w:sz w:val="28"/>
          <w:u w:val="none"/>
        </w:rPr>
      </w:pPr>
      <w:r>
        <w:rPr>
          <w:rFonts w:hint="eastAsia" w:ascii="微软雅黑" w:hAnsi="微软雅黑" w:eastAsia="微软雅黑" w:cs="微软雅黑"/>
          <w:i w:val="0"/>
          <w:strike w:val="0"/>
          <w:color w:val="000000"/>
          <w:sz w:val="28"/>
          <w:u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微软雅黑" w:hAnsi="微软雅黑" w:eastAsia="微软雅黑" w:cs="微软雅黑"/>
          <w:b/>
          <w:bCs/>
          <w:color w:val="000000"/>
          <w:sz w:val="24"/>
          <w:szCs w:val="24"/>
          <w:u w:val="none"/>
        </w:rPr>
      </w:pPr>
      <w:r>
        <w:rPr>
          <w:rFonts w:hint="eastAsia" w:ascii="微软雅黑" w:hAnsi="微软雅黑" w:eastAsia="微软雅黑" w:cs="微软雅黑"/>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路径：招投标中心-非生产类招投标-中标项目</w:t>
      </w:r>
    </w:p>
    <w:p w14:paraId="43DC18C4">
      <w:pPr>
        <w:snapToGrid/>
        <w:spacing w:before="0" w:after="0" w:line="360" w:lineRule="auto"/>
        <w:ind w:left="0" w:right="0"/>
        <w:jc w:val="both"/>
        <w:rPr>
          <w:rFonts w:hint="eastAsia" w:ascii="微软雅黑" w:hAnsi="微软雅黑" w:eastAsia="微软雅黑" w:cs="微软雅黑"/>
          <w:sz w:val="24"/>
          <w:szCs w:val="24"/>
        </w:rPr>
      </w:pPr>
      <w:r>
        <w:rPr>
          <w:rFonts w:hint="eastAsia" w:ascii="微软雅黑" w:hAnsi="微软雅黑" w:eastAsia="微软雅黑" w:cs="微软雅黑"/>
          <w:i w:val="0"/>
          <w:strike w:val="0"/>
          <w:color w:val="000000"/>
          <w:sz w:val="24"/>
          <w:szCs w:val="24"/>
          <w:u w:val="none"/>
        </w:rPr>
        <w:t>点击查看进入查看中标项目详情</w:t>
      </w:r>
    </w:p>
    <w:p w14:paraId="5C92D437">
      <w:pPr>
        <w:snapToGrid/>
        <w:spacing w:before="0" w:after="0" w:line="240" w:lineRule="auto"/>
        <w:ind w:left="0" w:right="0"/>
        <w:jc w:val="both"/>
        <w:rPr>
          <w:rFonts w:hint="eastAsia" w:ascii="微软雅黑" w:hAnsi="微软雅黑" w:eastAsia="微软雅黑" w:cs="微软雅黑"/>
        </w:rPr>
      </w:pPr>
      <w:r>
        <w:rPr>
          <w:rFonts w:hint="eastAsia" w:ascii="微软雅黑" w:hAnsi="微软雅黑" w:eastAsia="微软雅黑" w:cs="微软雅黑"/>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14:paraId="6D948036">
      <w:pPr>
        <w:pStyle w:val="77"/>
        <w:rPr>
          <w:rFonts w:hint="eastAsia" w:ascii="微软雅黑" w:hAnsi="微软雅黑" w:eastAsia="微软雅黑" w:cs="微软雅黑"/>
          <w:sz w:val="24"/>
          <w:lang w:val="en-US"/>
        </w:rPr>
      </w:pPr>
    </w:p>
    <w:bookmarkEnd w:id="105"/>
    <w:bookmarkEnd w:id="106"/>
    <w:p w14:paraId="23E75332">
      <w:pPr>
        <w:pStyle w:val="77"/>
        <w:rPr>
          <w:rFonts w:hint="eastAsia" w:ascii="微软雅黑" w:hAnsi="微软雅黑" w:eastAsia="微软雅黑" w:cs="微软雅黑"/>
          <w:sz w:val="24"/>
          <w:lang w:val="en-US"/>
        </w:rPr>
      </w:pPr>
    </w:p>
    <w:sectPr>
      <w:headerReference r:id="rId11" w:type="first"/>
      <w:footerReference r:id="rId12"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 w:name="Book Antiqua">
    <w:altName w:val="Segoe Print"/>
    <w:panose1 w:val="02040602050305030304"/>
    <w:charset w:val="00"/>
    <w:family w:val="roman"/>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5DA2E">
    <w:pPr>
      <w:pStyle w:val="19"/>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07DA27">
                          <w:pPr>
                            <w:pStyle w:val="1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83</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mYTI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ALqrplCxU8/vp9+&#10;Ppx+fSPjN1Gg1voZ4u4tIkP3znQIHs49DiPvrnIqfsGIwA95jxd5RRcIj5emk+k0h4vDN2yAnz1e&#10;t86H98IoEo2COtQvycoOGx/60CEkZtNm3UiZaig1aQt69fptni5cPACXGjkiif6x0Qrdtjsz25ry&#10;CGLO9L3hLV83SL5hPtwxh2bAgzEu4RZLJQ2SmLNFSW3c13+dx3jUCF5KWjRXQTVmiRL5QaN2AAyD&#10;4QZjOxh6r24MunWMMbQ8mbjgghzMyhn1BTO0jDngYpojU0HDYN6EvsExg1wslykI3WZZ2Oh7yyN0&#10;FM/b5T5AwKRrFKVX4qwV+i1V5jwbsaH/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oOZhMiwCAABXBAAADgAAAAAAAAABACAAAAAfAQAAZHJzL2Uyb0RvYy54bWxQSwUGAAAAAAYA&#10;BgBZAQAAvQUAAAAA&#10;">
              <v:fill on="f" focussize="0,0"/>
              <v:stroke on="f" weight="0.5pt"/>
              <v:imagedata o:title=""/>
              <o:lock v:ext="edit" aspectratio="f"/>
              <v:textbox inset="0mm,0mm,0mm,0mm" style="mso-fit-shape-to-text:t;">
                <w:txbxContent>
                  <w:p w14:paraId="2E07DA27">
                    <w:pPr>
                      <w:pStyle w:val="1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83</w:t>
                    </w:r>
                    <w:r>
                      <w:fldChar w:fldCharType="end"/>
                    </w:r>
                    <w:r>
                      <w:t xml:space="preserve"> 页</w:t>
                    </w: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6BA714">
                          <w:pPr>
                            <w:pStyle w:val="19"/>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8FmAsAgAAVgQAAA4AAABkcnMvZTJvRG9jLnhtbK1UzY7TMBC+I/EO&#10;lu80aReqqmq6KlsVIVXsSgVxdh2nieQ/2W6T8gDwBpy4cOe5+hx8zk8XLRz2wMUZe8bf+PtmJovb&#10;RklyEs5XRmd0PEopEZqbvNKHjH76uHk1o8QHpnMmjRYZPQtPb5cvXyxqOxcTUxqZC0cAov28thkt&#10;Q7DzJPG8FIr5kbFCw1kYp1jA1h2S3LEa6EomkzSdJrVxuXWGC+9xuu6ctEd0zwE0RVFxsTb8qIQO&#10;HaoTkgVQ8mVlPV22ry0KwcN9UXgRiMwomIZ2RRLY+7gmywWbHxyzZcX7J7DnPOEJJ8UqjaRXqDUL&#10;jBxd9ReUqrgz3hRhxI1KOiKtImAxTp9osyuZFS0XSO3tVXT//2D5h9ODI1We0ZspJZopVPzy/dvl&#10;x6/Lz6/kddSntn6OsJ1FYGjemgZdM5x7HEbaTeFU/IIQgR/qnq/qiiYQHi/NJrNZCheHb9gAP3m8&#10;bp0P74RRJBoZdShfqyo7bX3oQoeQmE2bTSVlW0KpSZ3R6c2b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wvwWYCwCAABWBAAADgAAAAAAAAABACAAAAAfAQAAZHJzL2Uyb0RvYy54bWxQSwUGAAAAAAYA&#10;BgBZAQAAvQUAAAAA&#10;">
              <v:fill on="f" focussize="0,0"/>
              <v:stroke on="f" weight="0.5pt"/>
              <v:imagedata o:title=""/>
              <o:lock v:ext="edit" aspectratio="f"/>
              <v:textbox inset="0mm,0mm,0mm,0mm" style="mso-fit-shape-to-text:t;">
                <w:txbxContent>
                  <w:p w14:paraId="546BA714">
                    <w:pPr>
                      <w:pStyle w:val="19"/>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8EAE82">
                          <w:pPr>
                            <w:pStyle w:val="19"/>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R+gtAgAAVgQAAA4AAABkcnMvZTJvRG9jLnhtbK1US27bMBDdF+gd&#10;CO5ryQ6SGoblwI3hooDRBHCLrmmKsgTwB5K25B6gvUFX3XSfc/kcfdTHKdIusuiGGnKGb/jezGh+&#10;2yhJjsL5yuiMjkcpJUJzk1d6n9HPn9ZvppT4wHTOpNEioyfh6e3i9at5bWdiYkojc+EIQLSf1Taj&#10;ZQh2liSel0IxPzJWaDgL4xQL2Lp9kjtWA13JZJKmN0ltXG6d4cJ7nK46J+0R3UsATVFUXKwMPyih&#10;Q4fqhGQBlHxZWU8X7WuLQvBwXxReBCIzCqahXZEE9i6uyWLOZnvHbFnx/gnsJU94xkmxSiPpBWrF&#10;AiMHV/0FpSrujDdFGHGjko5IqwhYjNNn2mxLZkXLBVJ7exHd/z9Y/vH44EiVZ/TqLSWaKVT8/OP7&#10;+efj+dc3ch31qa2fIWxrERiad6ZB1wznHoeRdlM4Fb8gROCHuqeLuqIJhMdL08l0msLF4Rs2wE+e&#10;rlvnw3thFIlGRh3K16rKjhsfutAhJGbTZl1J2ZZQalJn9ObqOm0vXDwAlxo5IonusdEKza7pme1M&#10;fgIxZ7rW8JavKyTfMB8emEMv4MGYlnCPpZAGSUxvUVIa9/Vf5zEeJYKXkhq9lVGNUaJEftAoHQDD&#10;YLjB2A2GPqg7g2YdYwotb01ccEEOZuGM+oIRWsYccDHNkSmjYTDvQtffGEEulss2CM1mWdjoreUR&#10;Oorn7fIQIGCraxSlU6LXCu3WVqYfjdjPf+7bqKffwe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qTR+gtAgAAVgQAAA4AAAAAAAAAAQAgAAAAHwEAAGRycy9lMm9Eb2MueG1sUEsFBgAAAAAG&#10;AAYAWQEAAL4FAAAAAA==&#10;">
              <v:fill on="f" focussize="0,0"/>
              <v:stroke on="f" weight="0.5pt"/>
              <v:imagedata o:title=""/>
              <o:lock v:ext="edit" aspectratio="f"/>
              <v:textbox inset="0mm,0mm,0mm,0mm" style="mso-fit-shape-to-text:t;">
                <w:txbxContent>
                  <w:p w14:paraId="018EAE82">
                    <w:pPr>
                      <w:pStyle w:val="19"/>
                    </w:pP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9"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DD68BD">
                          <w:pPr>
                            <w:pStyle w:val="19"/>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1312;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BDHj880AgAAVgQAAA4AAABkcnMvZTJvRG9jLnhtbK1UzY7T&#10;MBC+I/EOlu80/aHdpWq6KlsVIVXsSgVxdh27iWR7jO02KQ8Ab7AnLtx5rj4HY6fpooXDHri4k5nx&#10;N/6+mensptGKHITzFZicDnp9SoThUFRml9NPH1evrinxgZmCKTAip0fh6c385YtZbadiCCWoQjiC&#10;IMZPa5vTMgQ7zTLPS6GZ74EVBoMSnGYBP90uKxyrEV2rbNjvT7IaXGEdcOE9epdtkJ4R3XMAQcqK&#10;iyXwvRYmtKhOKBaQki8r6+k8vVZKwcOdlF4EonKKTEM6sQja23hm8xmb7hyzZcXPT2DPecITTppV&#10;BoteoJYsMLJ31V9QuuIOPMjQ46CzlkhSBFkM+k+02ZTMisQFpfb2Irr/f7D8w+HekarI6egNJYZp&#10;7Pjp4fvpx6/Tz29kEvWprZ9i2sZiYmjeQoNT0/k9OiPtRjodf5EQwTiqe7yoK5pAODqvxsPXV2NK&#10;OIaGo+vBcBxRssfL1vnwToAm0cipw+YlTdlh7UOb2qXEWgZWlVKpgcqQOqeT0bifLlwiCK4M1ogU&#10;2qdGKzTb5sxrC8URaTloB8Nbvqqw+Jr5cM8cTgIywV0Jd3hIBVgEzhYlJbiv//LHfGwQRimpcbJy&#10;6r/smROUqPcGWxfHsDNcZ2w7w+z1LeCwDnALLU8mXnBBdaZ0oD/jCi1iFQwxw7FWTkNn3oZ2vnEF&#10;uVgsUhIOm2VhbTaWR+hWvsU+gKySslGWVouzWjhuqTfn1Yjz/Od3ynr8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AQx4/PNAIAAFYEAAAOAAAAAAAAAAEAIAAAACUBAABkcnMvZTJvRG9j&#10;LnhtbFBLBQYAAAAABgAGAFkBAADLBQAAAAA=&#10;">
              <v:fill on="f" focussize="0,0"/>
              <v:stroke on="f" weight="0.5pt"/>
              <v:imagedata o:title=""/>
              <o:lock v:ext="edit" aspectratio="f"/>
              <v:textbox inset="0mm,0mm,0mm,0mm">
                <w:txbxContent>
                  <w:p w14:paraId="09DD68BD">
                    <w:pPr>
                      <w:pStyle w:val="19"/>
                    </w:pPr>
                  </w:p>
                </w:txbxContent>
              </v:textbox>
            </v:shape>
          </w:pict>
        </mc:Fallback>
      </mc:AlternateContent>
    </w:r>
  </w:p>
  <w:p w14:paraId="31061A86">
    <w:pPr>
      <w:pStyle w:val="1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3B248">
    <w:pPr>
      <w:pStyle w:val="19"/>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683820">
                          <w:pPr>
                            <w:pStyle w:val="19"/>
                          </w:pPr>
                          <w:r>
                            <w:t xml:space="preserve">第 </w:t>
                          </w:r>
                          <w:r>
                            <w:fldChar w:fldCharType="begin"/>
                          </w:r>
                          <w:r>
                            <w:instrText xml:space="preserve"> PAGE  \* MERGEFORMAT </w:instrText>
                          </w:r>
                          <w:r>
                            <w:fldChar w:fldCharType="separate"/>
                          </w:r>
                          <w:r>
                            <w:t>24</w:t>
                          </w:r>
                          <w:r>
                            <w:fldChar w:fldCharType="end"/>
                          </w:r>
                          <w:r>
                            <w:t xml:space="preserve"> 页 共 </w:t>
                          </w:r>
                          <w:r>
                            <w:fldChar w:fldCharType="begin"/>
                          </w:r>
                          <w:r>
                            <w:instrText xml:space="preserve"> NUMPAGES  \* MERGEFORMAT </w:instrText>
                          </w:r>
                          <w:r>
                            <w:fldChar w:fldCharType="separate"/>
                          </w:r>
                          <w:r>
                            <w:t>83</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G+n3ssAgAAVg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cyjvq01s8Qdm8RGLp3pkPXDOceh5F2VzkVvyBE4AfU8aKu6ALh8dJ0Mp3mcHH4hg3ws8fr&#10;1vnwXhhFolFQh/IlVdlh40MfOoTEbNqsGylTCaUmbUGvXr/N04WLB+BSI0ck0T82WqHbdmdmW1Me&#10;QcyZvjW85esGyTfMhzvm0At4MKYl3GKppEESc7YoqY37+q/zGI8SwUtJi94qqMYoUSI/aJQOgGEw&#10;3GBsB0Pv1Y1Bs44xhZYnExdckINZOaO+YISWMQdcTHNkKmgYzJvQ9zdGkIvlMgWh2SwLG31veYSO&#10;4nm73AcImHSNovRKnLVCu6XKnEcj9vOf+xT1+Dt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Ub6feywCAABWBAAADgAAAAAAAAABACAAAAAfAQAAZHJzL2Uyb0RvYy54bWxQSwUGAAAAAAYA&#10;BgBZAQAAvQUAAAAA&#10;">
              <v:fill on="f" focussize="0,0"/>
              <v:stroke on="f" weight="0.5pt"/>
              <v:imagedata o:title=""/>
              <o:lock v:ext="edit" aspectratio="f"/>
              <v:textbox inset="0mm,0mm,0mm,0mm" style="mso-fit-shape-to-text:t;">
                <w:txbxContent>
                  <w:p w14:paraId="47683820">
                    <w:pPr>
                      <w:pStyle w:val="19"/>
                    </w:pPr>
                    <w:r>
                      <w:t xml:space="preserve">第 </w:t>
                    </w:r>
                    <w:r>
                      <w:fldChar w:fldCharType="begin"/>
                    </w:r>
                    <w:r>
                      <w:instrText xml:space="preserve"> PAGE  \* MERGEFORMAT </w:instrText>
                    </w:r>
                    <w:r>
                      <w:fldChar w:fldCharType="separate"/>
                    </w:r>
                    <w:r>
                      <w:t>24</w:t>
                    </w:r>
                    <w:r>
                      <w:fldChar w:fldCharType="end"/>
                    </w:r>
                    <w:r>
                      <w:t xml:space="preserve"> 页 共 </w:t>
                    </w:r>
                    <w:r>
                      <w:fldChar w:fldCharType="begin"/>
                    </w:r>
                    <w:r>
                      <w:instrText xml:space="preserve"> NUMPAGES  \* MERGEFORMAT </w:instrText>
                    </w:r>
                    <w:r>
                      <w:fldChar w:fldCharType="separate"/>
                    </w:r>
                    <w:r>
                      <w:t>83</w:t>
                    </w:r>
                    <w:r>
                      <w:fldChar w:fldCharType="end"/>
                    </w:r>
                    <w:r>
                      <w:t xml:space="preserve"> 页</w:t>
                    </w: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FBCBF">
                          <w:pPr>
                            <w:pStyle w:val="19"/>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17LAsAgAAVg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9kEvVprZ8h7N4iMHTvTIepGc49DiPtrnIqfkGIwA91jxd1RRcIj5emk+k0h4vDN2yAnz1e&#10;t86H98IoEo2COrQvqcoOGx/60CEkZtNm3UiZWig1aQt69fptni5cPACXGjkiib7YaIVu252ZbU15&#10;BDFn+tHwlq8bJN8wH+6YwyygYLyWcIulkgZJzNmipDbu67/OYzxaBC8lLWaroBpPiRL5QaN1AAyD&#10;4QZjOxh6r24MhhXdQC3JxAUX5GBWzqgveELLmAMupjkyFTQM5k3o5xtPkIvlMgVh2CwLG31veYSO&#10;4nm73AcImHSNovRKnLXCuKXOnJ9GnOc/9yn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JTXssCwCAABWBAAADgAAAAAAAAABACAAAAAfAQAAZHJzL2Uyb0RvYy54bWxQSwUGAAAAAAYA&#10;BgBZAQAAvQUAAAAA&#10;">
              <v:fill on="f" focussize="0,0"/>
              <v:stroke on="f" weight="0.5pt"/>
              <v:imagedata o:title=""/>
              <o:lock v:ext="edit" aspectratio="f"/>
              <v:textbox inset="0mm,0mm,0mm,0mm" style="mso-fit-shape-to-text:t;">
                <w:txbxContent>
                  <w:p w14:paraId="0F8FBCBF">
                    <w:pPr>
                      <w:pStyle w:val="19"/>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EC3DFB">
                          <w:pPr>
                            <w:pStyle w:val="19"/>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nTLAtAgAAVg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eUKKZQsVP37+d&#10;fvw6/fxKrqI+rfUzhD1YBIburenQNcO5x2Gk3VVOxS8IEfih7vGirugC4fHSdDKd5nBx+IYN8LPH&#10;69b58E4YRaJRUIfyJVXZYeNDHzqExGzarBspUwmlJm1Br6/e5O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BnTLAtAgAAVgQAAA4AAAAAAAAAAQAgAAAAHwEAAGRycy9lMm9Eb2MueG1sUEsFBgAAAAAG&#10;AAYAWQEAAL4FAAAAAA==&#10;">
              <v:fill on="f" focussize="0,0"/>
              <v:stroke on="f" weight="0.5pt"/>
              <v:imagedata o:title=""/>
              <o:lock v:ext="edit" aspectratio="f"/>
              <v:textbox inset="0mm,0mm,0mm,0mm" style="mso-fit-shape-to-text:t;">
                <w:txbxContent>
                  <w:p w14:paraId="6DEC3DFB">
                    <w:pPr>
                      <w:pStyle w:val="19"/>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3"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DC289E">
                          <w:pPr>
                            <w:pStyle w:val="19"/>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4384;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JfMh9Y0AgAAVgQAAA4AAABkcnMvZTJvRG9jLnhtbK1UzW4T&#10;MRC+I/EOlu9k89M0VZRNFRoFIUW0UkCcHa83a8n2GNvJbngAeANOvXDnufIcjL3ZFBUOPXBxZmfG&#10;3/j7Ziaz20YrchDOSzA5HfT6lAjDoZBml9NPH1dvbijxgZmCKTAip0fh6e389atZbadiCBWoQjiC&#10;IMZPa5vTKgQ7zTLPK6GZ74EVBoMlOM0CfrpdVjhWI7pW2bDfv85qcIV1wIX36F22QXpGdC8BhLKU&#10;XCyB77UwoUV1QrGAlHwlrafz9NqyFDzcl6UXgaicItOQTiyC9jae2XzGpjvHbCX5+QnsJU94xkkz&#10;abDoBWrJAiN7J/+C0pI78FCGHgedtUSSIshi0H+mzaZiViQuKLW3F9H9/4PlHw4Pjsgip1cjSgzT&#10;2PHTj++nx1+nn9/IJOpTWz/FtI3FxNC8hQanpvN7dEbaTel0/EVCBOOo7vGirmgC4eicjIdXkzEl&#10;HEPD0c1gOI4o2dNl63x4J0CTaOTUYfOSpuyw9qFN7VJiLQMrqVRqoDKkzun1aNxPFy4RBFcGa0QK&#10;7VOjFZptc+a1heKItBy0g+EtX0ksvmY+PDCHk4BMcFfCPR6lAiwCZ4uSCtzXf/ljPjYIo5TUOFk5&#10;9V/2zAlK1HuDrYtj2BmuM7adYfb6DnBYB7iFlicTL7igOrN0oD/jCi1iFQwxw7FWTkNn3oV2vnEF&#10;uVgsUhIOm2VhbTaWR+hWvsU+QCmTslGWVouzWjhuqTfn1Yjz/Od3yn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CXzIfWNAIAAFYEAAAOAAAAAAAAAAEAIAAAACUBAABkcnMvZTJvRG9j&#10;LnhtbFBLBQYAAAAABgAGAFkBAADLBQAAAAA=&#10;">
              <v:fill on="f" focussize="0,0"/>
              <v:stroke on="f" weight="0.5pt"/>
              <v:imagedata o:title=""/>
              <o:lock v:ext="edit" aspectratio="f"/>
              <v:textbox inset="0mm,0mm,0mm,0mm">
                <w:txbxContent>
                  <w:p w14:paraId="26DC289E">
                    <w:pPr>
                      <w:pStyle w:val="19"/>
                    </w:pPr>
                  </w:p>
                </w:txbxContent>
              </v:textbox>
            </v:shape>
          </w:pict>
        </mc:Fallback>
      </mc:AlternateContent>
    </w:r>
  </w:p>
  <w:p w14:paraId="0EB23E91">
    <w:pPr>
      <w:pStyle w:val="1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D9A4530E"/>
    <w:multiLevelType w:val="singleLevel"/>
    <w:tmpl w:val="D9A4530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00000003"/>
    <w:multiLevelType w:val="singleLevel"/>
    <w:tmpl w:val="00000003"/>
    <w:lvl w:ilvl="0" w:tentative="0">
      <w:start w:val="5"/>
      <w:numFmt w:val="decimal"/>
      <w:lvlText w:val="%1."/>
      <w:lvlJc w:val="left"/>
      <w:pPr>
        <w:tabs>
          <w:tab w:val="left" w:pos="312"/>
        </w:tabs>
      </w:pPr>
    </w:lvl>
  </w:abstractNum>
  <w:abstractNum w:abstractNumId="10">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2">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3">
    <w:nsid w:val="29189BA0"/>
    <w:multiLevelType w:val="singleLevel"/>
    <w:tmpl w:val="29189BA0"/>
    <w:lvl w:ilvl="0" w:tentative="0">
      <w:start w:val="1"/>
      <w:numFmt w:val="decimal"/>
      <w:suff w:val="nothing"/>
      <w:lvlText w:val="（%1）"/>
      <w:lvlJc w:val="left"/>
    </w:lvl>
  </w:abstractNum>
  <w:abstractNum w:abstractNumId="14">
    <w:nsid w:val="367019B8"/>
    <w:multiLevelType w:val="singleLevel"/>
    <w:tmpl w:val="367019B8"/>
    <w:lvl w:ilvl="0" w:tentative="0">
      <w:start w:val="1"/>
      <w:numFmt w:val="decimal"/>
      <w:suff w:val="nothing"/>
      <w:lvlText w:val="%1."/>
      <w:lvlJc w:val="left"/>
      <w:pPr>
        <w:ind w:left="0" w:firstLine="0"/>
      </w:pPr>
    </w:lvl>
  </w:abstractNum>
  <w:abstractNum w:abstractNumId="15">
    <w:nsid w:val="3954A2AD"/>
    <w:multiLevelType w:val="singleLevel"/>
    <w:tmpl w:val="3954A2AD"/>
    <w:lvl w:ilvl="0" w:tentative="0">
      <w:start w:val="1"/>
      <w:numFmt w:val="decimal"/>
      <w:suff w:val="nothing"/>
      <w:lvlText w:val="（%1）"/>
      <w:lvlJc w:val="left"/>
    </w:lvl>
  </w:abstractNum>
  <w:abstractNum w:abstractNumId="16">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7">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9">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1">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2">
    <w:nsid w:val="79F4631E"/>
    <w:multiLevelType w:val="multilevel"/>
    <w:tmpl w:val="79F4631E"/>
    <w:lvl w:ilvl="0" w:tentative="0">
      <w:start w:val="1"/>
      <w:numFmt w:val="japaneseCounting"/>
      <w:lvlText w:val="%1、"/>
      <w:lvlJc w:val="left"/>
      <w:pPr>
        <w:ind w:left="510" w:hanging="51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4">
    <w:nsid w:val="7CE20C09"/>
    <w:multiLevelType w:val="singleLevel"/>
    <w:tmpl w:val="7CE20C09"/>
    <w:lvl w:ilvl="0" w:tentative="0">
      <w:start w:val="1"/>
      <w:numFmt w:val="decimal"/>
      <w:lvlText w:val="%1."/>
      <w:lvlJc w:val="left"/>
      <w:pPr>
        <w:tabs>
          <w:tab w:val="left" w:pos="312"/>
        </w:tabs>
      </w:pPr>
    </w:lvl>
  </w:abstractNum>
  <w:num w:numId="1">
    <w:abstractNumId w:val="17"/>
  </w:num>
  <w:num w:numId="2">
    <w:abstractNumId w:val="21"/>
  </w:num>
  <w:num w:numId="3">
    <w:abstractNumId w:val="20"/>
  </w:num>
  <w:num w:numId="4">
    <w:abstractNumId w:val="18"/>
  </w:num>
  <w:num w:numId="5">
    <w:abstractNumId w:val="10"/>
  </w:num>
  <w:num w:numId="6">
    <w:abstractNumId w:val="11"/>
  </w:num>
  <w:num w:numId="7">
    <w:abstractNumId w:val="12"/>
  </w:num>
  <w:num w:numId="8">
    <w:abstractNumId w:val="19"/>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13"/>
  </w:num>
  <w:num w:numId="16">
    <w:abstractNumId w:val="4"/>
  </w:num>
  <w:num w:numId="17">
    <w:abstractNumId w:val="0"/>
  </w:num>
  <w:num w:numId="18">
    <w:abstractNumId w:val="1"/>
  </w:num>
  <w:num w:numId="19">
    <w:abstractNumId w:val="15"/>
  </w:num>
  <w:num w:numId="20">
    <w:abstractNumId w:val="23"/>
  </w:num>
  <w:num w:numId="21">
    <w:abstractNumId w:val="7"/>
  </w:num>
  <w:num w:numId="22">
    <w:abstractNumId w:val="24"/>
  </w:num>
  <w:num w:numId="23">
    <w:abstractNumId w:val="2"/>
  </w:num>
  <w:num w:numId="24">
    <w:abstractNumId w:val="5"/>
  </w:num>
  <w:num w:numId="25">
    <w:abstractNumId w:val="3"/>
  </w:num>
  <w:num w:numId="26">
    <w:abstractNumId w:val="8"/>
  </w:num>
  <w:num w:numId="27">
    <w:abstractNumId w:val="16"/>
  </w:num>
  <w:num w:numId="28">
    <w:abstractNumId w:val="14"/>
  </w:num>
  <w:num w:numId="29">
    <w:abstractNumId w:val="22"/>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60F"/>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6543"/>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6EB2"/>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3EA5"/>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22C15"/>
    <w:rsid w:val="01E274B5"/>
    <w:rsid w:val="01E46D89"/>
    <w:rsid w:val="0224362A"/>
    <w:rsid w:val="022E26FA"/>
    <w:rsid w:val="023C6C9C"/>
    <w:rsid w:val="02447828"/>
    <w:rsid w:val="0256755B"/>
    <w:rsid w:val="027520D7"/>
    <w:rsid w:val="029A38EC"/>
    <w:rsid w:val="02CC3DCA"/>
    <w:rsid w:val="02FB2420"/>
    <w:rsid w:val="02FE76EF"/>
    <w:rsid w:val="03237D85"/>
    <w:rsid w:val="03343D40"/>
    <w:rsid w:val="033E4BBF"/>
    <w:rsid w:val="03915AE5"/>
    <w:rsid w:val="03BA1683"/>
    <w:rsid w:val="03E72B61"/>
    <w:rsid w:val="03F033B0"/>
    <w:rsid w:val="04114082"/>
    <w:rsid w:val="0415210F"/>
    <w:rsid w:val="04363AE8"/>
    <w:rsid w:val="043B2EAD"/>
    <w:rsid w:val="04446205"/>
    <w:rsid w:val="04AE367F"/>
    <w:rsid w:val="04B213C1"/>
    <w:rsid w:val="04C410F4"/>
    <w:rsid w:val="04E15802"/>
    <w:rsid w:val="04E62E18"/>
    <w:rsid w:val="05184F9C"/>
    <w:rsid w:val="0543236E"/>
    <w:rsid w:val="05461B09"/>
    <w:rsid w:val="057C1D39"/>
    <w:rsid w:val="05891259"/>
    <w:rsid w:val="058F1702"/>
    <w:rsid w:val="05E76E48"/>
    <w:rsid w:val="06222576"/>
    <w:rsid w:val="062C6F51"/>
    <w:rsid w:val="066A7A79"/>
    <w:rsid w:val="068F128E"/>
    <w:rsid w:val="06CC4290"/>
    <w:rsid w:val="06E96BF0"/>
    <w:rsid w:val="070D4419"/>
    <w:rsid w:val="070E48A8"/>
    <w:rsid w:val="07287718"/>
    <w:rsid w:val="073A569E"/>
    <w:rsid w:val="077647CE"/>
    <w:rsid w:val="07AF3996"/>
    <w:rsid w:val="07F817E1"/>
    <w:rsid w:val="08283748"/>
    <w:rsid w:val="08365E65"/>
    <w:rsid w:val="085B58CB"/>
    <w:rsid w:val="08602EE2"/>
    <w:rsid w:val="08633479"/>
    <w:rsid w:val="08E43B13"/>
    <w:rsid w:val="091F2D9D"/>
    <w:rsid w:val="09684744"/>
    <w:rsid w:val="09C120A6"/>
    <w:rsid w:val="0A2A7C4B"/>
    <w:rsid w:val="0A617D3D"/>
    <w:rsid w:val="0BBA4FFF"/>
    <w:rsid w:val="0BCF0AAA"/>
    <w:rsid w:val="0C525237"/>
    <w:rsid w:val="0CB46AFB"/>
    <w:rsid w:val="0CB51572"/>
    <w:rsid w:val="0CFB1178"/>
    <w:rsid w:val="0D054058"/>
    <w:rsid w:val="0D9A6E96"/>
    <w:rsid w:val="0E1B7FD7"/>
    <w:rsid w:val="0E4D31E3"/>
    <w:rsid w:val="0E552DBD"/>
    <w:rsid w:val="0E6574A4"/>
    <w:rsid w:val="0E76345F"/>
    <w:rsid w:val="0EA24254"/>
    <w:rsid w:val="0F403A6D"/>
    <w:rsid w:val="0F5D0577"/>
    <w:rsid w:val="0F711E78"/>
    <w:rsid w:val="0F7200CA"/>
    <w:rsid w:val="0FB87AA7"/>
    <w:rsid w:val="0FC401FA"/>
    <w:rsid w:val="10D34B99"/>
    <w:rsid w:val="10DC2AA3"/>
    <w:rsid w:val="10FA7C8C"/>
    <w:rsid w:val="112F158C"/>
    <w:rsid w:val="115B06EA"/>
    <w:rsid w:val="11AC7198"/>
    <w:rsid w:val="11BA7B07"/>
    <w:rsid w:val="11E9219A"/>
    <w:rsid w:val="125735A8"/>
    <w:rsid w:val="125F420A"/>
    <w:rsid w:val="1283614B"/>
    <w:rsid w:val="12EA7F78"/>
    <w:rsid w:val="130B198F"/>
    <w:rsid w:val="135A334F"/>
    <w:rsid w:val="13BB36C2"/>
    <w:rsid w:val="13CB7DA9"/>
    <w:rsid w:val="13E96481"/>
    <w:rsid w:val="145205A8"/>
    <w:rsid w:val="1468384A"/>
    <w:rsid w:val="147C10A3"/>
    <w:rsid w:val="14C64A14"/>
    <w:rsid w:val="15AC3C0A"/>
    <w:rsid w:val="15E769F0"/>
    <w:rsid w:val="15FA6724"/>
    <w:rsid w:val="1615355E"/>
    <w:rsid w:val="161A0B74"/>
    <w:rsid w:val="16315EBE"/>
    <w:rsid w:val="168406E3"/>
    <w:rsid w:val="16A918E4"/>
    <w:rsid w:val="16BA2357"/>
    <w:rsid w:val="16DE7DF3"/>
    <w:rsid w:val="17343EB7"/>
    <w:rsid w:val="17367C2F"/>
    <w:rsid w:val="179130B8"/>
    <w:rsid w:val="17B0440A"/>
    <w:rsid w:val="17D966D6"/>
    <w:rsid w:val="17F84EE5"/>
    <w:rsid w:val="18335F1D"/>
    <w:rsid w:val="187A3B4C"/>
    <w:rsid w:val="188624CB"/>
    <w:rsid w:val="18866995"/>
    <w:rsid w:val="18934C0E"/>
    <w:rsid w:val="18952734"/>
    <w:rsid w:val="198C1722"/>
    <w:rsid w:val="19E41BC5"/>
    <w:rsid w:val="1A0E7548"/>
    <w:rsid w:val="1A11228E"/>
    <w:rsid w:val="1A381F10"/>
    <w:rsid w:val="1A5F749D"/>
    <w:rsid w:val="1AAC1FB7"/>
    <w:rsid w:val="1ABF7F3C"/>
    <w:rsid w:val="1AC217DA"/>
    <w:rsid w:val="1AD87250"/>
    <w:rsid w:val="1B6603B7"/>
    <w:rsid w:val="1B824429"/>
    <w:rsid w:val="1B903686"/>
    <w:rsid w:val="1BC71D3B"/>
    <w:rsid w:val="1BF260EF"/>
    <w:rsid w:val="1C59115B"/>
    <w:rsid w:val="1C8C02F2"/>
    <w:rsid w:val="1CA4563B"/>
    <w:rsid w:val="1CB11B06"/>
    <w:rsid w:val="1CD00D9F"/>
    <w:rsid w:val="1D1D0F4A"/>
    <w:rsid w:val="1D24052A"/>
    <w:rsid w:val="1D5F77B4"/>
    <w:rsid w:val="1D8C4487"/>
    <w:rsid w:val="1DAD6772"/>
    <w:rsid w:val="1DED3012"/>
    <w:rsid w:val="1E2C58E8"/>
    <w:rsid w:val="1E360515"/>
    <w:rsid w:val="1E636E30"/>
    <w:rsid w:val="1E780B2E"/>
    <w:rsid w:val="1E890F8D"/>
    <w:rsid w:val="1EF06916"/>
    <w:rsid w:val="1F5E5F75"/>
    <w:rsid w:val="1F672950"/>
    <w:rsid w:val="1F980D5B"/>
    <w:rsid w:val="1FB23E60"/>
    <w:rsid w:val="1FF02946"/>
    <w:rsid w:val="20280331"/>
    <w:rsid w:val="206D21E8"/>
    <w:rsid w:val="20761477"/>
    <w:rsid w:val="20B147CB"/>
    <w:rsid w:val="20DD2ECA"/>
    <w:rsid w:val="20E64474"/>
    <w:rsid w:val="212B00D9"/>
    <w:rsid w:val="212B632B"/>
    <w:rsid w:val="215807BA"/>
    <w:rsid w:val="21F91F85"/>
    <w:rsid w:val="22602004"/>
    <w:rsid w:val="22A7378F"/>
    <w:rsid w:val="22C5630B"/>
    <w:rsid w:val="23294AEC"/>
    <w:rsid w:val="233D2346"/>
    <w:rsid w:val="23887A65"/>
    <w:rsid w:val="239240FD"/>
    <w:rsid w:val="239D2DE4"/>
    <w:rsid w:val="23E80503"/>
    <w:rsid w:val="23EB1DA2"/>
    <w:rsid w:val="23EC0BA6"/>
    <w:rsid w:val="245F009A"/>
    <w:rsid w:val="24701A48"/>
    <w:rsid w:val="247C0C4C"/>
    <w:rsid w:val="24BD373E"/>
    <w:rsid w:val="24E22ED2"/>
    <w:rsid w:val="252A5E41"/>
    <w:rsid w:val="252B1D38"/>
    <w:rsid w:val="25396B3D"/>
    <w:rsid w:val="2540611D"/>
    <w:rsid w:val="255676EF"/>
    <w:rsid w:val="25AB17E9"/>
    <w:rsid w:val="25B032A3"/>
    <w:rsid w:val="25B508B9"/>
    <w:rsid w:val="25DC2738"/>
    <w:rsid w:val="25ED1E01"/>
    <w:rsid w:val="25FA451E"/>
    <w:rsid w:val="261C4494"/>
    <w:rsid w:val="268B0052"/>
    <w:rsid w:val="26FE1DEC"/>
    <w:rsid w:val="27743C90"/>
    <w:rsid w:val="27CC3FD4"/>
    <w:rsid w:val="27D50D9F"/>
    <w:rsid w:val="283F090E"/>
    <w:rsid w:val="2852419D"/>
    <w:rsid w:val="28F214DC"/>
    <w:rsid w:val="292673D8"/>
    <w:rsid w:val="29437F8A"/>
    <w:rsid w:val="297D349C"/>
    <w:rsid w:val="29890093"/>
    <w:rsid w:val="29B844D4"/>
    <w:rsid w:val="29CA2459"/>
    <w:rsid w:val="2A1C0F07"/>
    <w:rsid w:val="2A5A37DD"/>
    <w:rsid w:val="2ACD0453"/>
    <w:rsid w:val="2AD74E2E"/>
    <w:rsid w:val="2B0F6376"/>
    <w:rsid w:val="2B271A58"/>
    <w:rsid w:val="2B2F4C6A"/>
    <w:rsid w:val="2B6304A7"/>
    <w:rsid w:val="2B8A0ED3"/>
    <w:rsid w:val="2B8C5C18"/>
    <w:rsid w:val="2BB138D1"/>
    <w:rsid w:val="2C6C747A"/>
    <w:rsid w:val="2C752B50"/>
    <w:rsid w:val="2C9C632F"/>
    <w:rsid w:val="2CB27900"/>
    <w:rsid w:val="2CE101E6"/>
    <w:rsid w:val="2CED26E7"/>
    <w:rsid w:val="2CF6734C"/>
    <w:rsid w:val="2D0F08AF"/>
    <w:rsid w:val="2D2500D2"/>
    <w:rsid w:val="2D271CE7"/>
    <w:rsid w:val="2D2E5EBF"/>
    <w:rsid w:val="2D460049"/>
    <w:rsid w:val="2D663463"/>
    <w:rsid w:val="2DC55411"/>
    <w:rsid w:val="2E1F500D"/>
    <w:rsid w:val="2E204D3E"/>
    <w:rsid w:val="2E271C28"/>
    <w:rsid w:val="2E4E18AB"/>
    <w:rsid w:val="2E6B5FB9"/>
    <w:rsid w:val="2E6C3ADF"/>
    <w:rsid w:val="2E734E6D"/>
    <w:rsid w:val="2E976DAE"/>
    <w:rsid w:val="2ED26038"/>
    <w:rsid w:val="2EED69CE"/>
    <w:rsid w:val="2EF96EE4"/>
    <w:rsid w:val="2F542EF1"/>
    <w:rsid w:val="2F566C69"/>
    <w:rsid w:val="2F971030"/>
    <w:rsid w:val="2F9B1802"/>
    <w:rsid w:val="2FEE6EA1"/>
    <w:rsid w:val="2FEF49C8"/>
    <w:rsid w:val="30006BD5"/>
    <w:rsid w:val="300634F7"/>
    <w:rsid w:val="30202DD3"/>
    <w:rsid w:val="30761B12"/>
    <w:rsid w:val="30872E52"/>
    <w:rsid w:val="30B31E99"/>
    <w:rsid w:val="30CD2F5B"/>
    <w:rsid w:val="31295CB7"/>
    <w:rsid w:val="31603DCF"/>
    <w:rsid w:val="3186310A"/>
    <w:rsid w:val="32146967"/>
    <w:rsid w:val="32230959"/>
    <w:rsid w:val="32384404"/>
    <w:rsid w:val="32562ADC"/>
    <w:rsid w:val="32894C60"/>
    <w:rsid w:val="329655CE"/>
    <w:rsid w:val="32C06917"/>
    <w:rsid w:val="32CB171C"/>
    <w:rsid w:val="33042538"/>
    <w:rsid w:val="33304827"/>
    <w:rsid w:val="335A65FC"/>
    <w:rsid w:val="337E22EA"/>
    <w:rsid w:val="33E632B0"/>
    <w:rsid w:val="33F94067"/>
    <w:rsid w:val="34572B3B"/>
    <w:rsid w:val="348222AE"/>
    <w:rsid w:val="34A429A5"/>
    <w:rsid w:val="34B377BB"/>
    <w:rsid w:val="34BB30CA"/>
    <w:rsid w:val="34CB5A03"/>
    <w:rsid w:val="35357321"/>
    <w:rsid w:val="35CD7559"/>
    <w:rsid w:val="35CF7EC5"/>
    <w:rsid w:val="35D16601"/>
    <w:rsid w:val="36254FE4"/>
    <w:rsid w:val="36361DE3"/>
    <w:rsid w:val="365929CF"/>
    <w:rsid w:val="36A55DE0"/>
    <w:rsid w:val="36F62AE0"/>
    <w:rsid w:val="372F61E0"/>
    <w:rsid w:val="37AB1B1C"/>
    <w:rsid w:val="386A44CF"/>
    <w:rsid w:val="389D1465"/>
    <w:rsid w:val="38F33963"/>
    <w:rsid w:val="392C0A3B"/>
    <w:rsid w:val="39322FCA"/>
    <w:rsid w:val="39897C3B"/>
    <w:rsid w:val="39A46823"/>
    <w:rsid w:val="39DC4F34"/>
    <w:rsid w:val="3A125E82"/>
    <w:rsid w:val="3A4C02FB"/>
    <w:rsid w:val="3A850402"/>
    <w:rsid w:val="3AB90991"/>
    <w:rsid w:val="3ABB02C8"/>
    <w:rsid w:val="3AD46C94"/>
    <w:rsid w:val="3ADC3D9A"/>
    <w:rsid w:val="3B084B8F"/>
    <w:rsid w:val="3B337E5E"/>
    <w:rsid w:val="3B3B6D13"/>
    <w:rsid w:val="3B6B3A9C"/>
    <w:rsid w:val="3B706131"/>
    <w:rsid w:val="3B7566C9"/>
    <w:rsid w:val="3B7641EF"/>
    <w:rsid w:val="3C162914"/>
    <w:rsid w:val="3C1F03E3"/>
    <w:rsid w:val="3C2F4ACA"/>
    <w:rsid w:val="3C3814A4"/>
    <w:rsid w:val="3C681D8A"/>
    <w:rsid w:val="3D0C4EC6"/>
    <w:rsid w:val="3D2008B6"/>
    <w:rsid w:val="3D29776B"/>
    <w:rsid w:val="3D4F2F4A"/>
    <w:rsid w:val="3D734E8A"/>
    <w:rsid w:val="3D956BAE"/>
    <w:rsid w:val="3D960B78"/>
    <w:rsid w:val="3DE90CA8"/>
    <w:rsid w:val="3DF80EEB"/>
    <w:rsid w:val="3DFB03D8"/>
    <w:rsid w:val="3E6F041E"/>
    <w:rsid w:val="3E952BDE"/>
    <w:rsid w:val="3EEF0540"/>
    <w:rsid w:val="3F115748"/>
    <w:rsid w:val="3F4E170B"/>
    <w:rsid w:val="3F740A45"/>
    <w:rsid w:val="3FBB6674"/>
    <w:rsid w:val="3FCC6AD3"/>
    <w:rsid w:val="405D597D"/>
    <w:rsid w:val="4081341A"/>
    <w:rsid w:val="408353E4"/>
    <w:rsid w:val="40BF3F42"/>
    <w:rsid w:val="4101561F"/>
    <w:rsid w:val="411C3143"/>
    <w:rsid w:val="41582A5C"/>
    <w:rsid w:val="41CC2DBB"/>
    <w:rsid w:val="41E2613A"/>
    <w:rsid w:val="41F8770C"/>
    <w:rsid w:val="425D7EB7"/>
    <w:rsid w:val="4275481E"/>
    <w:rsid w:val="427E5E44"/>
    <w:rsid w:val="428B617A"/>
    <w:rsid w:val="428C42F8"/>
    <w:rsid w:val="42AD499A"/>
    <w:rsid w:val="42B850ED"/>
    <w:rsid w:val="42C41CE4"/>
    <w:rsid w:val="433D7BDC"/>
    <w:rsid w:val="437E1813"/>
    <w:rsid w:val="43866F99"/>
    <w:rsid w:val="43AF64F0"/>
    <w:rsid w:val="43EF0FE2"/>
    <w:rsid w:val="440E1469"/>
    <w:rsid w:val="443D58AA"/>
    <w:rsid w:val="44446C38"/>
    <w:rsid w:val="44872FC9"/>
    <w:rsid w:val="44984265"/>
    <w:rsid w:val="44A75419"/>
    <w:rsid w:val="44CA7C7F"/>
    <w:rsid w:val="44EE129A"/>
    <w:rsid w:val="452151CC"/>
    <w:rsid w:val="452847AC"/>
    <w:rsid w:val="454B3FF6"/>
    <w:rsid w:val="45BD47FC"/>
    <w:rsid w:val="45CC5FB2"/>
    <w:rsid w:val="463F1DAD"/>
    <w:rsid w:val="464529FA"/>
    <w:rsid w:val="46671304"/>
    <w:rsid w:val="46B75BA8"/>
    <w:rsid w:val="46D87B0C"/>
    <w:rsid w:val="46DC75FC"/>
    <w:rsid w:val="470D3C59"/>
    <w:rsid w:val="47653A95"/>
    <w:rsid w:val="47EA5D49"/>
    <w:rsid w:val="481334F1"/>
    <w:rsid w:val="484511D1"/>
    <w:rsid w:val="48547666"/>
    <w:rsid w:val="48681AC2"/>
    <w:rsid w:val="487970CD"/>
    <w:rsid w:val="488937B4"/>
    <w:rsid w:val="48C97955"/>
    <w:rsid w:val="48E24BBA"/>
    <w:rsid w:val="4900334A"/>
    <w:rsid w:val="49115557"/>
    <w:rsid w:val="49184B37"/>
    <w:rsid w:val="494F67AB"/>
    <w:rsid w:val="49880C8F"/>
    <w:rsid w:val="49883A6B"/>
    <w:rsid w:val="49AD5280"/>
    <w:rsid w:val="49D62A28"/>
    <w:rsid w:val="49FE3D2D"/>
    <w:rsid w:val="4A282B58"/>
    <w:rsid w:val="4A2A68D0"/>
    <w:rsid w:val="4A591F38"/>
    <w:rsid w:val="4A7D4C52"/>
    <w:rsid w:val="4A8561FD"/>
    <w:rsid w:val="4A8835F7"/>
    <w:rsid w:val="4AE303B0"/>
    <w:rsid w:val="4B592E71"/>
    <w:rsid w:val="4B6B53F2"/>
    <w:rsid w:val="4B75001F"/>
    <w:rsid w:val="4CBA03DF"/>
    <w:rsid w:val="4CE74F4D"/>
    <w:rsid w:val="4CF539DF"/>
    <w:rsid w:val="4D2E0486"/>
    <w:rsid w:val="4D317F76"/>
    <w:rsid w:val="4D371A30"/>
    <w:rsid w:val="4D6420F9"/>
    <w:rsid w:val="4D677E3B"/>
    <w:rsid w:val="4DD45540"/>
    <w:rsid w:val="4DDA060D"/>
    <w:rsid w:val="4E2B0E69"/>
    <w:rsid w:val="4E8F764A"/>
    <w:rsid w:val="4EBB350C"/>
    <w:rsid w:val="4ED96B17"/>
    <w:rsid w:val="4EDE412D"/>
    <w:rsid w:val="4F195165"/>
    <w:rsid w:val="4F1B0EDE"/>
    <w:rsid w:val="4F257E7B"/>
    <w:rsid w:val="4F4C553B"/>
    <w:rsid w:val="4F8545A9"/>
    <w:rsid w:val="4F9A3F25"/>
    <w:rsid w:val="4FC926E8"/>
    <w:rsid w:val="4FCC21D8"/>
    <w:rsid w:val="4FD34906"/>
    <w:rsid w:val="50615016"/>
    <w:rsid w:val="50DD3FB2"/>
    <w:rsid w:val="50EA500B"/>
    <w:rsid w:val="513242BC"/>
    <w:rsid w:val="523302EC"/>
    <w:rsid w:val="523A78CD"/>
    <w:rsid w:val="524D13AE"/>
    <w:rsid w:val="52650D16"/>
    <w:rsid w:val="526A01B2"/>
    <w:rsid w:val="526B3F2A"/>
    <w:rsid w:val="52B9239A"/>
    <w:rsid w:val="53422EDD"/>
    <w:rsid w:val="534B7B37"/>
    <w:rsid w:val="53654E1D"/>
    <w:rsid w:val="539D6365"/>
    <w:rsid w:val="53C34BA7"/>
    <w:rsid w:val="5402266C"/>
    <w:rsid w:val="540A0D50"/>
    <w:rsid w:val="54857525"/>
    <w:rsid w:val="54994D7E"/>
    <w:rsid w:val="54BD78FD"/>
    <w:rsid w:val="54F9581D"/>
    <w:rsid w:val="552C5BF2"/>
    <w:rsid w:val="552D196B"/>
    <w:rsid w:val="55450A62"/>
    <w:rsid w:val="55545149"/>
    <w:rsid w:val="55853555"/>
    <w:rsid w:val="55911EF9"/>
    <w:rsid w:val="55A47054"/>
    <w:rsid w:val="55B552A9"/>
    <w:rsid w:val="55BD684B"/>
    <w:rsid w:val="55C93441"/>
    <w:rsid w:val="56095F34"/>
    <w:rsid w:val="56130B60"/>
    <w:rsid w:val="57120E18"/>
    <w:rsid w:val="572A3CDF"/>
    <w:rsid w:val="57802226"/>
    <w:rsid w:val="580C557C"/>
    <w:rsid w:val="582901C7"/>
    <w:rsid w:val="58A86DDE"/>
    <w:rsid w:val="58C6010C"/>
    <w:rsid w:val="59154AD7"/>
    <w:rsid w:val="5923730C"/>
    <w:rsid w:val="593D49CE"/>
    <w:rsid w:val="59745DBA"/>
    <w:rsid w:val="59BC468D"/>
    <w:rsid w:val="59CA7788"/>
    <w:rsid w:val="59CF4D9E"/>
    <w:rsid w:val="5A0E1D6B"/>
    <w:rsid w:val="5A3115B5"/>
    <w:rsid w:val="5A951B44"/>
    <w:rsid w:val="5A9A35FE"/>
    <w:rsid w:val="5AC93EE4"/>
    <w:rsid w:val="5ACB37B8"/>
    <w:rsid w:val="5ADF548D"/>
    <w:rsid w:val="5AE14D89"/>
    <w:rsid w:val="5B81031A"/>
    <w:rsid w:val="5BCB77E7"/>
    <w:rsid w:val="5C1473E0"/>
    <w:rsid w:val="5C4001D5"/>
    <w:rsid w:val="5C68504C"/>
    <w:rsid w:val="5C814A76"/>
    <w:rsid w:val="5C974299"/>
    <w:rsid w:val="5CC42BB4"/>
    <w:rsid w:val="5CC52489"/>
    <w:rsid w:val="5CCB7A9F"/>
    <w:rsid w:val="5CE768A3"/>
    <w:rsid w:val="5D3970FE"/>
    <w:rsid w:val="5D596EA7"/>
    <w:rsid w:val="5D5C60B4"/>
    <w:rsid w:val="5DAF116F"/>
    <w:rsid w:val="5DBE7604"/>
    <w:rsid w:val="5DEA664B"/>
    <w:rsid w:val="5E08087F"/>
    <w:rsid w:val="5E135BA1"/>
    <w:rsid w:val="5E9465B6"/>
    <w:rsid w:val="5EEC2466"/>
    <w:rsid w:val="5FD316B9"/>
    <w:rsid w:val="60031C46"/>
    <w:rsid w:val="60583D40"/>
    <w:rsid w:val="606F2E37"/>
    <w:rsid w:val="607B393B"/>
    <w:rsid w:val="609F196E"/>
    <w:rsid w:val="60AF410C"/>
    <w:rsid w:val="60DD58EC"/>
    <w:rsid w:val="60EC092C"/>
    <w:rsid w:val="61113EEE"/>
    <w:rsid w:val="6122434D"/>
    <w:rsid w:val="618943CD"/>
    <w:rsid w:val="61AF1358"/>
    <w:rsid w:val="61BE4076"/>
    <w:rsid w:val="61DC44FC"/>
    <w:rsid w:val="61F41846"/>
    <w:rsid w:val="62436329"/>
    <w:rsid w:val="62611B94"/>
    <w:rsid w:val="6265670F"/>
    <w:rsid w:val="63091321"/>
    <w:rsid w:val="639554A5"/>
    <w:rsid w:val="639826A5"/>
    <w:rsid w:val="63E1229E"/>
    <w:rsid w:val="63F04A69"/>
    <w:rsid w:val="642B176B"/>
    <w:rsid w:val="64591E34"/>
    <w:rsid w:val="64713622"/>
    <w:rsid w:val="652561BA"/>
    <w:rsid w:val="652811A1"/>
    <w:rsid w:val="65817895"/>
    <w:rsid w:val="65982E30"/>
    <w:rsid w:val="65FF07B9"/>
    <w:rsid w:val="66860EDB"/>
    <w:rsid w:val="668B64F1"/>
    <w:rsid w:val="66A50B1E"/>
    <w:rsid w:val="6759214B"/>
    <w:rsid w:val="676905E0"/>
    <w:rsid w:val="676C6322"/>
    <w:rsid w:val="67B2063C"/>
    <w:rsid w:val="67C97AC3"/>
    <w:rsid w:val="67E30EC1"/>
    <w:rsid w:val="67E65ED5"/>
    <w:rsid w:val="67F00D02"/>
    <w:rsid w:val="68103152"/>
    <w:rsid w:val="68534DEC"/>
    <w:rsid w:val="685E3EBD"/>
    <w:rsid w:val="68907DEF"/>
    <w:rsid w:val="68A1024E"/>
    <w:rsid w:val="68CA77A4"/>
    <w:rsid w:val="68F3328F"/>
    <w:rsid w:val="68FB170C"/>
    <w:rsid w:val="695F613F"/>
    <w:rsid w:val="6960496E"/>
    <w:rsid w:val="69620955"/>
    <w:rsid w:val="69763488"/>
    <w:rsid w:val="69821E2D"/>
    <w:rsid w:val="69877444"/>
    <w:rsid w:val="69AC2A06"/>
    <w:rsid w:val="69CC12FA"/>
    <w:rsid w:val="6A06480C"/>
    <w:rsid w:val="6A276531"/>
    <w:rsid w:val="6A4E3B2B"/>
    <w:rsid w:val="6A68568B"/>
    <w:rsid w:val="6AA302AD"/>
    <w:rsid w:val="6AE54422"/>
    <w:rsid w:val="6B1C1E0E"/>
    <w:rsid w:val="6B2D401B"/>
    <w:rsid w:val="6B481C3B"/>
    <w:rsid w:val="6B8E2D0B"/>
    <w:rsid w:val="6B99345E"/>
    <w:rsid w:val="6BF1329A"/>
    <w:rsid w:val="6BFD579B"/>
    <w:rsid w:val="6C1331A3"/>
    <w:rsid w:val="6CA84BC1"/>
    <w:rsid w:val="6D237483"/>
    <w:rsid w:val="6D2D0302"/>
    <w:rsid w:val="6D3E4756"/>
    <w:rsid w:val="6D6655C2"/>
    <w:rsid w:val="6D940381"/>
    <w:rsid w:val="6DA560EA"/>
    <w:rsid w:val="6E600263"/>
    <w:rsid w:val="6E7A7581"/>
    <w:rsid w:val="6EA463A2"/>
    <w:rsid w:val="6EB11F38"/>
    <w:rsid w:val="6EC33D48"/>
    <w:rsid w:val="6ECD58F9"/>
    <w:rsid w:val="6EDC3D8E"/>
    <w:rsid w:val="6F06705D"/>
    <w:rsid w:val="6F0E5A30"/>
    <w:rsid w:val="6F401996"/>
    <w:rsid w:val="6F4D7D29"/>
    <w:rsid w:val="6F7915DC"/>
    <w:rsid w:val="6F7C10CD"/>
    <w:rsid w:val="6FA333B6"/>
    <w:rsid w:val="6FC523EB"/>
    <w:rsid w:val="6FCF744E"/>
    <w:rsid w:val="700532A9"/>
    <w:rsid w:val="704907AC"/>
    <w:rsid w:val="714D0F73"/>
    <w:rsid w:val="715C11B6"/>
    <w:rsid w:val="715F2A54"/>
    <w:rsid w:val="71731306"/>
    <w:rsid w:val="717402AD"/>
    <w:rsid w:val="717435DA"/>
    <w:rsid w:val="71A30B93"/>
    <w:rsid w:val="72710C91"/>
    <w:rsid w:val="72895F2E"/>
    <w:rsid w:val="72A20E4A"/>
    <w:rsid w:val="72C02EBE"/>
    <w:rsid w:val="72C507AD"/>
    <w:rsid w:val="72CE1C3F"/>
    <w:rsid w:val="72D028D8"/>
    <w:rsid w:val="73025D8D"/>
    <w:rsid w:val="73100ED3"/>
    <w:rsid w:val="732950C8"/>
    <w:rsid w:val="732E0930"/>
    <w:rsid w:val="7338355D"/>
    <w:rsid w:val="734D525A"/>
    <w:rsid w:val="73797DFD"/>
    <w:rsid w:val="7443665D"/>
    <w:rsid w:val="745D47C3"/>
    <w:rsid w:val="74EB4D2A"/>
    <w:rsid w:val="75306BE1"/>
    <w:rsid w:val="75A35605"/>
    <w:rsid w:val="764566BC"/>
    <w:rsid w:val="766301A6"/>
    <w:rsid w:val="769211D6"/>
    <w:rsid w:val="76AC3757"/>
    <w:rsid w:val="77043E82"/>
    <w:rsid w:val="779C055E"/>
    <w:rsid w:val="77D5581E"/>
    <w:rsid w:val="77D851E6"/>
    <w:rsid w:val="77E84083"/>
    <w:rsid w:val="782D565A"/>
    <w:rsid w:val="7840538D"/>
    <w:rsid w:val="78713799"/>
    <w:rsid w:val="78A51694"/>
    <w:rsid w:val="78C25DA2"/>
    <w:rsid w:val="78E73A5B"/>
    <w:rsid w:val="79004B1D"/>
    <w:rsid w:val="790243F1"/>
    <w:rsid w:val="795D3D1D"/>
    <w:rsid w:val="79676168"/>
    <w:rsid w:val="79825532"/>
    <w:rsid w:val="79AC25AE"/>
    <w:rsid w:val="7A0643B5"/>
    <w:rsid w:val="7A3C3932"/>
    <w:rsid w:val="7AD65B35"/>
    <w:rsid w:val="7B354F51"/>
    <w:rsid w:val="7BB51BEE"/>
    <w:rsid w:val="7BBF481B"/>
    <w:rsid w:val="7BC167E5"/>
    <w:rsid w:val="7BE75B20"/>
    <w:rsid w:val="7C18217D"/>
    <w:rsid w:val="7C2428D0"/>
    <w:rsid w:val="7C605FFE"/>
    <w:rsid w:val="7CB93F8E"/>
    <w:rsid w:val="7CC3658D"/>
    <w:rsid w:val="7CC55E61"/>
    <w:rsid w:val="7CF66B46"/>
    <w:rsid w:val="7D1E1A15"/>
    <w:rsid w:val="7D276B1C"/>
    <w:rsid w:val="7D4C6582"/>
    <w:rsid w:val="7D66388B"/>
    <w:rsid w:val="7D9341B1"/>
    <w:rsid w:val="7DB83C18"/>
    <w:rsid w:val="7DBD28BA"/>
    <w:rsid w:val="7DEA3CDD"/>
    <w:rsid w:val="7DEB18F7"/>
    <w:rsid w:val="7DFF1847"/>
    <w:rsid w:val="7E1150D6"/>
    <w:rsid w:val="7E755665"/>
    <w:rsid w:val="7E9957F7"/>
    <w:rsid w:val="7F391F89"/>
    <w:rsid w:val="7F482D79"/>
    <w:rsid w:val="7F5F07EF"/>
    <w:rsid w:val="7FD64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99"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4"/>
    <w:link w:val="68"/>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4"/>
    <w:semiHidden/>
    <w:qFormat/>
    <w:uiPriority w:val="0"/>
    <w:pPr>
      <w:keepNext/>
      <w:keepLines/>
      <w:spacing w:line="416" w:lineRule="auto"/>
      <w:outlineLvl w:val="2"/>
    </w:pPr>
    <w:rPr>
      <w:b/>
      <w:bCs/>
      <w:sz w:val="32"/>
      <w:szCs w:val="32"/>
    </w:rPr>
  </w:style>
  <w:style w:type="paragraph" w:styleId="7">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99"/>
    <w:rPr>
      <w:rFonts w:ascii="宋体" w:hAnsi="宋体"/>
      <w:color w:val="000000" w:themeColor="text1"/>
      <w:sz w:val="20"/>
      <w:szCs w:val="20"/>
      <w14:textFill>
        <w14:solidFill>
          <w14:schemeClr w14:val="tx1"/>
        </w14:solidFill>
      </w14:textFill>
    </w:rPr>
  </w:style>
  <w:style w:type="paragraph" w:styleId="4">
    <w:name w:val="Body Text"/>
    <w:basedOn w:val="1"/>
    <w:link w:val="42"/>
    <w:qFormat/>
    <w:uiPriority w:val="98"/>
    <w:rPr>
      <w:rFonts w:ascii="仿宋_GB2312" w:eastAsia="仿宋_GB2312"/>
      <w:sz w:val="32"/>
    </w:rPr>
  </w:style>
  <w:style w:type="paragraph" w:styleId="9">
    <w:name w:val="E-mail Signature"/>
    <w:basedOn w:val="1"/>
    <w:link w:val="105"/>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6"/>
    <w:qFormat/>
    <w:uiPriority w:val="99"/>
    <w:pPr>
      <w:jc w:val="left"/>
    </w:p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2"/>
    <w:next w:val="12"/>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4"/>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6"/>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2"/>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7"/>
    <w:semiHidden/>
    <w:qFormat/>
    <w:uiPriority w:val="0"/>
    <w:rPr>
      <w:rFonts w:ascii="Arial" w:hAnsi="Arial"/>
      <w:b/>
      <w:bCs/>
      <w:kern w:val="2"/>
      <w:sz w:val="21"/>
      <w:szCs w:val="28"/>
    </w:rPr>
  </w:style>
  <w:style w:type="character" w:customStyle="1" w:styleId="79">
    <w:name w:val="标题 5 字符"/>
    <w:basedOn w:val="33"/>
    <w:link w:val="8"/>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1"/>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9"/>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 w:type="paragraph" w:customStyle="1" w:styleId="114">
    <w:name w:val="标书正文格式"/>
    <w:basedOn w:val="15"/>
    <w:autoRedefine/>
    <w:qFormat/>
    <w:uiPriority w:val="0"/>
    <w:pPr>
      <w:spacing w:line="360" w:lineRule="auto"/>
      <w:ind w:firstLine="200" w:firstLineChars="200"/>
    </w:pPr>
    <w:rPr>
      <w:rFonts w:hAnsi="宋体" w:eastAsiaTheme="minorEastAsia"/>
      <w:color w:val="000000"/>
      <w:sz w:val="24"/>
      <w:szCs w:val="24"/>
    </w:rPr>
  </w:style>
  <w:style w:type="paragraph" w:customStyle="1" w:styleId="115">
    <w:name w:val="标正文"/>
    <w:basedOn w:val="114"/>
    <w:qFormat/>
    <w:uiPriority w:val="0"/>
    <w:pPr>
      <w:ind w:firstLine="480"/>
    </w:pPr>
    <w:rPr>
      <w:rFonts w:eastAsia="宋体" w:hAnsiTheme="minorHAnsi"/>
      <w:szCs w:val="22"/>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header" Target="header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66</Pages>
  <Words>8041</Words>
  <Characters>8664</Characters>
  <Lines>127</Lines>
  <Paragraphs>35</Paragraphs>
  <TotalTime>0</TotalTime>
  <ScaleCrop>false</ScaleCrop>
  <LinksUpToDate>false</LinksUpToDate>
  <CharactersWithSpaces>8900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李晓斌</cp:lastModifiedBy>
  <cp:lastPrinted>2020-06-28T02:28:00Z</cp:lastPrinted>
  <dcterms:modified xsi:type="dcterms:W3CDTF">2025-12-10T07:24:36Z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4AF519E420C641018F60CB82D21395FD_13</vt:lpwstr>
  </property>
  <property fmtid="{D5CDD505-2E9C-101B-9397-08002B2CF9AE}" pid="4" name="KSOTemplateDocerSaveRecord">
    <vt:lpwstr>eyJoZGlkIjoiODY0NTcxYjI4Y2NjNTJkNmIwYzM2NDk2ZTI0NWYxZjQiLCJ1c2VySWQiOiIxNjcxODY1NzIwIn0=</vt:lpwstr>
  </property>
</Properties>
</file>