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b/>
          <w:bCs/>
          <w:color w:val="000000"/>
          <w:spacing w:val="-8"/>
          <w:sz w:val="48"/>
          <w:szCs w:val="48"/>
        </w:rPr>
        <w:t>济南卡车公司车身一部双悬臂三坐标设备维保项目</w:t>
      </w: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3"/>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：中国重汽集团济南卡车股份有限公司制造公司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30"/>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3"/>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29994"/>
      <w:bookmarkStart w:id="1" w:name="_Toc23693"/>
      <w:bookmarkStart w:id="2" w:name="_Toc15480"/>
      <w:bookmarkStart w:id="3" w:name="_Toc22242"/>
      <w:bookmarkStart w:id="4" w:name="_Toc5202"/>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2"/>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项目名称：济南卡车公司车身一部双悬臂三坐标设备维保项目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项目编号：FSCZB2025120081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莱芜工厂车身一部焊装车间三坐标间使用的双悬臂三坐标测量机，品牌海克斯康，型号TORO-Image-60.16.30/2，该测量设备已使用4年未进行维保及校准，现测量结果已不准确，计量设备检验不合格。设备已偶发出现移动卡顿、触测误触发，测量过程中偶发测量结果重复性差等情况。探针随使用出现磨损及变形，需要采购补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招标人名称：中国重汽集团济南卡车股份有限公司制造公司</w:t>
            </w:r>
          </w:p>
          <w:p>
            <w:pPr>
              <w:ind w:firstLine="482" w:firstLineChars="200"/>
              <w:rPr>
                <w:rFonts w:hint="eastAsia" w:ascii="仿宋_GB2312" w:hAnsi="仿宋_GB2312" w:eastAsia="仿宋_GB2312" w:cs="仿宋_GB2312"/>
                <w:b/>
                <w:snapToGrid w:val="0"/>
                <w:kern w:val="0"/>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val="en-US" w:eastAsia="zh-CN"/>
              </w:rPr>
              <w:t>山东省济南市莱芜区莱城大道777号</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张先坤</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电话：17861418031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9.73</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keepNext w:val="0"/>
              <w:keepLines w:val="0"/>
              <w:pageBreakBefore w:val="0"/>
              <w:widowControl w:val="0"/>
              <w:kinsoku/>
              <w:wordWrap/>
              <w:overflowPunct/>
              <w:topLinePunct w:val="0"/>
              <w:bidi w:val="0"/>
              <w:adjustRightInd w:val="0"/>
              <w:snapToGrid w:val="0"/>
              <w:spacing w:line="360" w:lineRule="auto"/>
              <w:textAlignment w:val="auto"/>
              <w:rPr>
                <w:rFonts w:ascii="宋体" w:hAnsi="宋体" w:cs="宋体"/>
                <w:b/>
                <w:bCs/>
                <w:sz w:val="24"/>
                <w:szCs w:val="24"/>
              </w:rPr>
            </w:pPr>
            <w:r>
              <w:rPr>
                <w:rFonts w:ascii="宋体" w:hAnsi="宋体" w:cs="宋体"/>
                <w:b/>
                <w:bCs/>
                <w:color w:val="000000"/>
                <w:sz w:val="24"/>
                <w:szCs w:val="24"/>
              </w:rPr>
              <w:t>1</w:t>
            </w:r>
            <w:r>
              <w:rPr>
                <w:rFonts w:hint="eastAsia" w:ascii="宋体" w:hAnsi="宋体" w:cs="宋体"/>
                <w:b/>
                <w:bCs/>
                <w:sz w:val="24"/>
                <w:szCs w:val="24"/>
              </w:rPr>
              <w:t>、公司注册资本不少于</w:t>
            </w:r>
            <w:r>
              <w:rPr>
                <w:rFonts w:hint="eastAsia" w:ascii="宋体" w:hAnsi="宋体" w:cs="宋体"/>
                <w:b/>
                <w:bCs/>
                <w:sz w:val="24"/>
                <w:szCs w:val="24"/>
                <w:lang w:val="en-US" w:eastAsia="zh-CN"/>
              </w:rPr>
              <w:t>3</w:t>
            </w:r>
            <w:r>
              <w:rPr>
                <w:rFonts w:ascii="宋体" w:hAnsi="宋体" w:cs="宋体"/>
                <w:b/>
                <w:bCs/>
                <w:sz w:val="24"/>
                <w:szCs w:val="24"/>
                <w:u w:val="single"/>
              </w:rPr>
              <w:t>00</w:t>
            </w:r>
            <w:r>
              <w:rPr>
                <w:rFonts w:hint="eastAsia" w:ascii="宋体" w:hAnsi="宋体" w:cs="宋体"/>
                <w:b/>
                <w:bCs/>
                <w:sz w:val="24"/>
                <w:szCs w:val="24"/>
              </w:rPr>
              <w:t>万元（人民币）；</w:t>
            </w:r>
          </w:p>
          <w:p>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b/>
                <w:bCs/>
                <w:color w:val="000000"/>
                <w:sz w:val="24"/>
                <w:szCs w:val="24"/>
                <w:lang w:eastAsia="zh-CN"/>
              </w:rPr>
            </w:pPr>
            <w:r>
              <w:rPr>
                <w:rFonts w:ascii="宋体" w:hAnsi="宋体"/>
                <w:b/>
                <w:bCs/>
                <w:color w:val="000000"/>
                <w:sz w:val="24"/>
                <w:szCs w:val="24"/>
              </w:rPr>
              <w:t>2</w:t>
            </w:r>
            <w:r>
              <w:rPr>
                <w:rFonts w:hint="eastAsia" w:ascii="宋体" w:hAnsi="宋体"/>
                <w:b/>
                <w:bCs/>
                <w:color w:val="000000"/>
                <w:sz w:val="24"/>
                <w:szCs w:val="24"/>
              </w:rPr>
              <w:t>、</w:t>
            </w:r>
            <w:r>
              <w:rPr>
                <w:rFonts w:hint="eastAsia" w:ascii="宋体" w:hAnsi="宋体"/>
                <w:b/>
                <w:bCs/>
                <w:color w:val="000000"/>
                <w:sz w:val="24"/>
                <w:szCs w:val="24"/>
                <w:lang w:val="en-US" w:eastAsia="zh-CN"/>
              </w:rPr>
              <w:t>公司需成立两年以上，或</w:t>
            </w:r>
            <w:r>
              <w:rPr>
                <w:rFonts w:hint="eastAsia" w:ascii="宋体" w:hAnsi="宋体" w:cs="宋体"/>
                <w:b/>
                <w:bCs/>
                <w:color w:val="000000"/>
                <w:sz w:val="24"/>
                <w:szCs w:val="24"/>
                <w:shd w:val="clear" w:color="auto" w:fill="FCFCFC"/>
              </w:rPr>
              <w:t>有相关工作经历</w:t>
            </w:r>
            <w:r>
              <w:rPr>
                <w:rFonts w:hint="eastAsia" w:ascii="宋体" w:hAnsi="宋体" w:cs="宋体"/>
                <w:b/>
                <w:bCs/>
                <w:color w:val="000000"/>
                <w:sz w:val="24"/>
                <w:szCs w:val="24"/>
                <w:shd w:val="clear" w:color="auto" w:fill="FCFCFC"/>
                <w:lang w:val="en-US" w:eastAsia="zh-CN"/>
              </w:rPr>
              <w:t>和</w:t>
            </w:r>
            <w:r>
              <w:rPr>
                <w:rFonts w:hint="eastAsia" w:ascii="宋体" w:hAnsi="宋体" w:cs="宋体"/>
                <w:b/>
                <w:bCs/>
                <w:color w:val="000000"/>
                <w:sz w:val="24"/>
                <w:szCs w:val="24"/>
                <w:shd w:val="clear" w:color="auto" w:fill="FCFCFC"/>
              </w:rPr>
              <w:t>成功的工程案例；</w:t>
            </w:r>
          </w:p>
          <w:p>
            <w:pPr>
              <w:keepNext w:val="0"/>
              <w:keepLines w:val="0"/>
              <w:pageBreakBefore w:val="0"/>
              <w:widowControl w:val="0"/>
              <w:kinsoku/>
              <w:wordWrap/>
              <w:overflowPunct/>
              <w:topLinePunct w:val="0"/>
              <w:bidi w:val="0"/>
              <w:adjustRightInd w:val="0"/>
              <w:snapToGrid w:val="0"/>
              <w:spacing w:line="360" w:lineRule="auto"/>
              <w:textAlignment w:val="auto"/>
              <w:rPr>
                <w:rFonts w:ascii="宋体" w:cs="宋体"/>
                <w:b/>
                <w:bCs/>
                <w:sz w:val="24"/>
                <w:szCs w:val="24"/>
              </w:rPr>
            </w:pPr>
            <w:r>
              <w:rPr>
                <w:rFonts w:ascii="宋体" w:hAnsi="宋体" w:cs="宋体"/>
                <w:b/>
                <w:bCs/>
                <w:sz w:val="24"/>
                <w:szCs w:val="24"/>
              </w:rPr>
              <w:t>3</w:t>
            </w:r>
            <w:r>
              <w:rPr>
                <w:rFonts w:hint="eastAsia" w:ascii="宋体" w:hAnsi="宋体" w:cs="宋体"/>
                <w:b/>
                <w:bCs/>
                <w:sz w:val="24"/>
                <w:szCs w:val="24"/>
              </w:rPr>
              <w:t>、在社会上和重汽集团内的其它招标过程中没有不良行为记录；无招标违规、谎报年度报告信息、提供虚假资质资料等行为和行政处罚记录；</w:t>
            </w:r>
          </w:p>
          <w:p>
            <w:pPr>
              <w:pStyle w:val="12"/>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cs="宋体"/>
                <w:b/>
                <w:bCs/>
                <w:sz w:val="24"/>
                <w:szCs w:val="24"/>
              </w:rPr>
            </w:pPr>
            <w:r>
              <w:rPr>
                <w:rFonts w:ascii="宋体" w:hAnsi="宋体" w:cs="宋体"/>
                <w:b/>
                <w:bCs/>
                <w:sz w:val="24"/>
                <w:szCs w:val="24"/>
              </w:rPr>
              <w:t>4</w:t>
            </w:r>
            <w:r>
              <w:rPr>
                <w:rFonts w:hint="eastAsia" w:ascii="宋体" w:hAnsi="宋体" w:cs="宋体"/>
                <w:b/>
                <w:bCs/>
                <w:sz w:val="24"/>
                <w:szCs w:val="24"/>
              </w:rPr>
              <w:t>、公司财务良好，经营稳定，有全面履约的能力；供方之间有良好的竞争关系；</w:t>
            </w:r>
          </w:p>
          <w:p>
            <w:pPr>
              <w:pStyle w:val="12"/>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ascii="宋体" w:cs="宋体"/>
                <w:b/>
                <w:bCs/>
                <w:sz w:val="24"/>
                <w:szCs w:val="24"/>
              </w:rPr>
            </w:pPr>
            <w:r>
              <w:rPr>
                <w:rFonts w:ascii="宋体" w:hAnsi="宋体" w:cs="宋体"/>
                <w:b/>
                <w:bCs/>
                <w:sz w:val="24"/>
                <w:szCs w:val="24"/>
              </w:rPr>
              <w:t>5</w:t>
            </w:r>
            <w:r>
              <w:rPr>
                <w:rFonts w:hint="eastAsia" w:ascii="宋体" w:hAnsi="宋体" w:cs="宋体"/>
                <w:b/>
                <w:bCs/>
                <w:sz w:val="24"/>
                <w:szCs w:val="24"/>
              </w:rPr>
              <w:t>、</w:t>
            </w:r>
            <w:r>
              <w:rPr>
                <w:rFonts w:hint="eastAsia" w:ascii="宋体" w:hAnsi="宋体" w:cs="宋体"/>
                <w:b/>
                <w:bCs/>
                <w:color w:val="000000"/>
                <w:kern w:val="0"/>
                <w:sz w:val="24"/>
                <w:szCs w:val="24"/>
              </w:rPr>
              <w:t>投标单位应具有良好的商业信誉，没有被处于责令停产、财产被冻结、接管、破产、且财务状况良好。投标单位未在“信用中国”网站（</w:t>
            </w:r>
            <w:r>
              <w:rPr>
                <w:rFonts w:ascii="宋体" w:hAnsi="宋体" w:cs="宋体"/>
                <w:b/>
                <w:bCs/>
                <w:color w:val="000000"/>
                <w:kern w:val="0"/>
                <w:sz w:val="24"/>
                <w:szCs w:val="24"/>
              </w:rPr>
              <w:t>www.creditchina.gov.cn</w:t>
            </w:r>
            <w:r>
              <w:rPr>
                <w:rFonts w:hint="eastAsia" w:ascii="宋体" w:hAnsi="宋体" w:cs="宋体"/>
                <w:b/>
                <w:bCs/>
                <w:color w:val="000000"/>
                <w:kern w:val="0"/>
                <w:sz w:val="24"/>
                <w:szCs w:val="24"/>
              </w:rPr>
              <w:t>）或各级信用信息共享平台列入失信被执行人名单。</w:t>
            </w:r>
          </w:p>
          <w:p>
            <w:pPr>
              <w:pStyle w:val="13"/>
              <w:keepNext w:val="0"/>
              <w:keepLines w:val="0"/>
              <w:pageBreakBefore w:val="0"/>
              <w:widowControl w:val="0"/>
              <w:kinsoku/>
              <w:wordWrap/>
              <w:overflowPunct/>
              <w:topLinePunct w:val="0"/>
              <w:bidi w:val="0"/>
              <w:adjustRightInd w:val="0"/>
              <w:snapToGrid w:val="0"/>
              <w:spacing w:line="360" w:lineRule="auto"/>
              <w:textAlignment w:val="auto"/>
              <w:rPr>
                <w:rFonts w:ascii="宋体" w:cs="宋体"/>
                <w:b/>
                <w:bCs/>
                <w:sz w:val="24"/>
                <w:szCs w:val="24"/>
              </w:rPr>
            </w:pPr>
            <w:r>
              <w:rPr>
                <w:rFonts w:ascii="宋体" w:hAnsi="宋体" w:cs="宋体"/>
                <w:b/>
                <w:bCs/>
                <w:sz w:val="24"/>
                <w:szCs w:val="24"/>
              </w:rPr>
              <w:t>6</w:t>
            </w:r>
            <w:r>
              <w:rPr>
                <w:rFonts w:hint="eastAsia" w:ascii="宋体" w:hAnsi="宋体" w:cs="宋体"/>
                <w:b/>
                <w:bCs/>
                <w:sz w:val="24"/>
                <w:szCs w:val="24"/>
              </w:rPr>
              <w:t>、投标方的直接或间接股东、法定代表人、董事、监事、高管非重汽员工及其亲属；</w:t>
            </w:r>
          </w:p>
          <w:p>
            <w:pPr>
              <w:pStyle w:val="13"/>
              <w:keepNext w:val="0"/>
              <w:keepLines w:val="0"/>
              <w:pageBreakBefore w:val="0"/>
              <w:widowControl w:val="0"/>
              <w:kinsoku/>
              <w:wordWrap/>
              <w:overflowPunct/>
              <w:topLinePunct w:val="0"/>
              <w:bidi w:val="0"/>
              <w:adjustRightInd w:val="0"/>
              <w:snapToGrid w:val="0"/>
              <w:spacing w:line="360" w:lineRule="auto"/>
              <w:textAlignment w:val="auto"/>
              <w:rPr>
                <w:rFonts w:ascii="宋体" w:cs="宋体"/>
                <w:b/>
                <w:bCs/>
                <w:sz w:val="24"/>
                <w:szCs w:val="24"/>
              </w:rPr>
            </w:pPr>
            <w:r>
              <w:rPr>
                <w:rFonts w:ascii="宋体" w:hAnsi="宋体" w:cs="宋体"/>
                <w:b/>
                <w:bCs/>
                <w:sz w:val="24"/>
                <w:szCs w:val="24"/>
              </w:rPr>
              <w:t>7</w:t>
            </w:r>
            <w:r>
              <w:rPr>
                <w:rFonts w:hint="eastAsia" w:ascii="宋体" w:hAnsi="宋体" w:cs="宋体"/>
                <w:b/>
                <w:bCs/>
                <w:sz w:val="24"/>
                <w:szCs w:val="24"/>
              </w:rPr>
              <w:t>、应签订“安全协议书”明确双方安全责任与义务；严禁拍照；</w:t>
            </w:r>
          </w:p>
          <w:p>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cs="宋体"/>
                <w:b/>
                <w:bCs/>
                <w:sz w:val="24"/>
                <w:szCs w:val="24"/>
              </w:rPr>
            </w:pPr>
            <w:r>
              <w:rPr>
                <w:rFonts w:ascii="宋体" w:hAnsi="宋体" w:cs="宋体"/>
                <w:b/>
                <w:bCs/>
                <w:sz w:val="24"/>
                <w:szCs w:val="24"/>
              </w:rPr>
              <w:t>8</w:t>
            </w:r>
            <w:r>
              <w:rPr>
                <w:rFonts w:hint="eastAsia" w:ascii="宋体" w:hAnsi="宋体" w:cs="宋体"/>
                <w:b/>
                <w:bCs/>
                <w:sz w:val="24"/>
                <w:szCs w:val="24"/>
              </w:rPr>
              <w:t>、维修队伍中主要作业人员必须具有</w:t>
            </w:r>
            <w:r>
              <w:rPr>
                <w:rFonts w:hint="eastAsia" w:ascii="宋体" w:hAnsi="宋体" w:cs="宋体"/>
                <w:b/>
                <w:bCs/>
                <w:color w:val="000000"/>
                <w:sz w:val="24"/>
                <w:szCs w:val="24"/>
              </w:rPr>
              <w:t>合规的特种设备作业人员证，主要负责人应持有特种设备安全管理人员证</w:t>
            </w:r>
            <w:r>
              <w:rPr>
                <w:rFonts w:hint="eastAsia" w:ascii="宋体" w:hAnsi="宋体" w:cs="宋体"/>
                <w:b/>
                <w:bCs/>
                <w:sz w:val="24"/>
                <w:szCs w:val="24"/>
              </w:rPr>
              <w:t>；危险作业（登高、动火、临时线等）应经审批后实施。</w:t>
            </w:r>
          </w:p>
          <w:p>
            <w:pPr>
              <w:keepNext w:val="0"/>
              <w:keepLines w:val="0"/>
              <w:pageBreakBefore w:val="0"/>
              <w:widowControl w:val="0"/>
              <w:kinsoku/>
              <w:wordWrap/>
              <w:overflowPunct/>
              <w:topLinePunct w:val="0"/>
              <w:bidi w:val="0"/>
              <w:adjustRightInd w:val="0"/>
              <w:snapToGrid w:val="0"/>
              <w:spacing w:line="360" w:lineRule="auto"/>
              <w:textAlignment w:val="auto"/>
              <w:rPr>
                <w:rFonts w:hint="eastAsia" w:ascii="仿宋_GB2312" w:hAnsi="仿宋_GB2312" w:eastAsia="仿宋_GB2312" w:cs="仿宋_GB2312"/>
                <w:color w:val="000000"/>
                <w:sz w:val="24"/>
                <w:szCs w:val="24"/>
              </w:rPr>
            </w:pPr>
            <w:r>
              <w:rPr>
                <w:rFonts w:hint="eastAsia" w:ascii="宋体" w:hAnsi="宋体" w:cs="宋体"/>
                <w:b/>
                <w:bCs/>
                <w:sz w:val="24"/>
                <w:szCs w:val="24"/>
                <w:lang w:val="en-US" w:eastAsia="zh-CN"/>
              </w:rPr>
              <w:t>9、</w:t>
            </w:r>
            <w:r>
              <w:rPr>
                <w:rFonts w:hint="eastAsia" w:ascii="宋体" w:hAnsi="宋体" w:cs="宋体"/>
                <w:b/>
                <w:bCs/>
                <w:sz w:val="24"/>
                <w:szCs w:val="24"/>
              </w:rPr>
              <w:t>招标采购项目采用供应商直销模式进行采购，原则上不允许代理商投标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2025年12月10日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2025年12月17日前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2025年12月17日前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2025年12月15</w:t>
            </w:r>
            <w:bookmarkStart w:id="103" w:name="_GoBack"/>
            <w:bookmarkEnd w:id="103"/>
            <w:r>
              <w:rPr>
                <w:rFonts w:hint="eastAsia" w:ascii="仿宋_GB2312" w:hAnsi="仿宋_GB2312" w:eastAsia="仿宋_GB2312" w:cs="仿宋_GB2312"/>
                <w:color w:val="000000"/>
                <w:sz w:val="24"/>
                <w:szCs w:val="24"/>
                <w:highlight w:val="green"/>
                <w:lang w:val="en-US" w:eastAsia="zh-CN"/>
              </w:rPr>
              <w:t>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2025年12月20日17：00</w:t>
            </w:r>
          </w:p>
          <w:p>
            <w:pPr>
              <w:pStyle w:val="23"/>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名称：中国重汽集团济南卡车股份有限公司</w:t>
            </w:r>
            <w:r>
              <w:rPr>
                <w:rFonts w:hint="eastAsia" w:ascii="仿宋_GB2312" w:hAnsi="仿宋_GB2312" w:eastAsia="仿宋_GB2312" w:cs="仿宋_GB2312"/>
                <w:sz w:val="24"/>
                <w:szCs w:val="24"/>
                <w:lang w:val="en-US" w:eastAsia="zh-CN"/>
              </w:rPr>
              <w:br w:type="textWrapping"/>
            </w:r>
            <w:r>
              <w:rPr>
                <w:rFonts w:hint="eastAsia" w:ascii="仿宋_GB2312" w:hAnsi="仿宋_GB2312" w:eastAsia="仿宋_GB2312" w:cs="仿宋_GB2312"/>
                <w:sz w:val="24"/>
                <w:szCs w:val="24"/>
                <w:lang w:val="en-US" w:eastAsia="zh-CN"/>
              </w:rPr>
              <w:tab/>
            </w:r>
            <w:r>
              <w:rPr>
                <w:rFonts w:hint="eastAsia" w:ascii="仿宋_GB2312" w:hAnsi="仿宋_GB2312" w:eastAsia="仿宋_GB2312" w:cs="仿宋_GB2312"/>
                <w:sz w:val="24"/>
                <w:szCs w:val="24"/>
                <w:lang w:val="en-US" w:eastAsia="zh-CN"/>
              </w:rPr>
              <w:t xml:space="preserve"> 账号：531900051810601</w:t>
            </w:r>
            <w:r>
              <w:rPr>
                <w:rFonts w:hint="eastAsia" w:ascii="仿宋_GB2312" w:hAnsi="仿宋_GB2312" w:eastAsia="仿宋_GB2312" w:cs="仿宋_GB2312"/>
                <w:sz w:val="24"/>
                <w:szCs w:val="24"/>
                <w:lang w:val="en-US" w:eastAsia="zh-CN"/>
              </w:rPr>
              <w:br w:type="textWrapping"/>
            </w:r>
            <w:r>
              <w:rPr>
                <w:rFonts w:hint="eastAsia" w:ascii="仿宋_GB2312" w:hAnsi="仿宋_GB2312" w:eastAsia="仿宋_GB2312" w:cs="仿宋_GB2312"/>
                <w:sz w:val="24"/>
                <w:szCs w:val="24"/>
                <w:lang w:val="en-US" w:eastAsia="zh-CN"/>
              </w:rPr>
              <w:t xml:space="preserve">     开户行：招商银行股份有限公司济南分行营业部</w:t>
            </w:r>
            <w:r>
              <w:rPr>
                <w:rFonts w:hint="eastAsia" w:ascii="仿宋_GB2312" w:hAnsi="仿宋_GB2312" w:eastAsia="仿宋_GB2312" w:cs="仿宋_GB2312"/>
                <w:sz w:val="24"/>
                <w:szCs w:val="24"/>
                <w:lang w:val="en-US" w:eastAsia="zh-CN"/>
              </w:rPr>
              <w:br w:type="textWrapping"/>
            </w:r>
            <w:r>
              <w:rPr>
                <w:rFonts w:hint="eastAsia" w:ascii="仿宋_GB2312" w:hAnsi="仿宋_GB2312" w:eastAsia="仿宋_GB2312" w:cs="仿宋_GB2312"/>
                <w:sz w:val="24"/>
                <w:szCs w:val="24"/>
                <w:lang w:val="en-US" w:eastAsia="zh-CN"/>
              </w:rPr>
              <w:t xml:space="preserve">     行号：308451028020</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2025年12月20日17：00</w:t>
            </w:r>
          </w:p>
          <w:p>
            <w:pPr>
              <w:pStyle w:val="41"/>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2025年12月22日9：00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中国重汽集团济南卡车股份有限公司制造公司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keepNext w:val="0"/>
              <w:keepLines w:val="0"/>
              <w:pageBreakBefore w:val="0"/>
              <w:numPr>
                <w:ilvl w:val="0"/>
                <w:numId w:val="0"/>
              </w:numPr>
              <w:kinsoku/>
              <w:wordWrap/>
              <w:overflowPunct/>
              <w:topLinePunct w:val="0"/>
              <w:autoSpaceDE/>
              <w:autoSpaceDN/>
              <w:bidi w:val="0"/>
              <w:adjustRightInd/>
              <w:spacing w:line="360" w:lineRule="auto"/>
              <w:rPr>
                <w:rFonts w:ascii="宋体" w:hAnsi="宋体" w:cs="宋体"/>
                <w:color w:val="auto"/>
                <w:sz w:val="21"/>
                <w:szCs w:val="21"/>
              </w:rPr>
            </w:pPr>
            <w:r>
              <w:rPr>
                <w:rFonts w:hint="eastAsia" w:ascii="宋体" w:hAnsi="宋体" w:cs="宋体"/>
                <w:color w:val="auto"/>
                <w:sz w:val="21"/>
                <w:szCs w:val="21"/>
              </w:rPr>
              <w:t>1、报价：报价包含未税价格、税率、及含税合计金额及提供具体的报价分解表（后有附表</w:t>
            </w:r>
            <w:r>
              <w:rPr>
                <w:rFonts w:hint="eastAsia" w:ascii="宋体" w:hAnsi="宋体" w:cs="宋体"/>
                <w:color w:val="auto"/>
                <w:sz w:val="21"/>
                <w:szCs w:val="21"/>
                <w:lang w:eastAsia="zh-CN"/>
              </w:rPr>
              <w:t>：</w:t>
            </w:r>
            <w:r>
              <w:rPr>
                <w:rFonts w:hint="eastAsia" w:ascii="宋体" w:hAnsi="宋体" w:cs="宋体"/>
                <w:b/>
                <w:bCs/>
                <w:sz w:val="21"/>
                <w:szCs w:val="21"/>
              </w:rPr>
              <w:t>开标一览表</w:t>
            </w:r>
            <w:r>
              <w:rPr>
                <w:rFonts w:hint="eastAsia" w:ascii="宋体" w:hAnsi="宋体" w:cs="宋体"/>
                <w:b/>
                <w:bCs/>
                <w:sz w:val="21"/>
                <w:szCs w:val="21"/>
                <w:lang w:eastAsia="zh-CN"/>
              </w:rPr>
              <w:t>）</w:t>
            </w:r>
          </w:p>
          <w:p>
            <w:pPr>
              <w:pStyle w:val="13"/>
              <w:snapToGrid w:val="0"/>
              <w:spacing w:line="360" w:lineRule="auto"/>
              <w:rPr>
                <w:rFonts w:hint="default" w:ascii="宋体" w:hAnsi="宋体" w:eastAsia="仿宋_GB2312" w:cs="宋体"/>
                <w:color w:val="auto"/>
                <w:sz w:val="21"/>
                <w:szCs w:val="21"/>
                <w:lang w:val="en-US" w:eastAsia="zh-CN"/>
              </w:rPr>
            </w:pPr>
            <w:r>
              <w:rPr>
                <w:rFonts w:hint="eastAsia" w:ascii="宋体" w:hAnsi="宋体" w:cs="宋体"/>
                <w:color w:val="auto"/>
                <w:sz w:val="21"/>
                <w:szCs w:val="21"/>
              </w:rPr>
              <w:t xml:space="preserve">  2、付款结算方法：</w:t>
            </w:r>
            <w:r>
              <w:rPr>
                <w:rFonts w:hint="eastAsia" w:ascii="宋体" w:hAnsi="宋体" w:cs="宋体"/>
                <w:b/>
                <w:bCs/>
                <w:color w:val="auto"/>
                <w:sz w:val="21"/>
                <w:szCs w:val="21"/>
                <w:u w:val="single"/>
              </w:rPr>
              <w:t xml:space="preserve">半年期商业汇票 </w:t>
            </w:r>
            <w:r>
              <w:rPr>
                <w:rFonts w:hint="eastAsia" w:ascii="仿宋" w:hAnsi="仿宋" w:eastAsia="仿宋" w:cs="仿宋"/>
                <w:b/>
                <w:bCs/>
                <w:color w:val="auto"/>
                <w:sz w:val="21"/>
                <w:szCs w:val="21"/>
                <w:u w:val="single"/>
              </w:rPr>
              <w:t>（包括银行承兑汇票和商业承兑汇票）</w:t>
            </w:r>
          </w:p>
          <w:p>
            <w:pPr>
              <w:pStyle w:val="12"/>
              <w:snapToGrid w:val="0"/>
              <w:spacing w:line="360" w:lineRule="auto"/>
              <w:ind w:firstLine="420" w:firstLineChars="200"/>
              <w:rPr>
                <w:rFonts w:ascii="宋体" w:cs="宋体"/>
                <w:color w:val="auto"/>
                <w:sz w:val="21"/>
                <w:szCs w:val="21"/>
              </w:rPr>
            </w:pPr>
            <w:r>
              <w:rPr>
                <w:rFonts w:hint="eastAsia" w:ascii="宋体" w:hAnsi="宋体" w:cs="宋体"/>
                <w:color w:val="auto"/>
                <w:sz w:val="21"/>
                <w:szCs w:val="21"/>
              </w:rPr>
              <w:t>a)在合同约定维保期内全部实施完毕无质量问题，经检验、调试及至少30天试运行、最终验收合格后供方提交下列单据经需方审核无误后，委托方根据济南卡车制造公司财务管理流程，按照规定挂账后30天账期，账期满后提交资金计划后付给承揽方合同价格约</w:t>
            </w:r>
            <w:r>
              <w:rPr>
                <w:rFonts w:hint="eastAsia" w:ascii="宋体" w:cs="宋体"/>
                <w:color w:val="auto"/>
                <w:sz w:val="21"/>
                <w:szCs w:val="21"/>
                <w:u w:val="single"/>
              </w:rPr>
              <w:t xml:space="preserve"> </w:t>
            </w:r>
            <w:r>
              <w:rPr>
                <w:rFonts w:hint="eastAsia" w:ascii="宋体" w:cs="宋体"/>
                <w:color w:val="auto"/>
                <w:sz w:val="21"/>
                <w:szCs w:val="21"/>
                <w:u w:val="single"/>
                <w:lang w:val="en-US" w:eastAsia="zh-CN"/>
              </w:rPr>
              <w:t>9</w:t>
            </w:r>
            <w:r>
              <w:rPr>
                <w:rFonts w:hint="eastAsia" w:ascii="宋体" w:hAnsi="宋体" w:cs="宋体"/>
                <w:color w:val="auto"/>
                <w:sz w:val="21"/>
                <w:szCs w:val="21"/>
                <w:u w:val="single"/>
              </w:rPr>
              <w:t>0%</w:t>
            </w:r>
            <w:r>
              <w:rPr>
                <w:rFonts w:hint="eastAsia" w:ascii="宋体" w:hAnsi="宋体" w:cs="宋体"/>
                <w:color w:val="auto"/>
                <w:sz w:val="21"/>
                <w:szCs w:val="21"/>
              </w:rPr>
              <w:t>的价款。</w:t>
            </w:r>
          </w:p>
          <w:p>
            <w:pPr>
              <w:pStyle w:val="12"/>
              <w:widowControl/>
              <w:snapToGrid w:val="0"/>
              <w:spacing w:line="360" w:lineRule="auto"/>
              <w:rPr>
                <w:rFonts w:ascii="宋体" w:cs="宋体"/>
                <w:color w:val="auto"/>
                <w:sz w:val="21"/>
                <w:szCs w:val="21"/>
              </w:rPr>
            </w:pPr>
            <w:r>
              <w:rPr>
                <w:rFonts w:hint="eastAsia" w:ascii="宋体" w:hAnsi="宋体" w:cs="宋体"/>
                <w:color w:val="auto"/>
                <w:sz w:val="21"/>
                <w:szCs w:val="21"/>
              </w:rPr>
              <w:t>A 金额为合同总价格100%的增值税发票（适应税率）（正本一份，复印件二份）。</w:t>
            </w:r>
          </w:p>
          <w:p>
            <w:pPr>
              <w:pStyle w:val="12"/>
              <w:keepNext w:val="0"/>
              <w:keepLines w:val="0"/>
              <w:pageBreakBefore w:val="0"/>
              <w:widowControl/>
              <w:kinsoku/>
              <w:wordWrap/>
              <w:overflowPunct/>
              <w:topLinePunct w:val="0"/>
              <w:autoSpaceDE/>
              <w:autoSpaceDN/>
              <w:bidi w:val="0"/>
              <w:adjustRightInd/>
              <w:snapToGrid w:val="0"/>
              <w:spacing w:after="0" w:line="360" w:lineRule="auto"/>
              <w:textAlignment w:val="auto"/>
              <w:rPr>
                <w:rFonts w:ascii="宋体" w:hAnsi="宋体" w:cs="宋体"/>
                <w:color w:val="auto"/>
                <w:sz w:val="21"/>
                <w:szCs w:val="21"/>
              </w:rPr>
            </w:pPr>
            <w:r>
              <w:rPr>
                <w:rFonts w:hint="eastAsia" w:ascii="宋体" w:hAnsi="宋体" w:cs="宋体"/>
                <w:color w:val="auto"/>
                <w:sz w:val="21"/>
                <w:szCs w:val="21"/>
              </w:rPr>
              <w:t>B 该项目经相关机构最终验收、备案证书或资料文件的复印件一式五份。【特殊项目才需要】</w:t>
            </w:r>
          </w:p>
          <w:p>
            <w:pPr>
              <w:snapToGrid w:val="0"/>
              <w:spacing w:line="360" w:lineRule="auto"/>
              <w:ind w:firstLine="420" w:firstLineChars="200"/>
              <w:rPr>
                <w:rFonts w:hint="eastAsia"/>
                <w:lang w:val="en-US" w:eastAsia="zh-CN"/>
              </w:rPr>
            </w:pPr>
            <w:r>
              <w:rPr>
                <w:rFonts w:ascii="宋体" w:hAnsi="宋体" w:cs="宋体"/>
                <w:color w:val="auto"/>
                <w:sz w:val="21"/>
                <w:szCs w:val="21"/>
              </w:rPr>
              <w:t>b)</w:t>
            </w:r>
            <w:r>
              <w:rPr>
                <w:rFonts w:hint="eastAsia" w:ascii="宋体" w:hAnsi="宋体" w:cs="宋体"/>
                <w:color w:val="auto"/>
                <w:sz w:val="21"/>
                <w:szCs w:val="21"/>
              </w:rPr>
              <w:t>剩余合同总金额的约</w:t>
            </w:r>
            <w:r>
              <w:rPr>
                <w:rFonts w:ascii="宋体" w:hAnsi="宋体" w:cs="宋体"/>
                <w:color w:val="auto"/>
                <w:sz w:val="21"/>
                <w:szCs w:val="21"/>
                <w:u w:val="single"/>
              </w:rPr>
              <w:t>10%</w:t>
            </w:r>
            <w:r>
              <w:rPr>
                <w:rFonts w:hint="eastAsia" w:ascii="宋体" w:hAnsi="宋体" w:cs="宋体"/>
                <w:color w:val="auto"/>
                <w:sz w:val="21"/>
                <w:szCs w:val="21"/>
              </w:rPr>
              <w:t>作为质量保证金，待该合同标的质量保证期满，经项目招标单位出具证明和必要的手续，委托方在按照规定账期</w:t>
            </w:r>
            <w:r>
              <w:rPr>
                <w:rFonts w:hint="eastAsia" w:ascii="宋体" w:hAnsi="宋体" w:cs="宋体"/>
                <w:color w:val="auto"/>
                <w:sz w:val="21"/>
                <w:szCs w:val="21"/>
                <w:lang w:eastAsia="zh-CN"/>
              </w:rPr>
              <w:t>内</w:t>
            </w:r>
            <w:r>
              <w:rPr>
                <w:rFonts w:hint="eastAsia" w:ascii="宋体" w:hAnsi="宋体" w:cs="宋体"/>
                <w:color w:val="auto"/>
                <w:sz w:val="21"/>
                <w:szCs w:val="21"/>
              </w:rPr>
              <w:t>支付给承揽方该合同价格的约</w:t>
            </w:r>
            <w:r>
              <w:rPr>
                <w:rFonts w:ascii="宋体" w:hAnsi="宋体" w:cs="宋体"/>
                <w:color w:val="auto"/>
                <w:sz w:val="21"/>
                <w:szCs w:val="21"/>
              </w:rPr>
              <w:t>10%</w:t>
            </w:r>
            <w:r>
              <w:rPr>
                <w:rFonts w:hint="eastAsia" w:ascii="宋体" w:hAnsi="宋体" w:cs="宋体"/>
                <w:color w:val="auto"/>
                <w:sz w:val="21"/>
                <w:szCs w:val="21"/>
              </w:rPr>
              <w:t>尾款（如有问题，应扣除相应部分款项）。</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8"/>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3"/>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11216"/>
      <w:bookmarkStart w:id="8" w:name="_Toc9448"/>
      <w:bookmarkStart w:id="9" w:name="_Toc27087"/>
      <w:bookmarkStart w:id="10" w:name="_Toc6577"/>
      <w:bookmarkStart w:id="11" w:name="_Toc427"/>
      <w:bookmarkStart w:id="12" w:name="_Toc19183"/>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3"/>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3"/>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3"/>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3"/>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3"/>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3"/>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3"/>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3"/>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3"/>
        <w:rPr>
          <w:rFonts w:hint="eastAsia" w:ascii="仿宋_GB2312" w:hAnsi="仿宋_GB2312" w:eastAsia="仿宋_GB2312" w:cs="仿宋_GB2312"/>
          <w:sz w:val="36"/>
          <w:szCs w:val="36"/>
        </w:rPr>
      </w:pPr>
      <w:bookmarkStart w:id="19" w:name="_Toc33267001"/>
      <w:bookmarkStart w:id="20" w:name="_Toc33266627"/>
      <w:bookmarkStart w:id="21" w:name="_Toc33265752"/>
      <w:bookmarkStart w:id="22" w:name="_Toc30534"/>
      <w:bookmarkStart w:id="23" w:name="_Toc33265653"/>
      <w:bookmarkStart w:id="24" w:name="_Toc33266914"/>
      <w:bookmarkStart w:id="25" w:name="_Toc33285487"/>
      <w:bookmarkStart w:id="26" w:name="_Toc33266950"/>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7002"/>
      <w:bookmarkStart w:id="29" w:name="_Toc33265654"/>
      <w:bookmarkStart w:id="30" w:name="_Toc33266915"/>
      <w:bookmarkStart w:id="31" w:name="_Toc395116634"/>
      <w:bookmarkStart w:id="32" w:name="_Toc33285489"/>
      <w:bookmarkStart w:id="33" w:name="_Toc33266951"/>
      <w:bookmarkStart w:id="34" w:name="_Toc33265753"/>
      <w:bookmarkStart w:id="35" w:name="_Toc33266628"/>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3"/>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3"/>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3"/>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3"/>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3"/>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9"/>
      <w:bookmarkStart w:id="39" w:name="OLE_LINK25"/>
      <w:bookmarkStart w:id="40" w:name="OLE_LINK26"/>
      <w:bookmarkStart w:id="41" w:name="OLE_LINK27"/>
      <w:bookmarkStart w:id="42" w:name="OLE_LINK28"/>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3"/>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3"/>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13479"/>
      <w:bookmarkStart w:id="45" w:name="_Toc21022"/>
      <w:bookmarkStart w:id="46" w:name="_Toc31869"/>
      <w:bookmarkStart w:id="47" w:name="_Toc13002"/>
      <w:bookmarkStart w:id="48" w:name="_Toc2363"/>
      <w:bookmarkStart w:id="49" w:name="_Toc76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3"/>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3"/>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3"/>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20" w:firstLineChars="200"/>
        <w:rPr>
          <w:rFonts w:hint="eastAsia" w:ascii="宋体" w:hAnsi="宋体" w:cs="宋体"/>
        </w:rPr>
      </w:pPr>
      <w:r>
        <w:rPr>
          <w:rFonts w:hint="eastAsia" w:ascii="宋体" w:hAnsi="宋体" w:cs="宋体"/>
        </w:rPr>
        <w:t>技术需求偏离表（格式见附件</w:t>
      </w:r>
      <w:r>
        <w:rPr>
          <w:rFonts w:hint="eastAsia" w:ascii="宋体" w:hAnsi="宋体" w:cs="宋体"/>
          <w:lang w:val="en-US" w:eastAsia="zh-CN"/>
        </w:rPr>
        <w:t>5-1</w:t>
      </w:r>
      <w:r>
        <w:rPr>
          <w:rFonts w:hint="eastAsia" w:ascii="宋体" w:hAnsi="宋体" w:cs="宋体"/>
        </w:rPr>
        <w:t>）（如投标文件的商务或技术条款响应与招标文件有偏离，需在表中注明）</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rPr>
        <w:t>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lang w:val="en-US" w:eastAsia="zh-CN"/>
        </w:rPr>
        <w:t>4</w:t>
      </w:r>
      <w:r>
        <w:rPr>
          <w:rFonts w:hint="eastAsia" w:ascii="仿宋_GB2312" w:hAnsi="仿宋_GB2312" w:eastAsia="仿宋_GB2312" w:cs="仿宋_GB2312"/>
          <w:color w:val="000000"/>
          <w:sz w:val="24"/>
          <w:szCs w:val="24"/>
        </w:rPr>
        <w:t>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3"/>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bidi w:val="0"/>
        <w:rPr>
          <w:rFonts w:hint="eastAsia"/>
        </w:rPr>
      </w:pPr>
      <w:bookmarkStart w:id="57" w:name="_Toc8032"/>
      <w:bookmarkStart w:id="58" w:name="_Toc4194"/>
      <w:bookmarkStart w:id="59" w:name="_Toc6957"/>
      <w:bookmarkStart w:id="60" w:name="_Toc24964"/>
      <w:bookmarkStart w:id="61" w:name="_Toc30738"/>
      <w:bookmarkStart w:id="62" w:name="_Toc7511"/>
      <w:bookmarkStart w:id="63" w:name="_Toc22649"/>
      <w:bookmarkStart w:id="64" w:name="_Toc12714"/>
      <w:bookmarkStart w:id="65" w:name="_Toc32378"/>
      <w:bookmarkStart w:id="66" w:name="_Toc16358"/>
      <w:bookmarkStart w:id="67" w:name="_Toc4029"/>
      <w:bookmarkStart w:id="68" w:name="_Toc28236"/>
      <w:bookmarkStart w:id="69" w:name="_Toc18606"/>
      <w:bookmarkStart w:id="70" w:name="_Toc18805"/>
      <w:bookmarkStart w:id="71" w:name="_Toc11355"/>
      <w:bookmarkStart w:id="72" w:name="_Toc23870"/>
      <w:bookmarkStart w:id="73" w:name="_Toc4532"/>
      <w:bookmarkStart w:id="74" w:name="_Toc14517"/>
      <w:bookmarkStart w:id="75" w:name="_Toc7110"/>
      <w:bookmarkStart w:id="76" w:name="_Toc13555"/>
      <w:bookmarkStart w:id="77" w:name="_Toc12552"/>
      <w:bookmarkStart w:id="78" w:name="_Toc13988"/>
      <w:bookmarkStart w:id="79" w:name="_Toc8202"/>
      <w:bookmarkStart w:id="80" w:name="_Toc6346"/>
      <w:bookmarkStart w:id="81" w:name="_Toc12563"/>
      <w:bookmarkStart w:id="82" w:name="_Toc21497"/>
      <w:bookmarkStart w:id="83" w:name="_Toc13605"/>
      <w:bookmarkStart w:id="84" w:name="_Toc18182"/>
      <w:bookmarkStart w:id="85" w:name="_Toc3565"/>
      <w:bookmarkStart w:id="86" w:name="_Toc13562"/>
      <w:bookmarkStart w:id="87" w:name="_Toc3372"/>
      <w:bookmarkStart w:id="88" w:name="_Toc19672"/>
      <w:bookmarkStart w:id="89" w:name="_Toc4483"/>
      <w:bookmarkStart w:id="90" w:name="_Toc133783966"/>
      <w:bookmarkStart w:id="91" w:name="_Toc20272"/>
      <w:bookmarkStart w:id="92" w:name="_Toc24913"/>
      <w:bookmarkStart w:id="93" w:name="_Toc20467"/>
      <w:bookmarkStart w:id="94" w:name="_Toc1884"/>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pStyle w:val="12"/>
        <w:ind w:firstLine="2811" w:firstLineChars="1000"/>
        <w:rPr>
          <w:rFonts w:hint="default"/>
          <w:b/>
          <w:bCs/>
          <w:sz w:val="28"/>
          <w:szCs w:val="28"/>
          <w:lang w:val="en-US" w:eastAsia="zh-CN"/>
        </w:rPr>
      </w:pPr>
      <w:r>
        <w:rPr>
          <w:rFonts w:hint="eastAsia"/>
          <w:b/>
          <w:bCs/>
          <w:sz w:val="28"/>
          <w:szCs w:val="28"/>
          <w:lang w:val="en-US" w:eastAsia="zh-CN"/>
        </w:rPr>
        <w:t>主要内容和基本要求</w:t>
      </w:r>
    </w:p>
    <w:p>
      <w:pPr>
        <w:keepNext w:val="0"/>
        <w:keepLines w:val="0"/>
        <w:pageBreakBefore w:val="0"/>
        <w:widowControl w:val="0"/>
        <w:kinsoku/>
        <w:wordWrap/>
        <w:overflowPunct/>
        <w:topLinePunct w:val="0"/>
        <w:autoSpaceDE/>
        <w:autoSpaceDN/>
        <w:bidi w:val="0"/>
        <w:adjustRightInd/>
        <w:spacing w:line="360" w:lineRule="auto"/>
        <w:textAlignment w:val="auto"/>
        <w:rPr>
          <w:rFonts w:ascii="宋体" w:cs="宋体"/>
          <w:b/>
          <w:bCs/>
          <w:highlight w:val="none"/>
        </w:rPr>
      </w:pPr>
      <w:bookmarkStart w:id="96" w:name="_Toc772"/>
      <w:r>
        <w:rPr>
          <w:rFonts w:hint="eastAsia" w:ascii="宋体" w:hAnsi="宋体" w:cs="宋体"/>
          <w:b/>
          <w:bCs/>
          <w:highlight w:val="none"/>
          <w:lang w:val="en-US" w:eastAsia="zh-CN"/>
        </w:rPr>
        <w:t>一、</w:t>
      </w:r>
      <w:r>
        <w:rPr>
          <w:rFonts w:hint="eastAsia" w:ascii="宋体" w:hAnsi="宋体" w:cs="宋体"/>
          <w:b/>
          <w:bCs/>
          <w:highlight w:val="none"/>
        </w:rPr>
        <w:t>项目概况</w:t>
      </w:r>
      <w:bookmarkEnd w:id="96"/>
    </w:p>
    <w:p>
      <w:pPr>
        <w:spacing w:line="480" w:lineRule="exact"/>
        <w:ind w:firstLine="420" w:firstLineChars="200"/>
        <w:rPr>
          <w:rFonts w:hint="eastAsia" w:ascii="宋体" w:hAnsi="宋体" w:cs="宋体"/>
        </w:rPr>
      </w:pPr>
      <w:bookmarkStart w:id="97" w:name="_Toc31678"/>
      <w:r>
        <w:rPr>
          <w:rFonts w:hint="eastAsia" w:ascii="宋体" w:hAnsi="宋体" w:cs="宋体"/>
          <w:highlight w:val="none"/>
          <w:lang w:val="en-US" w:eastAsia="zh-CN"/>
        </w:rPr>
        <w:t>1、</w:t>
      </w:r>
      <w:r>
        <w:rPr>
          <w:rFonts w:hint="eastAsia" w:ascii="宋体" w:hAnsi="宋体" w:cs="宋体"/>
          <w:highlight w:val="none"/>
        </w:rPr>
        <w:t>项目名称：</w:t>
      </w:r>
      <w:bookmarkEnd w:id="97"/>
      <w:r>
        <w:rPr>
          <w:rFonts w:hint="eastAsia" w:ascii="宋体" w:hAnsi="宋体" w:cs="宋体"/>
          <w:highlight w:val="none"/>
          <w:lang w:val="en-US" w:eastAsia="zh-CN"/>
        </w:rPr>
        <w:t>济南</w:t>
      </w:r>
      <w:r>
        <w:rPr>
          <w:rFonts w:ascii="宋体" w:hAnsi="宋体" w:cs="宋体"/>
        </w:rPr>
        <w:t>卡车公司莱芜厂区车身一部双悬臂三坐标维保项目</w:t>
      </w:r>
    </w:p>
    <w:p>
      <w:pPr>
        <w:pStyle w:val="12"/>
        <w:keepNext w:val="0"/>
        <w:keepLines w:val="0"/>
        <w:pageBreakBefore w:val="0"/>
        <w:widowControl w:val="0"/>
        <w:kinsoku/>
        <w:wordWrap/>
        <w:overflowPunct/>
        <w:topLinePunct w:val="0"/>
        <w:autoSpaceDE/>
        <w:autoSpaceDN/>
        <w:bidi w:val="0"/>
        <w:adjustRightInd/>
        <w:snapToGrid/>
        <w:spacing w:before="157" w:beforeLines="50"/>
        <w:textAlignment w:val="auto"/>
        <w:rPr>
          <w:rFonts w:hint="default" w:eastAsiaTheme="minorEastAsia"/>
          <w:lang w:val="en-US" w:eastAsia="zh-CN"/>
        </w:rPr>
      </w:pPr>
      <w:r>
        <w:rPr>
          <w:rFonts w:hint="eastAsia" w:ascii="宋体" w:hAnsi="宋体" w:cs="宋体"/>
          <w:highlight w:val="none"/>
          <w:lang w:val="en-US" w:eastAsia="zh-CN"/>
        </w:rPr>
        <w:t xml:space="preserve">    2、项目实施单位：中国重汽集团济南卡车股份有限公司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lang w:val="en-US" w:eastAsia="zh-CN"/>
        </w:rPr>
      </w:pPr>
      <w:bookmarkStart w:id="98" w:name="_Toc10333"/>
      <w:r>
        <w:rPr>
          <w:rFonts w:hint="eastAsia" w:ascii="宋体" w:hAnsi="宋体" w:cs="宋体"/>
          <w:lang w:val="en-US" w:eastAsia="zh-CN"/>
        </w:rPr>
        <w:t>3、</w:t>
      </w:r>
      <w:r>
        <w:rPr>
          <w:rFonts w:hint="eastAsia" w:ascii="宋体" w:hAnsi="宋体" w:cs="宋体"/>
        </w:rPr>
        <w:t>招标方式：公开招标</w:t>
      </w:r>
      <w:r>
        <w:rPr>
          <w:rFonts w:hint="eastAsia" w:ascii="宋体" w:hAnsi="宋体" w:cs="宋体"/>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宋体" w:hAnsi="宋体" w:cs="宋体"/>
          <w:highlight w:val="red"/>
          <w:lang w:val="en-US" w:eastAsia="zh-CN"/>
        </w:rPr>
      </w:pPr>
      <w:r>
        <w:rPr>
          <w:rFonts w:hint="eastAsia"/>
          <w:lang w:val="en-US" w:eastAsia="zh-CN"/>
        </w:rPr>
        <w:t>4、项目等级</w:t>
      </w:r>
      <w:r>
        <w:rPr>
          <w:rFonts w:hint="eastAsia" w:ascii="宋体" w:hAnsi="宋体" w:cs="宋体"/>
          <w:highlight w:val="none"/>
          <w:lang w:val="en-US" w:eastAsia="zh-CN"/>
        </w:rPr>
        <w:t>：</w:t>
      </w:r>
      <w:r>
        <w:rPr>
          <w:rFonts w:hint="eastAsia"/>
          <w:lang w:val="en-US" w:eastAsia="zh-CN"/>
        </w:rPr>
        <w:t xml:space="preserve">D 级     预算：9.73（万元、含税） </w:t>
      </w:r>
    </w:p>
    <w:p>
      <w:pPr>
        <w:pStyle w:val="12"/>
        <w:ind w:firstLine="420" w:firstLineChars="200"/>
        <w:rPr>
          <w:rFonts w:hint="default" w:ascii="宋体" w:hAnsi="宋体" w:cs="宋体"/>
          <w:highlight w:val="none"/>
          <w:lang w:val="en-US" w:eastAsia="zh-CN"/>
        </w:rPr>
      </w:pPr>
      <w:r>
        <w:rPr>
          <w:rFonts w:hint="eastAsia" w:ascii="宋体" w:hAnsi="宋体" w:cs="宋体"/>
          <w:highlight w:val="none"/>
          <w:lang w:val="en-US" w:eastAsia="zh-CN"/>
        </w:rPr>
        <w:t>5、业务主管部门：制造工程部      类别：设备维修    费用归口：维修费-设备</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cs="宋体"/>
          <w:b w:val="0"/>
          <w:bCs w:val="0"/>
          <w:lang w:val="en-US" w:eastAsia="zh-CN"/>
        </w:rPr>
      </w:pPr>
      <w:r>
        <w:rPr>
          <w:rFonts w:hint="eastAsia"/>
          <w:lang w:val="en-US" w:eastAsia="zh-CN"/>
        </w:rPr>
        <w:t>6、项目简介：</w:t>
      </w:r>
      <w:r>
        <w:rPr>
          <w:rFonts w:ascii="宋体" w:hAnsi="宋体" w:cs="宋体"/>
        </w:rPr>
        <w:t>莱芜工厂车身一部焊装车间三坐标间使用的双悬臂三坐标测量机，品牌海克斯康，型号</w:t>
      </w:r>
      <w:r>
        <w:rPr>
          <w:rFonts w:hint="default" w:ascii="宋体" w:hAnsi="宋体" w:cs="宋体"/>
        </w:rPr>
        <w:t>TORO-Image-60.16.30/2</w:t>
      </w:r>
      <w:r>
        <w:rPr>
          <w:rFonts w:ascii="宋体" w:hAnsi="宋体" w:cs="宋体"/>
        </w:rPr>
        <w:t>，该测量设备已使用4年未进行维保及校准，现测量结果已不准确，计量设备检验不合格。设备已偶发出现移动卡顿、触测误触发，测量过程中偶发测量结果重复性差等情况。探针随使用出现磨损及变形，需要采购补充。</w:t>
      </w:r>
    </w:p>
    <w:bookmarkEnd w:id="98"/>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highlight w:val="none"/>
        </w:rPr>
      </w:pPr>
      <w:r>
        <w:rPr>
          <w:rFonts w:hint="eastAsia" w:ascii="宋体" w:hAnsi="宋体"/>
          <w:highlight w:val="none"/>
        </w:rPr>
        <w:t>工作制度：全年工作</w:t>
      </w:r>
      <w:r>
        <w:rPr>
          <w:rFonts w:hint="eastAsia" w:ascii="宋体" w:hAnsi="宋体"/>
          <w:highlight w:val="none"/>
          <w:u w:val="single"/>
        </w:rPr>
        <w:t xml:space="preserve"> 3</w:t>
      </w:r>
      <w:r>
        <w:rPr>
          <w:rFonts w:hint="eastAsia" w:ascii="宋体" w:hAnsi="宋体"/>
          <w:highlight w:val="none"/>
          <w:u w:val="single"/>
          <w:lang w:val="en-US" w:eastAsia="zh-CN"/>
        </w:rPr>
        <w:t>65</w:t>
      </w:r>
      <w:r>
        <w:rPr>
          <w:rFonts w:hint="eastAsia" w:ascii="宋体" w:hAnsi="宋体"/>
          <w:highlight w:val="none"/>
          <w:u w:val="single"/>
        </w:rPr>
        <w:t xml:space="preserve"> </w:t>
      </w:r>
      <w:r>
        <w:rPr>
          <w:rFonts w:hint="eastAsia" w:ascii="宋体" w:hAnsi="宋体"/>
          <w:highlight w:val="none"/>
        </w:rPr>
        <w:t>天、</w:t>
      </w:r>
      <w:r>
        <w:rPr>
          <w:rFonts w:hint="eastAsia" w:ascii="宋体" w:hAnsi="宋体"/>
          <w:highlight w:val="none"/>
          <w:u w:val="single"/>
        </w:rPr>
        <w:t xml:space="preserve"> 双 </w:t>
      </w:r>
      <w:r>
        <w:rPr>
          <w:rFonts w:hint="eastAsia" w:ascii="宋体" w:hAnsi="宋体"/>
          <w:highlight w:val="none"/>
        </w:rPr>
        <w:t>班制、</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bCs/>
          <w:highlight w:val="none"/>
        </w:rPr>
      </w:pPr>
      <w:r>
        <w:rPr>
          <w:rFonts w:hint="eastAsia" w:ascii="宋体" w:hAnsi="宋体"/>
          <w:highlight w:val="none"/>
        </w:rPr>
        <w:t>使用环境：</w:t>
      </w:r>
      <w:r>
        <w:rPr>
          <w:rFonts w:hint="eastAsia" w:ascii="宋体" w:hAnsi="宋体"/>
          <w:highlight w:val="none"/>
          <w:u w:val="single"/>
        </w:rPr>
        <w:t>钢结构厂房</w:t>
      </w:r>
      <w:r>
        <w:rPr>
          <w:rFonts w:hint="eastAsia" w:ascii="宋体" w:hAnsi="宋体"/>
          <w:highlight w:val="none"/>
          <w:u w:val="single"/>
          <w:lang w:eastAsia="zh-CN"/>
        </w:rPr>
        <w:t>内部</w:t>
      </w:r>
      <w:r>
        <w:rPr>
          <w:rFonts w:hint="eastAsia" w:ascii="宋体" w:hAnsi="宋体"/>
          <w:highlight w:val="none"/>
          <w:u w:val="single"/>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ascii="宋体" w:hAnsi="宋体" w:cs="宋体"/>
          <w:bCs/>
          <w:kern w:val="1"/>
          <w:highlight w:val="none"/>
        </w:rPr>
      </w:pPr>
      <w:r>
        <w:rPr>
          <w:rFonts w:hint="eastAsia" w:ascii="宋体" w:hAnsi="宋体" w:cs="宋体"/>
          <w:bCs/>
          <w:kern w:val="1"/>
          <w:highlight w:val="none"/>
        </w:rPr>
        <w:t>1）海拔高度：1000m以下；2）环境温度-</w:t>
      </w:r>
      <w:r>
        <w:rPr>
          <w:rFonts w:hint="eastAsia" w:ascii="宋体" w:hAnsi="宋体" w:cs="宋体"/>
          <w:bCs/>
          <w:kern w:val="1"/>
          <w:highlight w:val="none"/>
          <w:lang w:val="en-US" w:eastAsia="zh-CN"/>
        </w:rPr>
        <w:t>20</w:t>
      </w:r>
      <w:r>
        <w:rPr>
          <w:rFonts w:hint="eastAsia" w:ascii="宋体" w:hAnsi="宋体" w:cs="宋体"/>
          <w:bCs/>
          <w:kern w:val="1"/>
          <w:highlight w:val="none"/>
        </w:rPr>
        <w:t>--+45℃，最大日温差：25℃；</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 xml:space="preserve">3）年平均湿度：59%       </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4）地震裂度：七度</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highlight w:val="none"/>
        </w:rPr>
      </w:pPr>
      <w:r>
        <w:rPr>
          <w:rFonts w:hint="eastAsia" w:ascii="宋体" w:hAnsi="宋体" w:cs="宋体"/>
          <w:bCs/>
          <w:kern w:val="1"/>
          <w:highlight w:val="none"/>
        </w:rPr>
        <w:t>5）使用地点：</w:t>
      </w:r>
      <w:r>
        <w:rPr>
          <w:rFonts w:hint="eastAsia" w:ascii="宋体" w:hAnsi="宋体" w:cs="宋体"/>
          <w:highlight w:val="none"/>
        </w:rPr>
        <w:t>济南卡车股份有限公司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ascii="宋体" w:hAnsi="宋体" w:cs="宋体"/>
          <w:kern w:val="1"/>
          <w:highlight w:val="none"/>
        </w:rPr>
      </w:pPr>
      <w:r>
        <w:rPr>
          <w:rFonts w:hint="eastAsia" w:ascii="宋体" w:hAnsi="宋体" w:cs="宋体"/>
          <w:bCs/>
          <w:kern w:val="1"/>
          <w:highlight w:val="none"/>
        </w:rPr>
        <w:t>6）电源：符合中国制式，供电电压：380V±15%，供电频率50</w:t>
      </w:r>
      <w:r>
        <w:rPr>
          <w:rFonts w:hint="eastAsia" w:ascii="宋体" w:hAnsi="宋体" w:cs="宋体"/>
          <w:bCs/>
          <w:kern w:val="1"/>
          <w:highlight w:val="none"/>
          <w:lang w:eastAsia="zh-CN"/>
        </w:rPr>
        <w:t>Hz</w:t>
      </w:r>
      <w:r>
        <w:rPr>
          <w:rFonts w:hint="eastAsia" w:ascii="宋体" w:hAnsi="宋体" w:cs="宋体"/>
          <w:bCs/>
          <w:kern w:val="1"/>
          <w:highlight w:val="none"/>
        </w:rPr>
        <w:t>±2%</w:t>
      </w:r>
    </w:p>
    <w:p>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highlight w:val="none"/>
          <w:lang w:val="en-US" w:eastAsia="zh-CN"/>
        </w:rPr>
        <w:t>7、技术联系人：</w:t>
      </w:r>
      <w:r>
        <w:rPr>
          <w:rFonts w:hint="eastAsia" w:ascii="宋体" w:hAnsi="宋体" w:cs="宋体"/>
          <w:bCs/>
          <w:kern w:val="1"/>
          <w:highlight w:val="none"/>
          <w:lang w:val="en-US" w:eastAsia="zh-CN"/>
        </w:rPr>
        <w:t>车身二部陈阳18263436810</w:t>
      </w:r>
    </w:p>
    <w:p>
      <w:pPr>
        <w:keepNext w:val="0"/>
        <w:keepLines w:val="0"/>
        <w:pageBreakBefore w:val="0"/>
        <w:widowControl w:val="0"/>
        <w:kinsoku/>
        <w:wordWrap/>
        <w:overflowPunct/>
        <w:topLinePunct w:val="0"/>
        <w:autoSpaceDE/>
        <w:autoSpaceDN/>
        <w:bidi w:val="0"/>
        <w:adjustRightInd w:val="0"/>
        <w:snapToGrid w:val="0"/>
        <w:spacing w:line="360" w:lineRule="auto"/>
        <w:ind w:firstLine="1470" w:firstLineChars="700"/>
        <w:textAlignment w:val="auto"/>
        <w:rPr>
          <w:rFonts w:hint="eastAsia" w:ascii="宋体" w:hAnsi="宋体" w:eastAsia="宋体" w:cs="宋体"/>
          <w:color w:val="auto"/>
          <w:sz w:val="21"/>
          <w:szCs w:val="21"/>
          <w:highlight w:val="red"/>
          <w:lang w:val="en-US" w:eastAsia="zh-CN"/>
        </w:rPr>
      </w:pPr>
    </w:p>
    <w:p>
      <w:pPr>
        <w:pStyle w:val="12"/>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pStyle w:val="13"/>
        <w:rPr>
          <w:rFonts w:hint="eastAsia" w:ascii="宋体" w:hAnsi="宋体" w:eastAsia="宋体" w:cs="宋体"/>
          <w:color w:val="auto"/>
          <w:sz w:val="21"/>
          <w:szCs w:val="21"/>
          <w:highlight w:val="red"/>
          <w:lang w:val="en-US" w:eastAsia="zh-CN"/>
        </w:rPr>
      </w:pPr>
    </w:p>
    <w:p>
      <w:pPr>
        <w:ind w:firstLine="2801" w:firstLineChars="1000"/>
        <w:jc w:val="left"/>
        <w:rPr>
          <w:rFonts w:hint="eastAsia" w:ascii="宋体" w:hAnsi="宋体" w:eastAsia="宋体"/>
          <w:b/>
          <w:sz w:val="21"/>
          <w:szCs w:val="21"/>
          <w:lang w:eastAsia="zh-CN"/>
        </w:rPr>
      </w:pPr>
      <w:r>
        <w:rPr>
          <w:rFonts w:hint="eastAsia"/>
          <w:b/>
          <w:bCs/>
          <w:sz w:val="28"/>
          <w:szCs w:val="28"/>
          <w:lang w:val="en-US" w:eastAsia="zh-CN"/>
        </w:rPr>
        <w:t>技术文件要求</w:t>
      </w:r>
    </w:p>
    <w:p>
      <w:pPr>
        <w:jc w:val="left"/>
        <w:rPr>
          <w:rFonts w:ascii="宋体" w:hAnsi="宋体" w:eastAsia="宋体"/>
          <w:b/>
          <w:sz w:val="21"/>
          <w:szCs w:val="21"/>
        </w:rPr>
      </w:pPr>
      <w:r>
        <w:rPr>
          <w:rFonts w:hint="eastAsia" w:ascii="宋体" w:hAnsi="宋体" w:eastAsia="宋体"/>
          <w:b/>
          <w:sz w:val="21"/>
          <w:szCs w:val="21"/>
          <w:lang w:val="en-US" w:eastAsia="zh-CN"/>
        </w:rPr>
        <w:t>一</w:t>
      </w:r>
      <w:r>
        <w:rPr>
          <w:rFonts w:hint="eastAsia" w:ascii="宋体" w:hAnsi="宋体"/>
          <w:b/>
          <w:sz w:val="21"/>
          <w:szCs w:val="21"/>
          <w:lang w:val="en-US" w:eastAsia="zh-CN"/>
        </w:rPr>
        <w:t>、</w:t>
      </w:r>
      <w:r>
        <w:rPr>
          <w:rFonts w:hint="eastAsia" w:ascii="宋体" w:hAnsi="宋体" w:eastAsia="宋体"/>
          <w:b/>
          <w:sz w:val="21"/>
          <w:szCs w:val="21"/>
        </w:rPr>
        <w:t>问题描述：</w:t>
      </w:r>
    </w:p>
    <w:p>
      <w:pPr>
        <w:spacing w:line="360" w:lineRule="auto"/>
        <w:ind w:firstLine="420" w:firstLineChars="200"/>
        <w:rPr>
          <w:rFonts w:ascii="宋体" w:hAnsi="宋体" w:cs="宋体"/>
        </w:rPr>
      </w:pPr>
      <w:r>
        <w:rPr>
          <w:rFonts w:ascii="宋体" w:hAnsi="宋体" w:cs="宋体"/>
        </w:rPr>
        <w:t>莱芜工厂车身一部焊装车间三坐标间使用的双悬臂三坐标测量机，品牌海克斯康，型号</w:t>
      </w:r>
      <w:r>
        <w:rPr>
          <w:rFonts w:hint="default" w:ascii="宋体" w:hAnsi="宋体" w:cs="宋体"/>
        </w:rPr>
        <w:t>TORO-Image-60.16.30/2</w:t>
      </w:r>
      <w:r>
        <w:rPr>
          <w:rFonts w:ascii="宋体" w:hAnsi="宋体" w:cs="宋体"/>
        </w:rPr>
        <w:t>，该测量设备已使用4年未进行维保及校准，现测量结果已不准确，计量设备检验不合格。设备已偶发出现移动卡顿、触测误触发，测量过程中偶发测量结果重复性差等情况。探针随使用出现磨损及变形，需要采购补充。</w:t>
      </w:r>
    </w:p>
    <w:p>
      <w:pPr>
        <w:spacing w:line="360" w:lineRule="auto"/>
        <w:ind w:firstLine="480" w:firstLineChars="200"/>
        <w:rPr>
          <w:rFonts w:hint="eastAsia" w:ascii="宋体" w:hAnsi="宋体" w:eastAsia="宋体" w:cs="宋体"/>
          <w:b/>
          <w:bCs/>
          <w:sz w:val="24"/>
          <w:szCs w:val="24"/>
          <w:highlight w:val="none"/>
        </w:rPr>
      </w:pPr>
      <w:r>
        <w:rPr>
          <w:rFonts w:hint="eastAsia" w:ascii="宋体" w:hAnsi="宋体" w:cs="宋体"/>
          <w:b/>
          <w:bCs/>
          <w:sz w:val="24"/>
          <w:szCs w:val="24"/>
          <w:highlight w:val="none"/>
          <w:lang w:val="en-US" w:eastAsia="zh-CN"/>
        </w:rPr>
        <w:t>二</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技术标准:</w:t>
      </w:r>
    </w:p>
    <w:p>
      <w:pPr>
        <w:snapToGrid w:val="0"/>
        <w:spacing w:line="360" w:lineRule="auto"/>
        <w:rPr>
          <w:rFonts w:ascii="宋体" w:hAnsi="宋体" w:cs="宋体"/>
          <w:b w:val="0"/>
          <w:bCs w:val="0"/>
        </w:rPr>
      </w:pPr>
      <w:r>
        <w:rPr>
          <w:rFonts w:hint="eastAsia" w:ascii="宋体" w:hAnsi="宋体" w:cs="宋体"/>
          <w:b w:val="0"/>
          <w:bCs w:val="0"/>
          <w:kern w:val="0"/>
        </w:rPr>
        <w:t>GB50169-2016</w:t>
      </w:r>
      <w:r>
        <w:rPr>
          <w:rFonts w:hint="eastAsia" w:ascii="宋体" w:hAnsi="宋体" w:cs="宋体"/>
          <w:b w:val="0"/>
          <w:bCs w:val="0"/>
        </w:rPr>
        <w:t>《电气装置安装工程接地装置施工及验收规范》</w:t>
      </w:r>
    </w:p>
    <w:p>
      <w:pPr>
        <w:pStyle w:val="12"/>
        <w:snapToGrid w:val="0"/>
        <w:spacing w:after="0" w:line="360" w:lineRule="auto"/>
        <w:rPr>
          <w:rFonts w:ascii="宋体" w:hAnsi="宋体" w:cs="宋体"/>
          <w:b w:val="0"/>
          <w:bCs w:val="0"/>
        </w:rPr>
      </w:pPr>
      <w:r>
        <w:rPr>
          <w:rFonts w:hint="eastAsia" w:ascii="宋体" w:hAnsi="宋体" w:cs="宋体"/>
          <w:b w:val="0"/>
          <w:bCs w:val="0"/>
        </w:rPr>
        <w:t>DB37/T1933-2011《山东省工贸企业有限空间作业安全规范》</w:t>
      </w:r>
    </w:p>
    <w:p>
      <w:pPr>
        <w:pStyle w:val="12"/>
        <w:snapToGrid w:val="0"/>
        <w:spacing w:after="0" w:line="360" w:lineRule="auto"/>
        <w:rPr>
          <w:rFonts w:ascii="宋体" w:hAnsi="宋体" w:cs="宋体"/>
          <w:b w:val="0"/>
          <w:bCs w:val="0"/>
        </w:rPr>
      </w:pPr>
      <w:r>
        <w:rPr>
          <w:rFonts w:hint="eastAsia" w:ascii="宋体" w:hAnsi="宋体" w:cs="宋体"/>
          <w:b w:val="0"/>
          <w:bCs w:val="0"/>
        </w:rPr>
        <w:t>GB8196-2018《机械设备防护罩要求》</w:t>
      </w:r>
    </w:p>
    <w:p>
      <w:pPr>
        <w:pStyle w:val="13"/>
        <w:snapToGrid w:val="0"/>
        <w:spacing w:line="360" w:lineRule="auto"/>
        <w:rPr>
          <w:rFonts w:ascii="宋体" w:hAnsi="宋体" w:cs="宋体"/>
          <w:b w:val="0"/>
          <w:bCs w:val="0"/>
        </w:rPr>
      </w:pPr>
      <w:r>
        <w:rPr>
          <w:rFonts w:hint="eastAsia" w:ascii="宋体" w:hAnsi="宋体" w:cs="宋体"/>
          <w:b w:val="0"/>
          <w:bCs w:val="0"/>
          <w:color w:val="333333"/>
          <w:shd w:val="clear" w:color="auto" w:fill="FFFFFF"/>
        </w:rPr>
        <w:t>GBZ-2010</w:t>
      </w:r>
      <w:r>
        <w:rPr>
          <w:rFonts w:hint="eastAsia" w:ascii="宋体" w:hAnsi="宋体" w:cs="宋体"/>
          <w:b w:val="0"/>
          <w:bCs w:val="0"/>
        </w:rPr>
        <w:t>《工业企业设计卫生标准》</w:t>
      </w:r>
    </w:p>
    <w:p>
      <w:pPr>
        <w:pStyle w:val="13"/>
        <w:snapToGrid w:val="0"/>
        <w:spacing w:line="360" w:lineRule="auto"/>
        <w:rPr>
          <w:rFonts w:ascii="宋体" w:hAnsi="宋体" w:cs="宋体"/>
          <w:b w:val="0"/>
          <w:bCs w:val="0"/>
        </w:rPr>
      </w:pPr>
      <w:r>
        <w:rPr>
          <w:rFonts w:hint="eastAsia" w:ascii="宋体" w:hAnsi="宋体" w:cs="宋体"/>
          <w:b w:val="0"/>
          <w:bCs w:val="0"/>
        </w:rPr>
        <w:t>GB50231-2009《机械设备安装工程施工及验收通用规范》</w:t>
      </w:r>
    </w:p>
    <w:p>
      <w:pPr>
        <w:pStyle w:val="13"/>
        <w:snapToGrid w:val="0"/>
        <w:spacing w:line="360" w:lineRule="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JGJ46-2005《施工现场临时用电安全技术规范》</w:t>
      </w:r>
    </w:p>
    <w:p>
      <w:pPr>
        <w:pStyle w:val="13"/>
        <w:snapToGrid w:val="0"/>
        <w:spacing w:line="360" w:lineRule="auto"/>
        <w:rPr>
          <w:rFonts w:hint="eastAsia" w:ascii="宋体" w:hAnsi="宋体" w:cs="宋体"/>
          <w:b w:val="0"/>
          <w:bCs w:val="0"/>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b/>
          <w:bCs/>
          <w:sz w:val="24"/>
          <w:szCs w:val="24"/>
        </w:rPr>
      </w:pPr>
      <w:r>
        <w:rPr>
          <w:rFonts w:hint="eastAsia" w:ascii="宋体" w:hAnsi="宋体" w:cs="宋体"/>
          <w:b/>
          <w:bCs/>
          <w:lang w:val="en-US" w:eastAsia="zh-CN" w:bidi="ar"/>
        </w:rPr>
        <w:t>（三）、维修方式：</w:t>
      </w:r>
      <w:r>
        <w:rPr>
          <w:rFonts w:hint="eastAsia" w:ascii="宋体" w:hAnsi="宋体"/>
          <w:b/>
          <w:bCs/>
          <w:sz w:val="24"/>
          <w:szCs w:val="24"/>
        </w:rPr>
        <w:t xml:space="preserve">  </w:t>
      </w:r>
    </w:p>
    <w:p>
      <w:pPr>
        <w:keepNext w:val="0"/>
        <w:keepLines w:val="0"/>
        <w:pageBreakBefore w:val="0"/>
        <w:widowControl w:val="0"/>
        <w:tabs>
          <w:tab w:val="center" w:pos="4153"/>
        </w:tabs>
        <w:kinsoku/>
        <w:wordWrap/>
        <w:overflowPunct/>
        <w:topLinePunct w:val="0"/>
        <w:autoSpaceDE/>
        <w:autoSpaceDN/>
        <w:bidi w:val="0"/>
        <w:adjustRightInd/>
        <w:snapToGrid/>
        <w:spacing w:line="360" w:lineRule="auto"/>
        <w:ind w:firstLine="240" w:firstLineChars="100"/>
        <w:jc w:val="left"/>
        <w:textAlignment w:val="auto"/>
        <w:rPr>
          <w:rFonts w:hint="default" w:ascii="宋体" w:hAnsi="宋体" w:eastAsia="宋体" w:cs="宋体"/>
          <w:color w:val="auto"/>
          <w:sz w:val="24"/>
          <w:szCs w:val="24"/>
          <w:lang w:val="en-US" w:eastAsia="zh-CN"/>
        </w:rPr>
      </w:pPr>
      <w:r>
        <w:rPr>
          <w:rFonts w:hint="eastAsia" w:ascii="宋体" w:hAnsi="宋体"/>
          <w:color w:val="auto"/>
          <w:sz w:val="24"/>
          <w:szCs w:val="24"/>
          <w:lang w:val="en-US" w:eastAsia="zh-CN"/>
        </w:rPr>
        <w:t>1、承揽人</w:t>
      </w:r>
      <w:r>
        <w:rPr>
          <w:rFonts w:hint="eastAsia" w:ascii="宋体" w:hAnsi="宋体"/>
          <w:color w:val="auto"/>
          <w:sz w:val="24"/>
          <w:szCs w:val="24"/>
        </w:rPr>
        <w:t>提供维</w:t>
      </w:r>
      <w:r>
        <w:rPr>
          <w:rFonts w:hint="eastAsia" w:ascii="宋体" w:hAnsi="宋体"/>
          <w:color w:val="auto"/>
          <w:sz w:val="24"/>
          <w:szCs w:val="24"/>
          <w:lang w:val="en-US" w:eastAsia="zh-CN"/>
        </w:rPr>
        <w:t>修更换</w:t>
      </w:r>
      <w:r>
        <w:rPr>
          <w:rFonts w:hint="eastAsia" w:ascii="宋体" w:hAnsi="宋体"/>
          <w:color w:val="auto"/>
          <w:sz w:val="24"/>
          <w:szCs w:val="24"/>
        </w:rPr>
        <w:t>所需的</w:t>
      </w:r>
      <w:r>
        <w:rPr>
          <w:rFonts w:hint="eastAsia" w:ascii="宋体" w:hAnsi="宋体"/>
          <w:color w:val="auto"/>
          <w:sz w:val="24"/>
          <w:szCs w:val="24"/>
          <w:lang w:val="en-US" w:eastAsia="zh-CN"/>
        </w:rPr>
        <w:t>内容（参考明细表）</w:t>
      </w:r>
      <w:r>
        <w:rPr>
          <w:rFonts w:hint="eastAsia" w:ascii="宋体" w:hAnsi="宋体"/>
          <w:color w:val="auto"/>
          <w:sz w:val="24"/>
          <w:szCs w:val="24"/>
        </w:rPr>
        <w:t>，提供维</w:t>
      </w:r>
      <w:r>
        <w:rPr>
          <w:rFonts w:hint="eastAsia" w:ascii="宋体" w:hAnsi="宋体"/>
          <w:color w:val="auto"/>
          <w:sz w:val="24"/>
          <w:szCs w:val="24"/>
          <w:lang w:val="en-US" w:eastAsia="zh-CN"/>
        </w:rPr>
        <w:t>修更换</w:t>
      </w:r>
      <w:r>
        <w:rPr>
          <w:rFonts w:hint="eastAsia" w:ascii="宋体" w:hAnsi="宋体"/>
          <w:color w:val="auto"/>
          <w:sz w:val="24"/>
          <w:szCs w:val="24"/>
        </w:rPr>
        <w:t>所用的仪器工具</w:t>
      </w:r>
      <w:r>
        <w:rPr>
          <w:rFonts w:hint="eastAsia" w:ascii="宋体" w:hAnsi="宋体"/>
          <w:color w:val="auto"/>
          <w:sz w:val="24"/>
          <w:szCs w:val="24"/>
          <w:lang w:eastAsia="zh-CN"/>
        </w:rPr>
        <w:t>，</w:t>
      </w:r>
      <w:r>
        <w:rPr>
          <w:rFonts w:hint="eastAsia" w:ascii="宋体" w:hAnsi="宋体"/>
          <w:color w:val="auto"/>
          <w:sz w:val="24"/>
          <w:szCs w:val="24"/>
          <w:lang w:val="en-US" w:eastAsia="zh-CN"/>
        </w:rPr>
        <w:t>承揽方</w:t>
      </w:r>
      <w:r>
        <w:rPr>
          <w:rFonts w:hint="eastAsia" w:ascii="宋体" w:hAnsi="宋体"/>
          <w:color w:val="auto"/>
          <w:sz w:val="24"/>
          <w:szCs w:val="24"/>
        </w:rPr>
        <w:t>派遣技术人员到现场</w:t>
      </w:r>
      <w:r>
        <w:rPr>
          <w:rFonts w:hint="eastAsia" w:ascii="宋体" w:hAnsi="宋体"/>
          <w:color w:val="auto"/>
          <w:sz w:val="24"/>
          <w:szCs w:val="24"/>
          <w:lang w:val="en-US" w:eastAsia="zh-CN"/>
        </w:rPr>
        <w:t>安装、升级、更换及</w:t>
      </w:r>
      <w:r>
        <w:rPr>
          <w:rFonts w:hint="eastAsia" w:ascii="宋体" w:hAnsi="宋体"/>
          <w:color w:val="auto"/>
          <w:sz w:val="24"/>
          <w:szCs w:val="24"/>
        </w:rPr>
        <w:t>维</w:t>
      </w:r>
      <w:r>
        <w:rPr>
          <w:rFonts w:hint="eastAsia" w:ascii="宋体" w:hAnsi="宋体"/>
          <w:color w:val="auto"/>
          <w:sz w:val="24"/>
          <w:szCs w:val="24"/>
          <w:lang w:val="en-US" w:eastAsia="zh-CN"/>
        </w:rPr>
        <w:t>修</w:t>
      </w:r>
      <w:r>
        <w:rPr>
          <w:rFonts w:hint="eastAsia" w:ascii="宋体" w:hAnsi="宋体"/>
          <w:color w:val="auto"/>
          <w:sz w:val="24"/>
          <w:szCs w:val="24"/>
        </w:rPr>
        <w:t>，</w:t>
      </w:r>
      <w:r>
        <w:rPr>
          <w:rFonts w:hint="eastAsia" w:ascii="宋体" w:hAnsi="宋体"/>
          <w:color w:val="auto"/>
          <w:sz w:val="24"/>
          <w:szCs w:val="24"/>
          <w:lang w:val="en-US" w:eastAsia="zh-CN"/>
        </w:rPr>
        <w:t>包工包料包运输，</w:t>
      </w:r>
      <w:r>
        <w:rPr>
          <w:rFonts w:hint="eastAsia" w:ascii="宋体" w:hAnsi="宋体"/>
          <w:color w:val="auto"/>
          <w:sz w:val="24"/>
          <w:szCs w:val="24"/>
        </w:rPr>
        <w:t>并对</w:t>
      </w:r>
      <w:r>
        <w:rPr>
          <w:rFonts w:hint="eastAsia" w:ascii="宋体" w:hAnsi="宋体"/>
          <w:color w:val="auto"/>
          <w:sz w:val="24"/>
          <w:szCs w:val="24"/>
          <w:lang w:val="en-US" w:eastAsia="zh-CN"/>
        </w:rPr>
        <w:t>更换</w:t>
      </w:r>
      <w:r>
        <w:rPr>
          <w:rFonts w:hint="eastAsia" w:ascii="宋体" w:hAnsi="宋体"/>
          <w:color w:val="auto"/>
          <w:sz w:val="24"/>
          <w:szCs w:val="24"/>
        </w:rPr>
        <w:t>维</w:t>
      </w:r>
      <w:r>
        <w:rPr>
          <w:rFonts w:hint="eastAsia" w:ascii="宋体" w:hAnsi="宋体"/>
          <w:color w:val="auto"/>
          <w:sz w:val="24"/>
          <w:szCs w:val="24"/>
          <w:lang w:val="en-US" w:eastAsia="zh-CN"/>
        </w:rPr>
        <w:t>修</w:t>
      </w:r>
      <w:r>
        <w:rPr>
          <w:rFonts w:hint="eastAsia" w:ascii="宋体" w:hAnsi="宋体"/>
          <w:color w:val="auto"/>
          <w:sz w:val="24"/>
          <w:szCs w:val="24"/>
        </w:rPr>
        <w:t xml:space="preserve">效果负责。  </w:t>
      </w:r>
      <w:r>
        <w:rPr>
          <w:rFonts w:hint="eastAsia" w:ascii="宋体" w:hAnsi="宋体"/>
          <w:color w:val="auto"/>
          <w:sz w:val="24"/>
          <w:szCs w:val="24"/>
          <w:lang w:val="en-US" w:eastAsia="zh-CN"/>
        </w:rPr>
        <w:t xml:space="preserve">  </w:t>
      </w:r>
    </w:p>
    <w:p>
      <w:pPr>
        <w:keepNext w:val="0"/>
        <w:keepLines w:val="0"/>
        <w:pageBreakBefore w:val="0"/>
        <w:widowControl w:val="0"/>
        <w:tabs>
          <w:tab w:val="center" w:pos="4153"/>
        </w:tabs>
        <w:kinsoku/>
        <w:wordWrap/>
        <w:overflowPunct/>
        <w:topLinePunct w:val="0"/>
        <w:autoSpaceDE/>
        <w:autoSpaceDN/>
        <w:bidi w:val="0"/>
        <w:adjustRightInd/>
        <w:snapToGrid/>
        <w:spacing w:line="360" w:lineRule="auto"/>
        <w:ind w:firstLine="240" w:firstLineChars="100"/>
        <w:jc w:val="left"/>
        <w:textAlignment w:val="auto"/>
        <w:rPr>
          <w:rFonts w:hint="eastAsia" w:ascii="宋体" w:hAnsi="宋体" w:eastAsia="宋体" w:cs="宋体"/>
          <w:b w:val="0"/>
          <w:bCs w:val="0"/>
          <w:color w:val="auto"/>
          <w:sz w:val="24"/>
          <w:szCs w:val="24"/>
          <w:lang w:val="en-US" w:eastAsia="zh-CN"/>
        </w:rPr>
      </w:pPr>
      <w:r>
        <w:rPr>
          <w:rFonts w:hint="eastAsia" w:ascii="宋体" w:hAnsi="宋体" w:cs="宋体"/>
          <w:color w:val="auto"/>
          <w:sz w:val="24"/>
          <w:szCs w:val="24"/>
          <w:lang w:val="en-US" w:eastAsia="zh-CN"/>
        </w:rPr>
        <w:t>2</w:t>
      </w:r>
      <w:r>
        <w:rPr>
          <w:rFonts w:hint="eastAsia" w:ascii="宋体" w:hAnsi="宋体" w:eastAsia="宋体" w:cs="宋体"/>
          <w:color w:val="auto"/>
          <w:sz w:val="24"/>
          <w:szCs w:val="24"/>
          <w:lang w:val="en-US" w:eastAsia="zh-CN"/>
        </w:rPr>
        <w:t>、</w:t>
      </w:r>
      <w:r>
        <w:rPr>
          <w:rFonts w:hint="eastAsia" w:ascii="宋体" w:hAnsi="宋体" w:eastAsia="宋体" w:cs="宋体"/>
          <w:b w:val="0"/>
          <w:bCs w:val="0"/>
          <w:color w:val="auto"/>
          <w:sz w:val="24"/>
          <w:szCs w:val="24"/>
        </w:rPr>
        <w:t>技术能力方面</w:t>
      </w: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熟悉设备</w:t>
      </w:r>
      <w:r>
        <w:rPr>
          <w:rFonts w:hint="eastAsia" w:ascii="宋体" w:hAnsi="宋体" w:eastAsia="宋体"/>
          <w:b w:val="0"/>
          <w:bCs w:val="0"/>
          <w:color w:val="auto"/>
          <w:sz w:val="24"/>
          <w:szCs w:val="24"/>
        </w:rPr>
        <w:t>系统</w:t>
      </w:r>
      <w:r>
        <w:rPr>
          <w:rFonts w:hint="eastAsia" w:ascii="宋体" w:hAnsi="宋体" w:cs="宋体"/>
          <w:b w:val="0"/>
          <w:bCs w:val="0"/>
          <w:color w:val="auto"/>
          <w:sz w:val="24"/>
          <w:szCs w:val="24"/>
          <w:lang w:val="en-US" w:eastAsia="zh-CN"/>
        </w:rPr>
        <w:t>工作原理、结构及控制系统</w:t>
      </w:r>
      <w:r>
        <w:rPr>
          <w:rFonts w:hint="eastAsia" w:ascii="宋体" w:hAnsi="宋体" w:eastAsia="宋体" w:cs="宋体"/>
          <w:b w:val="0"/>
          <w:bCs w:val="0"/>
          <w:color w:val="auto"/>
          <w:sz w:val="24"/>
          <w:szCs w:val="24"/>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 xml:space="preserve">  3、</w:t>
      </w:r>
      <w:r>
        <w:rPr>
          <w:rFonts w:hint="eastAsia" w:ascii="宋体" w:hAnsi="宋体" w:eastAsia="宋体"/>
          <w:b w:val="0"/>
          <w:bCs w:val="0"/>
          <w:sz w:val="24"/>
          <w:szCs w:val="24"/>
        </w:rPr>
        <w:t>对</w:t>
      </w:r>
      <w:r>
        <w:rPr>
          <w:rFonts w:hint="eastAsia" w:ascii="宋体" w:hAnsi="宋体"/>
          <w:b w:val="0"/>
          <w:bCs w:val="0"/>
          <w:sz w:val="24"/>
          <w:szCs w:val="24"/>
          <w:lang w:val="en-US" w:eastAsia="zh-CN"/>
        </w:rPr>
        <w:t>设备</w:t>
      </w:r>
      <w:r>
        <w:rPr>
          <w:rFonts w:hint="eastAsia" w:ascii="宋体" w:hAnsi="宋体" w:eastAsia="宋体"/>
          <w:b w:val="0"/>
          <w:bCs w:val="0"/>
          <w:sz w:val="24"/>
          <w:szCs w:val="24"/>
        </w:rPr>
        <w:t>系统进行专业</w:t>
      </w:r>
      <w:r>
        <w:rPr>
          <w:rFonts w:hint="eastAsia" w:ascii="宋体" w:hAnsi="宋体"/>
          <w:b w:val="0"/>
          <w:bCs w:val="0"/>
          <w:sz w:val="24"/>
          <w:szCs w:val="24"/>
          <w:lang w:val="en-US" w:eastAsia="zh-CN"/>
        </w:rPr>
        <w:t>维修</w:t>
      </w:r>
      <w:r>
        <w:rPr>
          <w:rFonts w:hint="eastAsia" w:ascii="宋体" w:hAnsi="宋体" w:eastAsia="宋体"/>
          <w:b w:val="0"/>
          <w:bCs w:val="0"/>
          <w:sz w:val="24"/>
          <w:szCs w:val="24"/>
          <w:lang w:eastAsia="zh-CN"/>
        </w:rPr>
        <w:t>，</w:t>
      </w:r>
      <w:r>
        <w:rPr>
          <w:rFonts w:hint="eastAsia" w:ascii="宋体" w:hAnsi="宋体" w:cs="宋体"/>
          <w:b w:val="0"/>
          <w:bCs w:val="0"/>
          <w:color w:val="auto"/>
          <w:sz w:val="24"/>
          <w:szCs w:val="24"/>
          <w:lang w:val="en-US" w:eastAsia="zh-CN"/>
        </w:rPr>
        <w:t>施工前承揽方先制定施工方案，经甲方评审同意后进行实施。</w:t>
      </w:r>
    </w:p>
    <w:p>
      <w:pPr>
        <w:pStyle w:val="13"/>
        <w:snapToGrid w:val="0"/>
        <w:spacing w:line="360" w:lineRule="auto"/>
        <w:rPr>
          <w:rFonts w:hint="eastAsia" w:ascii="宋体" w:hAnsi="宋体" w:cs="宋体"/>
          <w:b w:val="0"/>
          <w:bCs w:val="0"/>
        </w:rPr>
      </w:pPr>
    </w:p>
    <w:p>
      <w:pPr>
        <w:pStyle w:val="13"/>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pPr>
        <w:numPr>
          <w:ilvl w:val="0"/>
          <w:numId w:val="10"/>
        </w:numPr>
        <w:autoSpaceDE w:val="0"/>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投标单位施工前须提供详细的安全施工措施并经招标方认可，签订《安全协议》；</w:t>
      </w:r>
    </w:p>
    <w:p>
      <w:pPr>
        <w:pStyle w:val="12"/>
        <w:numPr>
          <w:ilvl w:val="0"/>
          <w:numId w:val="10"/>
        </w:numPr>
        <w:snapToGrid w:val="0"/>
        <w:spacing w:after="0" w:line="360" w:lineRule="auto"/>
        <w:rPr>
          <w:rFonts w:hint="eastAsia" w:ascii="宋体" w:hAnsi="宋体" w:eastAsia="宋体" w:cs="宋体"/>
          <w:sz w:val="24"/>
          <w:szCs w:val="24"/>
          <w:highlight w:val="none"/>
        </w:rPr>
      </w:pPr>
      <w:r>
        <w:rPr>
          <w:rFonts w:hint="eastAsia" w:ascii="宋体" w:hAnsi="宋体" w:eastAsia="宋体" w:cs="宋体"/>
          <w:bCs/>
          <w:sz w:val="24"/>
          <w:szCs w:val="24"/>
          <w:highlight w:val="none"/>
        </w:rPr>
        <w:t>投标单位对</w:t>
      </w:r>
      <w:r>
        <w:rPr>
          <w:rFonts w:hint="eastAsia" w:ascii="宋体" w:hAnsi="宋体" w:eastAsia="宋体" w:cs="宋体"/>
          <w:bCs/>
          <w:sz w:val="24"/>
          <w:szCs w:val="24"/>
          <w:highlight w:val="none"/>
          <w:lang w:val="en-US" w:eastAsia="zh-CN"/>
        </w:rPr>
        <w:t>设备</w:t>
      </w:r>
      <w:r>
        <w:rPr>
          <w:rFonts w:hint="eastAsia" w:ascii="宋体" w:hAnsi="宋体" w:eastAsia="宋体" w:cs="宋体"/>
          <w:bCs/>
          <w:sz w:val="24"/>
          <w:szCs w:val="24"/>
          <w:highlight w:val="none"/>
        </w:rPr>
        <w:t>的</w:t>
      </w:r>
      <w:r>
        <w:rPr>
          <w:rFonts w:hint="eastAsia" w:ascii="宋体" w:hAnsi="宋体" w:eastAsia="宋体" w:cs="宋体"/>
          <w:bCs/>
          <w:sz w:val="24"/>
          <w:szCs w:val="24"/>
          <w:highlight w:val="none"/>
          <w:lang w:val="en-US" w:eastAsia="zh-CN"/>
        </w:rPr>
        <w:t>改造</w:t>
      </w:r>
      <w:r>
        <w:rPr>
          <w:rFonts w:hint="eastAsia" w:ascii="宋体" w:hAnsi="宋体" w:eastAsia="宋体" w:cs="宋体"/>
          <w:bCs/>
          <w:sz w:val="24"/>
          <w:szCs w:val="24"/>
          <w:highlight w:val="none"/>
        </w:rPr>
        <w:t>和</w:t>
      </w:r>
      <w:r>
        <w:rPr>
          <w:rFonts w:hint="eastAsia" w:ascii="宋体" w:hAnsi="宋体" w:eastAsia="宋体" w:cs="宋体"/>
          <w:bCs/>
          <w:sz w:val="24"/>
          <w:szCs w:val="24"/>
          <w:highlight w:val="none"/>
          <w:lang w:val="en-US" w:eastAsia="zh-CN"/>
        </w:rPr>
        <w:t>维修</w:t>
      </w:r>
      <w:r>
        <w:rPr>
          <w:rFonts w:hint="eastAsia" w:ascii="宋体" w:hAnsi="宋体" w:eastAsia="宋体" w:cs="宋体"/>
          <w:bCs/>
          <w:sz w:val="24"/>
          <w:szCs w:val="24"/>
          <w:highlight w:val="none"/>
        </w:rPr>
        <w:t>必须严格遵循或高于所涉及的中国国家标准、行业标准执行及招标方相关规范和企业标准；</w:t>
      </w:r>
    </w:p>
    <w:p>
      <w:pPr>
        <w:pStyle w:val="13"/>
        <w:numPr>
          <w:ilvl w:val="0"/>
          <w:numId w:val="10"/>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投标单位在整个项目过程中必须严格执行招标方及国家相关安全、消防等法律、法规；</w:t>
      </w:r>
    </w:p>
    <w:p>
      <w:pPr>
        <w:pStyle w:val="13"/>
        <w:numPr>
          <w:ilvl w:val="0"/>
          <w:numId w:val="10"/>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进入现场所有的特种工必须持有操作资格证（如电工、焊工、高空作业证、有限空间作业证等）；</w:t>
      </w:r>
    </w:p>
    <w:p>
      <w:pPr>
        <w:pStyle w:val="13"/>
        <w:numPr>
          <w:ilvl w:val="0"/>
          <w:numId w:val="10"/>
        </w:numPr>
        <w:snapToGrid w:val="0"/>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保证生产及安全，需采用隔栏或围墙的形式将施工区域与生产区域隔开，</w:t>
      </w:r>
      <w:r>
        <w:rPr>
          <w:rFonts w:hint="eastAsia" w:ascii="宋体" w:hAnsi="宋体" w:eastAsia="宋体" w:cs="宋体"/>
          <w:sz w:val="24"/>
          <w:szCs w:val="24"/>
          <w:highlight w:val="none"/>
          <w:shd w:val="clear" w:color="auto" w:fill="FCFCFC"/>
        </w:rPr>
        <w:t>可靠封闭，防止围栏带电、倒塌，防止无关人员进入，并设专人值守，下班后与现场值班人员做好安全交底。</w:t>
      </w:r>
      <w:r>
        <w:rPr>
          <w:rFonts w:hint="eastAsia" w:ascii="宋体" w:hAnsi="宋体" w:eastAsia="宋体" w:cs="宋体"/>
          <w:sz w:val="24"/>
          <w:szCs w:val="24"/>
          <w:highlight w:val="none"/>
        </w:rPr>
        <w:t>不能影响生产；</w:t>
      </w:r>
    </w:p>
    <w:p>
      <w:pPr>
        <w:pStyle w:val="13"/>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6、</w:t>
      </w:r>
      <w:r>
        <w:rPr>
          <w:rFonts w:hint="eastAsia" w:ascii="宋体" w:hAnsi="宋体" w:eastAsia="宋体" w:cs="宋体"/>
          <w:sz w:val="24"/>
          <w:szCs w:val="24"/>
          <w:highlight w:val="none"/>
        </w:rPr>
        <w:t>施工前</w:t>
      </w:r>
      <w:r>
        <w:rPr>
          <w:rFonts w:hint="eastAsia" w:ascii="宋体" w:hAnsi="宋体" w:eastAsia="宋体" w:cs="宋体"/>
          <w:bCs/>
          <w:sz w:val="24"/>
          <w:szCs w:val="24"/>
          <w:highlight w:val="none"/>
        </w:rPr>
        <w:t>进入现场，需按要求办理出入证件，</w:t>
      </w:r>
      <w:r>
        <w:rPr>
          <w:rFonts w:hint="eastAsia" w:ascii="宋体" w:hAnsi="宋体" w:eastAsia="宋体" w:cs="宋体"/>
          <w:sz w:val="24"/>
          <w:szCs w:val="24"/>
          <w:highlight w:val="none"/>
          <w:shd w:val="clear" w:color="auto" w:fill="FCFCFC"/>
        </w:rPr>
        <w:t>进场施工人员相对固定，</w:t>
      </w:r>
      <w:r>
        <w:rPr>
          <w:rFonts w:hint="eastAsia" w:ascii="宋体" w:hAnsi="宋体" w:eastAsia="宋体" w:cs="宋体"/>
          <w:bCs/>
          <w:sz w:val="24"/>
          <w:szCs w:val="24"/>
          <w:highlight w:val="none"/>
        </w:rPr>
        <w:t>招标方协助相关证件的办理；须提供安全施工技术方案；</w:t>
      </w:r>
    </w:p>
    <w:p>
      <w:pPr>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7、所有进入现场的人员必须穿戴合适的劳保用品，例如劳保鞋、安全帽、带侧面保护的眼镜等，并对现场施工做安全标识、警示标识；</w:t>
      </w:r>
    </w:p>
    <w:p>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bCs/>
          <w:sz w:val="24"/>
          <w:szCs w:val="24"/>
          <w:highlight w:val="none"/>
        </w:rPr>
        <w:t>8、高处作业施工人员，严禁投掷物料，并</w:t>
      </w:r>
      <w:r>
        <w:rPr>
          <w:rFonts w:hint="eastAsia" w:ascii="宋体" w:hAnsi="宋体" w:cs="宋体"/>
          <w:bCs/>
          <w:sz w:val="24"/>
          <w:szCs w:val="24"/>
          <w:highlight w:val="none"/>
          <w:lang w:eastAsia="zh-CN"/>
        </w:rPr>
        <w:t>做好</w:t>
      </w:r>
      <w:r>
        <w:rPr>
          <w:rFonts w:hint="eastAsia" w:ascii="宋体" w:hAnsi="宋体" w:eastAsia="宋体" w:cs="宋体"/>
          <w:bCs/>
          <w:sz w:val="24"/>
          <w:szCs w:val="24"/>
          <w:highlight w:val="none"/>
        </w:rPr>
        <w:t>安全标识，做好防高处坠落、物体打击、防触电、防机械伤害的各项安全防护工作；</w:t>
      </w:r>
    </w:p>
    <w:p>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sz w:val="24"/>
          <w:szCs w:val="24"/>
          <w:highlight w:val="none"/>
        </w:rPr>
        <w:t>9、</w:t>
      </w:r>
      <w:r>
        <w:rPr>
          <w:rFonts w:hint="eastAsia" w:ascii="宋体" w:hAnsi="宋体" w:eastAsia="宋体" w:cs="宋体"/>
          <w:bCs/>
          <w:sz w:val="24"/>
          <w:szCs w:val="24"/>
          <w:highlight w:val="none"/>
        </w:rPr>
        <w:t>现场的各种安全防护设施，未经招标方批准，任何人不准随意拆改；</w:t>
      </w:r>
    </w:p>
    <w:p>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10、</w:t>
      </w:r>
      <w:r>
        <w:rPr>
          <w:rFonts w:hint="eastAsia" w:ascii="宋体" w:hAnsi="宋体" w:eastAsia="宋体" w:cs="宋体"/>
          <w:bCs/>
          <w:sz w:val="24"/>
          <w:szCs w:val="24"/>
          <w:highlight w:val="none"/>
        </w:rPr>
        <w:t>设备的安全与环保要求必须符合国家标准，在运转过程中应保证安全、可靠，无漏电、漏气现象；</w:t>
      </w:r>
    </w:p>
    <w:p>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11、</w:t>
      </w:r>
      <w:r>
        <w:rPr>
          <w:rFonts w:hint="eastAsia" w:ascii="宋体" w:hAnsi="宋体" w:eastAsia="宋体" w:cs="宋体"/>
          <w:bCs/>
          <w:sz w:val="24"/>
          <w:szCs w:val="24"/>
          <w:highlight w:val="none"/>
        </w:rPr>
        <w:t>现场施工时，必须严格遵守招标方制定的安全、防火规定和其它规章制度，遵守国家各项安全制度，并制订安全预案，文明施工，如因投标单位施工不遵守规章制度而造成的各种损失由投标单位负全责；</w:t>
      </w:r>
    </w:p>
    <w:p>
      <w:pPr>
        <w:spacing w:line="360" w:lineRule="auto"/>
        <w:rPr>
          <w:rFonts w:hint="eastAsia" w:ascii="宋体" w:hAnsi="宋体" w:eastAsia="宋体" w:cs="宋体"/>
          <w:sz w:val="24"/>
          <w:szCs w:val="24"/>
          <w:highlight w:val="none"/>
        </w:rPr>
      </w:pPr>
      <w:r>
        <w:rPr>
          <w:rFonts w:hint="eastAsia" w:ascii="宋体" w:hAnsi="宋体" w:eastAsia="宋体" w:cs="宋体"/>
          <w:bCs/>
          <w:sz w:val="24"/>
          <w:szCs w:val="24"/>
          <w:highlight w:val="none"/>
        </w:rPr>
        <w:t>12、</w:t>
      </w:r>
      <w:r>
        <w:rPr>
          <w:rFonts w:hint="eastAsia" w:ascii="宋体" w:hAnsi="宋体" w:eastAsia="宋体" w:cs="宋体"/>
          <w:sz w:val="24"/>
          <w:szCs w:val="24"/>
          <w:highlight w:val="none"/>
        </w:rPr>
        <w:t>在进入厂房前，所有的车辆，包括起重机、叉车、运营车、运输车辆等达到安全使用标准，须听从招标方指挥。</w:t>
      </w:r>
    </w:p>
    <w:p>
      <w:pPr>
        <w:pStyle w:val="12"/>
        <w:rPr>
          <w:rFonts w:hint="eastAsia"/>
        </w:rPr>
      </w:pPr>
    </w:p>
    <w:p>
      <w:pPr>
        <w:pStyle w:val="12"/>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五、</w:t>
      </w:r>
      <w:r>
        <w:rPr>
          <w:rFonts w:hint="eastAsia" w:ascii="宋体" w:hAnsi="宋体" w:eastAsia="宋体" w:cs="宋体"/>
          <w:b/>
          <w:bCs/>
          <w:sz w:val="24"/>
          <w:szCs w:val="24"/>
          <w:highlight w:val="none"/>
        </w:rPr>
        <w:t>施工基本要求：</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1、施工方须按招标方指定的时间、地点</w:t>
      </w:r>
      <w:r>
        <w:rPr>
          <w:rFonts w:hint="eastAsia" w:ascii="宋体" w:hAnsi="宋体" w:eastAsia="宋体" w:cs="宋体"/>
          <w:sz w:val="24"/>
          <w:szCs w:val="24"/>
          <w:highlight w:val="none"/>
          <w:lang w:val="en-US" w:eastAsia="zh-CN"/>
        </w:rPr>
        <w:t>进行安装、更换、维修</w:t>
      </w:r>
      <w:r>
        <w:rPr>
          <w:rFonts w:hint="eastAsia" w:ascii="宋体" w:hAnsi="宋体" w:eastAsia="宋体" w:cs="宋体"/>
          <w:sz w:val="24"/>
          <w:szCs w:val="24"/>
          <w:highlight w:val="none"/>
        </w:rPr>
        <w:t>。</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2、根据设备设施工作状况、脏污程度及设备所处的环境温度确定合理完善的施工方案。</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3、检修维护前后双方需视频记录或拍照留存，作为项目开展的实际工作及项目验收依据之一。</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4、施工方检修维护完毕后，需清理现场产生的垃圾并负责合规处置。</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5、施工方应严格按照相关规范操作并遵守卡车公司相关规章制度，切记佩戴好个人防护措施，安全作业。</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6、在维护过程中、后，由于施工方维护不当造成招标方设备、零部件损坏的、人员受伤等，由施工方承担由此造成的损失并负全部责任。</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7、施工过</w:t>
      </w:r>
      <w:r>
        <w:rPr>
          <w:rFonts w:hint="eastAsia" w:ascii="宋体" w:hAnsi="宋体" w:cs="宋体"/>
          <w:sz w:val="24"/>
          <w:szCs w:val="24"/>
          <w:highlight w:val="none"/>
          <w:lang w:eastAsia="zh-CN"/>
        </w:rPr>
        <w:t>程中</w:t>
      </w:r>
      <w:r>
        <w:rPr>
          <w:rFonts w:hint="eastAsia" w:ascii="宋体" w:hAnsi="宋体" w:eastAsia="宋体" w:cs="宋体"/>
          <w:sz w:val="24"/>
          <w:szCs w:val="24"/>
          <w:highlight w:val="none"/>
        </w:rPr>
        <w:t>必须</w:t>
      </w:r>
      <w:r>
        <w:rPr>
          <w:rFonts w:hint="eastAsia" w:ascii="宋体" w:hAnsi="宋体" w:cs="宋体"/>
          <w:sz w:val="24"/>
          <w:szCs w:val="24"/>
          <w:highlight w:val="none"/>
          <w:lang w:eastAsia="zh-CN"/>
        </w:rPr>
        <w:t>设置</w:t>
      </w:r>
      <w:r>
        <w:rPr>
          <w:rFonts w:hint="eastAsia" w:ascii="宋体" w:hAnsi="宋体" w:eastAsia="宋体" w:cs="宋体"/>
          <w:sz w:val="24"/>
          <w:szCs w:val="24"/>
          <w:highlight w:val="none"/>
        </w:rPr>
        <w:t>安全警示标识，施工人员必须经过安全技术交底，且技能素质必须符合规定要求，取得相关带电作业资质，持证上岗。</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8、在维修施工过程中，如发现问题及时汇报。</w:t>
      </w:r>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9、如因施工方产品质量问题或施工方违反安全规定、操作失误而发生的事故，一切责任由施工方承担。如因施工方安全</w:t>
      </w:r>
      <w:r>
        <w:rPr>
          <w:rFonts w:hint="eastAsia" w:ascii="宋体" w:hAnsi="宋体" w:cs="宋体"/>
          <w:sz w:val="24"/>
          <w:szCs w:val="24"/>
          <w:highlight w:val="none"/>
          <w:lang w:eastAsia="zh-CN"/>
        </w:rPr>
        <w:t>措施不力</w:t>
      </w:r>
      <w:r>
        <w:rPr>
          <w:rFonts w:hint="eastAsia" w:ascii="宋体" w:hAnsi="宋体" w:eastAsia="宋体" w:cs="宋体"/>
          <w:sz w:val="24"/>
          <w:szCs w:val="24"/>
          <w:highlight w:val="none"/>
        </w:rPr>
        <w:t>造成事故的责任和因此发生的一切费用均由施工方承担；</w:t>
      </w:r>
    </w:p>
    <w:p>
      <w:pPr>
        <w:spacing w:line="240" w:lineRule="auto"/>
        <w:ind w:firstLine="0" w:firstLineChars="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六、按照招标方的时间要求，完成以下维修工作内容：</w:t>
      </w:r>
    </w:p>
    <w:p>
      <w:pPr>
        <w:spacing w:line="360" w:lineRule="auto"/>
        <w:ind w:firstLine="360" w:firstLineChars="150"/>
        <w:rPr>
          <w:rFonts w:hint="eastAsia" w:ascii="宋体" w:hAnsi="宋体" w:cs="宋体"/>
          <w:sz w:val="24"/>
          <w:szCs w:val="24"/>
          <w:highlight w:val="none"/>
          <w:lang w:eastAsia="zh-CN"/>
        </w:rPr>
      </w:pPr>
      <w:r>
        <w:rPr>
          <w:rFonts w:hint="eastAsia" w:ascii="宋体" w:hAnsi="宋体" w:cs="宋体"/>
          <w:sz w:val="24"/>
          <w:szCs w:val="24"/>
          <w:highlight w:val="none"/>
          <w:lang w:val="en-US" w:eastAsia="zh-CN"/>
        </w:rPr>
        <w:t>1、</w:t>
      </w:r>
      <w:r>
        <w:rPr>
          <w:rFonts w:hint="eastAsia" w:ascii="宋体" w:hAnsi="宋体" w:cs="宋体"/>
          <w:sz w:val="24"/>
          <w:szCs w:val="24"/>
          <w:highlight w:val="none"/>
          <w:lang w:eastAsia="zh-CN"/>
        </w:rPr>
        <w:t>更换力传感器，对力传感器进行同轴度校准</w:t>
      </w:r>
    </w:p>
    <w:p>
      <w:pPr>
        <w:pStyle w:val="13"/>
        <w:keepNext w:val="0"/>
        <w:keepLines w:val="0"/>
        <w:pageBreakBefore w:val="0"/>
        <w:widowControl w:val="0"/>
        <w:numPr>
          <w:ilvl w:val="0"/>
          <w:numId w:val="0"/>
        </w:numPr>
        <w:kinsoku/>
        <w:wordWrap/>
        <w:overflowPunct/>
        <w:topLinePunct w:val="0"/>
        <w:bidi w:val="0"/>
        <w:snapToGrid/>
        <w:spacing w:line="24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2、维修的参考明细表：</w:t>
      </w:r>
    </w:p>
    <w:tbl>
      <w:tblPr>
        <w:tblStyle w:val="42"/>
        <w:tblW w:w="9080" w:type="dxa"/>
        <w:tblInd w:w="93" w:type="dxa"/>
        <w:tblLayout w:type="fixed"/>
        <w:tblCellMar>
          <w:top w:w="0" w:type="dxa"/>
          <w:left w:w="108" w:type="dxa"/>
          <w:bottom w:w="0" w:type="dxa"/>
          <w:right w:w="108" w:type="dxa"/>
        </w:tblCellMar>
      </w:tblPr>
      <w:tblGrid>
        <w:gridCol w:w="709"/>
        <w:gridCol w:w="2004"/>
        <w:gridCol w:w="1149"/>
        <w:gridCol w:w="1290"/>
        <w:gridCol w:w="1690"/>
        <w:gridCol w:w="792"/>
        <w:gridCol w:w="731"/>
        <w:gridCol w:w="98"/>
        <w:gridCol w:w="617"/>
      </w:tblGrid>
      <w:tr>
        <w:tblPrEx>
          <w:tblCellMar>
            <w:top w:w="0" w:type="dxa"/>
            <w:left w:w="108" w:type="dxa"/>
            <w:bottom w:w="0" w:type="dxa"/>
            <w:right w:w="108" w:type="dxa"/>
          </w:tblCellMar>
        </w:tblPrEx>
        <w:trPr>
          <w:trHeight w:val="633" w:hRule="atLeast"/>
        </w:trPr>
        <w:tc>
          <w:tcPr>
            <w:tcW w:w="9080" w:type="dxa"/>
            <w:gridSpan w:val="9"/>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eastAsia="宋体" w:cs="宋体"/>
                <w:b/>
                <w:color w:val="000000"/>
                <w:kern w:val="0"/>
                <w:sz w:val="24"/>
                <w:szCs w:val="24"/>
                <w:lang w:val="en-US" w:eastAsia="zh-CN" w:bidi="ar"/>
              </w:rPr>
            </w:pPr>
            <w:r>
              <w:rPr>
                <w:rFonts w:hint="eastAsia" w:ascii="宋体" w:hAnsi="宋体" w:cs="宋体"/>
                <w:b/>
                <w:color w:val="000000"/>
                <w:kern w:val="0"/>
                <w:sz w:val="24"/>
                <w:szCs w:val="24"/>
                <w:lang w:val="en-US" w:eastAsia="zh-CN" w:bidi="ar"/>
              </w:rPr>
              <w:t>材料费用</w:t>
            </w: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default" w:cs="宋体"/>
                <w:b/>
                <w:color w:val="000000"/>
                <w:sz w:val="24"/>
                <w:szCs w:val="24"/>
              </w:rPr>
            </w:pPr>
            <w:r>
              <w:rPr>
                <w:rFonts w:ascii="宋体" w:hAnsi="宋体" w:cs="宋体"/>
                <w:b/>
                <w:color w:val="000000"/>
                <w:kern w:val="0"/>
                <w:sz w:val="24"/>
                <w:szCs w:val="24"/>
                <w:lang w:bidi="ar"/>
              </w:rPr>
              <w:t>序号</w:t>
            </w:r>
          </w:p>
        </w:tc>
        <w:tc>
          <w:tcPr>
            <w:tcW w:w="2004"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default" w:cs="宋体"/>
                <w:b/>
                <w:color w:val="000000"/>
                <w:sz w:val="24"/>
                <w:szCs w:val="24"/>
              </w:rPr>
            </w:pPr>
            <w:r>
              <w:rPr>
                <w:rFonts w:ascii="宋体" w:hAnsi="宋体" w:cs="宋体"/>
                <w:b/>
                <w:color w:val="000000"/>
                <w:kern w:val="0"/>
                <w:sz w:val="24"/>
                <w:szCs w:val="24"/>
                <w:lang w:bidi="ar"/>
              </w:rPr>
              <w:t>项目</w:t>
            </w:r>
          </w:p>
        </w:tc>
        <w:tc>
          <w:tcPr>
            <w:tcW w:w="2439" w:type="dxa"/>
            <w:gridSpan w:val="2"/>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ascii="宋体" w:hAnsi="宋体" w:cs="宋体"/>
                <w:b/>
                <w:color w:val="000000"/>
                <w:kern w:val="0"/>
                <w:sz w:val="24"/>
                <w:szCs w:val="24"/>
                <w:lang w:bidi="ar"/>
              </w:rPr>
            </w:pPr>
            <w:r>
              <w:rPr>
                <w:rFonts w:ascii="宋体" w:hAnsi="宋体" w:cs="宋体"/>
                <w:b/>
                <w:color w:val="000000"/>
                <w:kern w:val="0"/>
                <w:sz w:val="24"/>
                <w:szCs w:val="24"/>
                <w:lang w:bidi="ar"/>
              </w:rPr>
              <w:t>规格型号</w:t>
            </w:r>
          </w:p>
        </w:tc>
        <w:tc>
          <w:tcPr>
            <w:tcW w:w="1690"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ascii="宋体" w:hAnsi="宋体" w:cs="宋体"/>
                <w:b/>
                <w:color w:val="000000"/>
                <w:kern w:val="0"/>
                <w:sz w:val="24"/>
                <w:szCs w:val="24"/>
                <w:lang w:bidi="ar"/>
              </w:rPr>
            </w:pPr>
            <w:r>
              <w:rPr>
                <w:rFonts w:ascii="宋体" w:hAnsi="宋体" w:cs="宋体"/>
                <w:b/>
                <w:color w:val="000000"/>
                <w:kern w:val="0"/>
                <w:sz w:val="24"/>
                <w:szCs w:val="24"/>
                <w:lang w:bidi="ar"/>
              </w:rPr>
              <w:t>品牌</w:t>
            </w:r>
          </w:p>
        </w:tc>
        <w:tc>
          <w:tcPr>
            <w:tcW w:w="792"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eastAsia="宋体" w:cs="宋体"/>
                <w:b/>
                <w:color w:val="000000"/>
                <w:sz w:val="24"/>
                <w:szCs w:val="24"/>
                <w:lang w:eastAsia="zh-CN"/>
              </w:rPr>
            </w:pPr>
            <w:r>
              <w:rPr>
                <w:rFonts w:hint="eastAsia" w:ascii="宋体" w:hAnsi="宋体" w:cs="宋体"/>
                <w:b/>
                <w:color w:val="000000"/>
                <w:kern w:val="0"/>
                <w:sz w:val="24"/>
                <w:szCs w:val="24"/>
                <w:lang w:val="en-US" w:eastAsia="zh-CN" w:bidi="ar"/>
              </w:rPr>
              <w:t>单位</w:t>
            </w:r>
          </w:p>
        </w:tc>
        <w:tc>
          <w:tcPr>
            <w:tcW w:w="829" w:type="dxa"/>
            <w:gridSpan w:val="2"/>
            <w:tcBorders>
              <w:top w:val="single" w:color="000000" w:sz="4" w:space="0"/>
              <w:left w:val="single" w:color="000000" w:sz="4" w:space="0"/>
              <w:bottom w:val="single" w:color="auto" w:sz="4" w:space="0"/>
              <w:right w:val="single" w:color="000000" w:sz="4" w:space="0"/>
              <w:tl2br w:val="nil"/>
              <w:tr2bl w:val="nil"/>
            </w:tcBorders>
            <w:vAlign w:val="center"/>
          </w:tcPr>
          <w:p>
            <w:pPr>
              <w:widowControl/>
              <w:jc w:val="center"/>
              <w:textAlignment w:val="center"/>
              <w:rPr>
                <w:rFonts w:hint="default" w:cs="宋体"/>
                <w:b/>
                <w:color w:val="000000"/>
                <w:sz w:val="24"/>
                <w:szCs w:val="24"/>
              </w:rPr>
            </w:pPr>
            <w:r>
              <w:rPr>
                <w:rFonts w:ascii="宋体" w:hAnsi="宋体" w:cs="宋体"/>
                <w:b/>
                <w:color w:val="000000"/>
                <w:kern w:val="0"/>
                <w:sz w:val="24"/>
                <w:szCs w:val="24"/>
                <w:lang w:bidi="ar"/>
              </w:rPr>
              <w:t>数量</w:t>
            </w:r>
          </w:p>
        </w:tc>
        <w:tc>
          <w:tcPr>
            <w:tcW w:w="617" w:type="dxa"/>
            <w:tcBorders>
              <w:top w:val="single" w:color="000000" w:sz="4" w:space="0"/>
              <w:left w:val="single" w:color="000000" w:sz="4" w:space="0"/>
              <w:bottom w:val="single" w:color="auto" w:sz="4" w:space="0"/>
              <w:right w:val="single" w:color="000000" w:sz="4" w:space="0"/>
              <w:tl2br w:val="nil"/>
              <w:tr2bl w:val="nil"/>
            </w:tcBorders>
            <w:vAlign w:val="center"/>
          </w:tcPr>
          <w:p>
            <w:pPr>
              <w:widowControl/>
              <w:jc w:val="center"/>
              <w:textAlignment w:val="center"/>
              <w:rPr>
                <w:rFonts w:hint="default" w:cs="宋体"/>
                <w:b/>
                <w:color w:val="000000"/>
                <w:sz w:val="24"/>
                <w:szCs w:val="24"/>
              </w:rPr>
            </w:pPr>
            <w:r>
              <w:rPr>
                <w:rFonts w:ascii="宋体" w:hAnsi="宋体" w:cs="宋体"/>
                <w:b/>
                <w:color w:val="000000"/>
                <w:kern w:val="0"/>
                <w:sz w:val="24"/>
                <w:szCs w:val="24"/>
                <w:lang w:bidi="ar"/>
              </w:rPr>
              <w:t>备注</w:t>
            </w: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nil"/>
              <w:tl2br w:val="nil"/>
              <w:tr2bl w:val="nil"/>
            </w:tcBorders>
            <w:vAlign w:val="center"/>
          </w:tcPr>
          <w:p>
            <w:pPr>
              <w:widowControl/>
              <w:jc w:val="center"/>
              <w:textAlignment w:val="center"/>
              <w:rPr>
                <w:rFonts w:hint="default" w:cs="宋体"/>
                <w:color w:val="000000"/>
                <w:sz w:val="24"/>
                <w:szCs w:val="24"/>
              </w:rPr>
            </w:pPr>
            <w:r>
              <w:rPr>
                <w:rFonts w:ascii="等线" w:hAnsi="等线" w:eastAsia="等线" w:cs="等线"/>
                <w:color w:val="000000"/>
                <w:kern w:val="0"/>
                <w:sz w:val="24"/>
                <w:szCs w:val="24"/>
                <w:lang w:bidi="ar"/>
              </w:rPr>
              <w:t>1</w:t>
            </w:r>
          </w:p>
        </w:tc>
        <w:tc>
          <w:tcPr>
            <w:tcW w:w="200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红宝石测针</w:t>
            </w:r>
          </w:p>
        </w:tc>
        <w:tc>
          <w:tcPr>
            <w:tcW w:w="2439" w:type="dxa"/>
            <w:gridSpan w:val="2"/>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TIP3BY20MM</w:t>
            </w:r>
          </w:p>
        </w:tc>
        <w:tc>
          <w:tcPr>
            <w:tcW w:w="1690"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海克斯康</w:t>
            </w:r>
          </w:p>
        </w:tc>
        <w:tc>
          <w:tcPr>
            <w:tcW w:w="792"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hint="eastAsia" w:asciiTheme="minorEastAsia" w:hAnsiTheme="minorEastAsia" w:eastAsiaTheme="minorEastAsia"/>
                <w:sz w:val="24"/>
                <w:szCs w:val="24"/>
                <w:lang w:val="en-US" w:eastAsia="zh-CN"/>
              </w:rPr>
              <w:t>个</w:t>
            </w:r>
          </w:p>
        </w:tc>
        <w:tc>
          <w:tcPr>
            <w:tcW w:w="829" w:type="dxa"/>
            <w:gridSpan w:val="2"/>
            <w:tcBorders>
              <w:top w:val="single" w:color="auto" w:sz="4" w:space="0"/>
              <w:left w:val="single" w:color="auto" w:sz="4" w:space="0"/>
              <w:bottom w:val="single" w:color="auto" w:sz="4" w:space="0"/>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4</w:t>
            </w:r>
          </w:p>
        </w:tc>
        <w:tc>
          <w:tcPr>
            <w:tcW w:w="617" w:type="dxa"/>
            <w:tcBorders>
              <w:top w:val="single" w:color="auto" w:sz="4" w:space="0"/>
              <w:left w:val="single" w:color="auto" w:sz="4" w:space="0"/>
              <w:bottom w:val="single" w:color="auto" w:sz="4" w:space="0"/>
              <w:right w:val="single" w:color="auto" w:sz="4" w:space="0"/>
              <w:tl2br w:val="nil"/>
              <w:tr2bl w:val="nil"/>
            </w:tcBorders>
            <w:vAlign w:val="center"/>
          </w:tcPr>
          <w:p>
            <w:pPr>
              <w:widowControl/>
              <w:jc w:val="center"/>
              <w:textAlignment w:val="center"/>
              <w:rPr>
                <w:rFonts w:cs="宋体" w:asciiTheme="minorEastAsia" w:hAnsiTheme="minorEastAsia" w:eastAsiaTheme="minorEastAsia"/>
                <w:color w:val="000000"/>
                <w:sz w:val="24"/>
                <w:szCs w:val="24"/>
              </w:rPr>
            </w:pP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nil"/>
              <w:tl2br w:val="nil"/>
              <w:tr2bl w:val="nil"/>
            </w:tcBorders>
            <w:vAlign w:val="center"/>
          </w:tcPr>
          <w:p>
            <w:pPr>
              <w:widowControl/>
              <w:jc w:val="center"/>
              <w:textAlignment w:val="center"/>
              <w:rPr>
                <w:rFonts w:ascii="等线" w:hAnsi="等线" w:eastAsia="等线" w:cs="等线"/>
                <w:color w:val="000000"/>
                <w:kern w:val="0"/>
                <w:sz w:val="24"/>
                <w:szCs w:val="24"/>
                <w:lang w:bidi="ar"/>
              </w:rPr>
            </w:pPr>
            <w:r>
              <w:rPr>
                <w:rFonts w:ascii="等线" w:hAnsi="等线" w:eastAsia="等线" w:cs="等线"/>
                <w:color w:val="000000"/>
                <w:kern w:val="0"/>
                <w:sz w:val="24"/>
                <w:szCs w:val="24"/>
                <w:lang w:bidi="ar"/>
              </w:rPr>
              <w:t>2</w:t>
            </w:r>
          </w:p>
        </w:tc>
        <w:tc>
          <w:tcPr>
            <w:tcW w:w="200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红宝石测针</w:t>
            </w:r>
          </w:p>
        </w:tc>
        <w:tc>
          <w:tcPr>
            <w:tcW w:w="2439" w:type="dxa"/>
            <w:gridSpan w:val="2"/>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TIP2BY20MM</w:t>
            </w:r>
          </w:p>
        </w:tc>
        <w:tc>
          <w:tcPr>
            <w:tcW w:w="1690"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海克斯康</w:t>
            </w:r>
          </w:p>
        </w:tc>
        <w:tc>
          <w:tcPr>
            <w:tcW w:w="792"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hint="eastAsia" w:asciiTheme="minorEastAsia" w:hAnsiTheme="minorEastAsia" w:eastAsiaTheme="minorEastAsia"/>
                <w:sz w:val="24"/>
                <w:szCs w:val="24"/>
                <w:lang w:val="en-US" w:eastAsia="zh-CN"/>
              </w:rPr>
              <w:t>个</w:t>
            </w:r>
          </w:p>
        </w:tc>
        <w:tc>
          <w:tcPr>
            <w:tcW w:w="829" w:type="dxa"/>
            <w:gridSpan w:val="2"/>
            <w:tcBorders>
              <w:top w:val="single" w:color="auto" w:sz="4" w:space="0"/>
              <w:left w:val="single" w:color="auto" w:sz="4" w:space="0"/>
              <w:bottom w:val="single" w:color="auto" w:sz="4" w:space="0"/>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4</w:t>
            </w:r>
          </w:p>
        </w:tc>
        <w:tc>
          <w:tcPr>
            <w:tcW w:w="617" w:type="dxa"/>
            <w:tcBorders>
              <w:top w:val="single" w:color="auto" w:sz="4" w:space="0"/>
              <w:left w:val="single" w:color="auto" w:sz="4" w:space="0"/>
              <w:bottom w:val="single" w:color="auto" w:sz="4" w:space="0"/>
              <w:right w:val="single" w:color="auto" w:sz="4" w:space="0"/>
              <w:tl2br w:val="nil"/>
              <w:tr2bl w:val="nil"/>
            </w:tcBorders>
            <w:vAlign w:val="center"/>
          </w:tcPr>
          <w:p>
            <w:pPr>
              <w:widowControl/>
              <w:jc w:val="center"/>
              <w:textAlignment w:val="center"/>
              <w:rPr>
                <w:rFonts w:cs="宋体" w:asciiTheme="minorEastAsia" w:hAnsiTheme="minorEastAsia" w:eastAsiaTheme="minorEastAsia"/>
                <w:i/>
                <w:iCs/>
                <w:color w:val="000000"/>
                <w:sz w:val="24"/>
                <w:szCs w:val="24"/>
              </w:rPr>
            </w:pP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nil"/>
              <w:tl2br w:val="nil"/>
              <w:tr2bl w:val="nil"/>
            </w:tcBorders>
            <w:vAlign w:val="center"/>
          </w:tcPr>
          <w:p>
            <w:pPr>
              <w:widowControl/>
              <w:jc w:val="center"/>
              <w:textAlignment w:val="center"/>
              <w:rPr>
                <w:rFonts w:ascii="等线" w:hAnsi="等线" w:eastAsia="等线" w:cs="等线"/>
                <w:color w:val="000000"/>
                <w:kern w:val="0"/>
                <w:sz w:val="24"/>
                <w:szCs w:val="24"/>
                <w:lang w:bidi="ar"/>
              </w:rPr>
            </w:pPr>
            <w:r>
              <w:rPr>
                <w:rFonts w:ascii="等线" w:hAnsi="等线" w:eastAsia="等线" w:cs="等线"/>
                <w:color w:val="000000"/>
                <w:kern w:val="0"/>
                <w:sz w:val="24"/>
                <w:szCs w:val="24"/>
                <w:lang w:bidi="ar"/>
              </w:rPr>
              <w:t>3</w:t>
            </w:r>
          </w:p>
        </w:tc>
        <w:tc>
          <w:tcPr>
            <w:tcW w:w="200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测针加长杆</w:t>
            </w:r>
          </w:p>
        </w:tc>
        <w:tc>
          <w:tcPr>
            <w:tcW w:w="2439" w:type="dxa"/>
            <w:gridSpan w:val="2"/>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EXTEN20MM</w:t>
            </w:r>
          </w:p>
        </w:tc>
        <w:tc>
          <w:tcPr>
            <w:tcW w:w="1690"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海克斯康</w:t>
            </w:r>
          </w:p>
        </w:tc>
        <w:tc>
          <w:tcPr>
            <w:tcW w:w="792"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hint="eastAsia" w:asciiTheme="minorEastAsia" w:hAnsiTheme="minorEastAsia" w:eastAsiaTheme="minorEastAsia"/>
                <w:sz w:val="24"/>
                <w:szCs w:val="24"/>
                <w:lang w:val="en-US" w:eastAsia="zh-CN"/>
              </w:rPr>
              <w:t>个</w:t>
            </w:r>
          </w:p>
        </w:tc>
        <w:tc>
          <w:tcPr>
            <w:tcW w:w="829" w:type="dxa"/>
            <w:gridSpan w:val="2"/>
            <w:tcBorders>
              <w:top w:val="single" w:color="auto" w:sz="4" w:space="0"/>
              <w:left w:val="single" w:color="auto" w:sz="4" w:space="0"/>
              <w:bottom w:val="single" w:color="auto" w:sz="4" w:space="0"/>
              <w:right w:val="single" w:color="auto"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2</w:t>
            </w:r>
          </w:p>
        </w:tc>
        <w:tc>
          <w:tcPr>
            <w:tcW w:w="617" w:type="dxa"/>
            <w:tcBorders>
              <w:top w:val="single" w:color="auto" w:sz="4" w:space="0"/>
              <w:left w:val="single" w:color="auto" w:sz="4" w:space="0"/>
              <w:bottom w:val="single" w:color="auto" w:sz="4" w:space="0"/>
              <w:right w:val="single" w:color="auto" w:sz="4" w:space="0"/>
              <w:tl2br w:val="nil"/>
              <w:tr2bl w:val="nil"/>
            </w:tcBorders>
            <w:vAlign w:val="center"/>
          </w:tcPr>
          <w:p>
            <w:pPr>
              <w:widowControl/>
              <w:jc w:val="center"/>
              <w:textAlignment w:val="center"/>
              <w:rPr>
                <w:rFonts w:cs="宋体" w:asciiTheme="minorEastAsia" w:hAnsiTheme="minorEastAsia" w:eastAsiaTheme="minorEastAsia"/>
                <w:i/>
                <w:iCs/>
                <w:color w:val="000000"/>
                <w:sz w:val="24"/>
                <w:szCs w:val="24"/>
              </w:rPr>
            </w:pP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nil"/>
              <w:tl2br w:val="nil"/>
              <w:tr2bl w:val="nil"/>
            </w:tcBorders>
            <w:vAlign w:val="center"/>
          </w:tcPr>
          <w:p>
            <w:pPr>
              <w:widowControl/>
              <w:jc w:val="center"/>
              <w:textAlignment w:val="center"/>
              <w:rPr>
                <w:rFonts w:ascii="等线" w:hAnsi="等线" w:eastAsia="等线" w:cs="等线"/>
                <w:color w:val="000000"/>
                <w:kern w:val="0"/>
                <w:sz w:val="24"/>
                <w:szCs w:val="24"/>
                <w:lang w:bidi="ar"/>
              </w:rPr>
            </w:pPr>
            <w:r>
              <w:rPr>
                <w:rFonts w:ascii="等线" w:hAnsi="等线" w:eastAsia="等线" w:cs="等线"/>
                <w:color w:val="000000"/>
                <w:kern w:val="0"/>
                <w:sz w:val="24"/>
                <w:szCs w:val="24"/>
                <w:lang w:bidi="ar"/>
              </w:rPr>
              <w:t>4</w:t>
            </w:r>
          </w:p>
        </w:tc>
        <w:tc>
          <w:tcPr>
            <w:tcW w:w="200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测针加长杆</w:t>
            </w:r>
          </w:p>
        </w:tc>
        <w:tc>
          <w:tcPr>
            <w:tcW w:w="2439" w:type="dxa"/>
            <w:gridSpan w:val="2"/>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EXTEN5WAY</w:t>
            </w:r>
          </w:p>
        </w:tc>
        <w:tc>
          <w:tcPr>
            <w:tcW w:w="1690"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asciiTheme="minorEastAsia" w:hAnsiTheme="minorEastAsia" w:eastAsiaTheme="minorEastAsia"/>
                <w:sz w:val="24"/>
                <w:szCs w:val="24"/>
              </w:rPr>
              <w:t>海克斯康</w:t>
            </w:r>
          </w:p>
        </w:tc>
        <w:tc>
          <w:tcPr>
            <w:tcW w:w="792" w:type="dxa"/>
            <w:tcBorders>
              <w:top w:val="single" w:color="000000" w:sz="4" w:space="0"/>
              <w:left w:val="single" w:color="000000" w:sz="4" w:space="0"/>
              <w:bottom w:val="nil"/>
              <w:right w:val="single" w:color="auto" w:sz="4" w:space="0"/>
              <w:tl2br w:val="nil"/>
              <w:tr2bl w:val="nil"/>
            </w:tcBorders>
            <w:noWrap/>
            <w:vAlign w:val="center"/>
          </w:tcPr>
          <w:p>
            <w:pPr>
              <w:widowControl/>
              <w:jc w:val="center"/>
              <w:textAlignment w:val="center"/>
              <w:rPr>
                <w:rFonts w:cs="宋体" w:asciiTheme="minorEastAsia" w:hAnsiTheme="minorEastAsia" w:eastAsiaTheme="minorEastAsia"/>
                <w:color w:val="000000"/>
                <w:sz w:val="24"/>
                <w:szCs w:val="24"/>
              </w:rPr>
            </w:pPr>
            <w:r>
              <w:rPr>
                <w:rFonts w:hint="eastAsia" w:asciiTheme="minorEastAsia" w:hAnsiTheme="minorEastAsia" w:eastAsiaTheme="minorEastAsia"/>
                <w:sz w:val="24"/>
                <w:szCs w:val="24"/>
                <w:lang w:val="en-US" w:eastAsia="zh-CN"/>
              </w:rPr>
              <w:t>个</w:t>
            </w:r>
          </w:p>
        </w:tc>
        <w:tc>
          <w:tcPr>
            <w:tcW w:w="829" w:type="dxa"/>
            <w:gridSpan w:val="2"/>
            <w:tcBorders>
              <w:top w:val="single" w:color="auto" w:sz="4" w:space="0"/>
              <w:left w:val="single" w:color="auto" w:sz="4" w:space="0"/>
              <w:bottom w:val="single" w:color="auto" w:sz="4" w:space="0"/>
              <w:right w:val="single" w:color="auto" w:sz="4" w:space="0"/>
              <w:tl2br w:val="nil"/>
              <w:tr2bl w:val="nil"/>
            </w:tcBorders>
            <w:noWrap/>
            <w:vAlign w:val="center"/>
          </w:tcPr>
          <w:p>
            <w:pPr>
              <w:widowControl/>
              <w:jc w:val="center"/>
              <w:textAlignment w:val="center"/>
              <w:rPr>
                <w:rFonts w:cs="等线" w:asciiTheme="minorEastAsia" w:hAnsiTheme="minorEastAsia" w:eastAsiaTheme="minorEastAsia"/>
                <w:color w:val="000000"/>
                <w:kern w:val="0"/>
                <w:sz w:val="24"/>
                <w:szCs w:val="24"/>
                <w:lang w:bidi="ar"/>
              </w:rPr>
            </w:pPr>
            <w:r>
              <w:rPr>
                <w:rFonts w:asciiTheme="minorEastAsia" w:hAnsiTheme="minorEastAsia" w:eastAsiaTheme="minorEastAsia"/>
                <w:sz w:val="24"/>
                <w:szCs w:val="24"/>
              </w:rPr>
              <w:t>2</w:t>
            </w:r>
          </w:p>
        </w:tc>
        <w:tc>
          <w:tcPr>
            <w:tcW w:w="617" w:type="dxa"/>
            <w:tcBorders>
              <w:top w:val="single" w:color="auto" w:sz="4" w:space="0"/>
              <w:left w:val="single" w:color="auto" w:sz="4" w:space="0"/>
              <w:bottom w:val="single" w:color="auto" w:sz="4" w:space="0"/>
              <w:right w:val="single" w:color="auto" w:sz="4" w:space="0"/>
              <w:tl2br w:val="nil"/>
              <w:tr2bl w:val="nil"/>
            </w:tcBorders>
            <w:vAlign w:val="center"/>
          </w:tcPr>
          <w:p>
            <w:pPr>
              <w:widowControl/>
              <w:jc w:val="center"/>
              <w:textAlignment w:val="center"/>
              <w:rPr>
                <w:rFonts w:cs="宋体" w:asciiTheme="minorEastAsia" w:hAnsiTheme="minorEastAsia" w:eastAsiaTheme="minorEastAsia"/>
                <w:i/>
                <w:iCs/>
                <w:color w:val="000000"/>
                <w:sz w:val="24"/>
                <w:szCs w:val="24"/>
              </w:rPr>
            </w:pPr>
          </w:p>
        </w:tc>
      </w:tr>
      <w:tr>
        <w:tblPrEx>
          <w:tblCellMar>
            <w:top w:w="0" w:type="dxa"/>
            <w:left w:w="108" w:type="dxa"/>
            <w:bottom w:w="0" w:type="dxa"/>
            <w:right w:w="108" w:type="dxa"/>
          </w:tblCellMar>
        </w:tblPrEx>
        <w:trPr>
          <w:trHeight w:val="633" w:hRule="atLeast"/>
        </w:trPr>
        <w:tc>
          <w:tcPr>
            <w:tcW w:w="9080" w:type="dxa"/>
            <w:gridSpan w:val="9"/>
            <w:tcBorders>
              <w:top w:val="single" w:color="000000" w:sz="4" w:space="0"/>
              <w:left w:val="single" w:color="000000" w:sz="4" w:space="0"/>
              <w:bottom w:val="single" w:color="000000" w:sz="4" w:space="0"/>
              <w:right w:val="single" w:color="auto" w:sz="4" w:space="0"/>
              <w:tl2br w:val="nil"/>
              <w:tr2bl w:val="nil"/>
            </w:tcBorders>
            <w:vAlign w:val="center"/>
          </w:tcPr>
          <w:p>
            <w:pPr>
              <w:widowControl/>
              <w:spacing w:line="240" w:lineRule="auto"/>
              <w:jc w:val="center"/>
              <w:textAlignment w:val="center"/>
              <w:rPr>
                <w:rFonts w:hint="eastAsia" w:ascii="宋体" w:hAnsi="宋体" w:eastAsia="宋体" w:cs="宋体"/>
                <w:b/>
                <w:color w:val="000000"/>
                <w:kern w:val="0"/>
                <w:sz w:val="24"/>
                <w:szCs w:val="24"/>
                <w:lang w:val="en-US" w:eastAsia="zh-CN" w:bidi="ar"/>
              </w:rPr>
            </w:pPr>
            <w:r>
              <w:rPr>
                <w:rFonts w:hint="eastAsia" w:ascii="宋体" w:hAnsi="宋体" w:cs="宋体"/>
                <w:b/>
                <w:color w:val="000000"/>
                <w:kern w:val="0"/>
                <w:sz w:val="24"/>
                <w:szCs w:val="24"/>
                <w:lang w:val="en-US" w:eastAsia="zh-CN" w:bidi="ar"/>
              </w:rPr>
              <w:t>其他费用</w:t>
            </w: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等线" w:hAnsi="等线" w:eastAsia="等线" w:cs="等线"/>
                <w:color w:val="000000"/>
                <w:kern w:val="0"/>
                <w:sz w:val="24"/>
                <w:szCs w:val="24"/>
                <w:lang w:val="en-US" w:eastAsia="zh-CN" w:bidi="ar"/>
              </w:rPr>
            </w:pPr>
            <w:r>
              <w:rPr>
                <w:rFonts w:hint="eastAsia" w:ascii="等线" w:hAnsi="等线" w:eastAsia="等线" w:cs="等线"/>
                <w:color w:val="000000"/>
                <w:kern w:val="0"/>
                <w:sz w:val="24"/>
                <w:szCs w:val="24"/>
                <w:lang w:val="en-US" w:eastAsia="zh-CN" w:bidi="ar"/>
              </w:rPr>
              <w:t>序号</w:t>
            </w:r>
          </w:p>
        </w:tc>
        <w:tc>
          <w:tcPr>
            <w:tcW w:w="4443" w:type="dxa"/>
            <w:gridSpan w:val="3"/>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宋体" w:hAnsi="宋体" w:cs="宋体"/>
                <w:b/>
                <w:color w:val="000000"/>
                <w:kern w:val="0"/>
                <w:sz w:val="24"/>
                <w:szCs w:val="24"/>
                <w:lang w:bidi="ar"/>
              </w:rPr>
            </w:pPr>
            <w:r>
              <w:rPr>
                <w:rFonts w:ascii="宋体" w:hAnsi="宋体" w:cs="宋体"/>
                <w:b/>
                <w:color w:val="000000"/>
                <w:kern w:val="0"/>
                <w:sz w:val="24"/>
                <w:szCs w:val="24"/>
                <w:lang w:bidi="ar"/>
              </w:rPr>
              <w:t>项目</w:t>
            </w:r>
          </w:p>
        </w:tc>
        <w:tc>
          <w:tcPr>
            <w:tcW w:w="1690"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宋体" w:hAnsi="宋体" w:cs="宋体"/>
                <w:b/>
                <w:color w:val="000000"/>
                <w:kern w:val="0"/>
                <w:sz w:val="24"/>
                <w:szCs w:val="24"/>
                <w:lang w:bidi="ar"/>
              </w:rPr>
            </w:pPr>
            <w:r>
              <w:rPr>
                <w:rFonts w:ascii="宋体" w:hAnsi="宋体" w:cs="宋体"/>
                <w:b/>
                <w:color w:val="000000"/>
                <w:kern w:val="0"/>
                <w:sz w:val="24"/>
                <w:szCs w:val="24"/>
                <w:lang w:bidi="ar"/>
              </w:rPr>
              <w:t>数量</w:t>
            </w:r>
          </w:p>
        </w:tc>
        <w:tc>
          <w:tcPr>
            <w:tcW w:w="1523"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color w:val="000000"/>
                <w:kern w:val="0"/>
                <w:sz w:val="24"/>
                <w:szCs w:val="24"/>
                <w:lang w:val="en-US" w:eastAsia="zh-CN" w:bidi="ar"/>
              </w:rPr>
            </w:pPr>
            <w:r>
              <w:rPr>
                <w:rFonts w:hint="eastAsia" w:ascii="宋体" w:hAnsi="宋体" w:cs="宋体"/>
                <w:b/>
                <w:color w:val="000000"/>
                <w:kern w:val="0"/>
                <w:sz w:val="24"/>
                <w:szCs w:val="24"/>
                <w:lang w:val="en-US" w:eastAsia="zh-CN" w:bidi="ar"/>
              </w:rPr>
              <w:t>单位</w:t>
            </w: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center"/>
              <w:textAlignment w:val="center"/>
              <w:rPr>
                <w:rFonts w:ascii="宋体" w:hAnsi="宋体" w:cs="宋体"/>
                <w:b/>
                <w:color w:val="000000"/>
                <w:kern w:val="0"/>
                <w:sz w:val="24"/>
                <w:szCs w:val="24"/>
                <w:lang w:bidi="ar"/>
              </w:rPr>
            </w:pPr>
            <w:r>
              <w:rPr>
                <w:rFonts w:ascii="宋体" w:hAnsi="宋体" w:cs="宋体"/>
                <w:b/>
                <w:color w:val="000000"/>
                <w:kern w:val="0"/>
                <w:sz w:val="24"/>
                <w:szCs w:val="24"/>
                <w:lang w:bidi="ar"/>
              </w:rPr>
              <w:t>备注</w:t>
            </w:r>
          </w:p>
        </w:tc>
      </w:tr>
      <w:tr>
        <w:tblPrEx>
          <w:tblCellMar>
            <w:top w:w="0" w:type="dxa"/>
            <w:left w:w="108" w:type="dxa"/>
            <w:bottom w:w="0" w:type="dxa"/>
            <w:right w:w="108" w:type="dxa"/>
          </w:tblCellMar>
        </w:tblPrEx>
        <w:trPr>
          <w:trHeight w:val="638" w:hRule="atLeast"/>
        </w:trPr>
        <w:tc>
          <w:tcPr>
            <w:tcW w:w="70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等线" w:hAnsi="等线" w:eastAsia="等线" w:cs="等线"/>
                <w:color w:val="000000"/>
                <w:kern w:val="0"/>
                <w:sz w:val="24"/>
                <w:szCs w:val="24"/>
                <w:lang w:bidi="ar"/>
              </w:rPr>
            </w:pPr>
            <w:r>
              <w:rPr>
                <w:rFonts w:ascii="等线" w:hAnsi="等线" w:eastAsia="等线" w:cs="等线"/>
                <w:color w:val="000000"/>
                <w:kern w:val="0"/>
                <w:sz w:val="24"/>
                <w:szCs w:val="24"/>
                <w:lang w:bidi="ar"/>
              </w:rPr>
              <w:t>1</w:t>
            </w:r>
          </w:p>
        </w:tc>
        <w:tc>
          <w:tcPr>
            <w:tcW w:w="2004"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Theme="minorEastAsia" w:hAnsiTheme="minorEastAsia" w:eastAsiaTheme="minorEastAsia"/>
                <w:sz w:val="24"/>
                <w:szCs w:val="24"/>
              </w:rPr>
            </w:pPr>
            <w:r>
              <w:rPr>
                <w:rFonts w:asciiTheme="minorEastAsia" w:hAnsiTheme="minorEastAsia" w:eastAsiaTheme="minorEastAsia"/>
                <w:sz w:val="24"/>
                <w:szCs w:val="24"/>
              </w:rPr>
              <w:t>Sheet Metal产品校准维修费</w:t>
            </w:r>
          </w:p>
        </w:tc>
        <w:tc>
          <w:tcPr>
            <w:tcW w:w="114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Theme="minorEastAsia" w:hAnsiTheme="minorEastAsia" w:eastAsiaTheme="minorEastAsia"/>
                <w:sz w:val="24"/>
                <w:szCs w:val="24"/>
              </w:rPr>
            </w:pPr>
            <w:r>
              <w:rPr>
                <w:rFonts w:asciiTheme="minorEastAsia" w:hAnsiTheme="minorEastAsia" w:eastAsiaTheme="minorEastAsia"/>
                <w:sz w:val="24"/>
                <w:szCs w:val="24"/>
              </w:rPr>
              <w:t>2R3820004CA</w:t>
            </w:r>
          </w:p>
        </w:tc>
        <w:tc>
          <w:tcPr>
            <w:tcW w:w="1290"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海克斯康</w:t>
            </w:r>
          </w:p>
        </w:tc>
        <w:tc>
          <w:tcPr>
            <w:tcW w:w="1690"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hint="eastAsia" w:asciiTheme="minorEastAsia" w:hAnsiTheme="minorEastAsia" w:eastAsiaTheme="minorEastAsia"/>
                <w:sz w:val="24"/>
                <w:szCs w:val="24"/>
                <w:lang w:val="en-US" w:eastAsia="zh-CN"/>
              </w:rPr>
            </w:pPr>
            <w:r>
              <w:rPr>
                <w:rFonts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0</w:t>
            </w:r>
          </w:p>
        </w:tc>
        <w:tc>
          <w:tcPr>
            <w:tcW w:w="1523"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人天</w:t>
            </w: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center"/>
              <w:textAlignment w:val="center"/>
              <w:rPr>
                <w:rFonts w:asciiTheme="minorEastAsia" w:hAnsiTheme="minorEastAsia" w:eastAsiaTheme="minorEastAsia"/>
                <w:sz w:val="24"/>
                <w:szCs w:val="24"/>
              </w:rPr>
            </w:pPr>
          </w:p>
        </w:tc>
      </w:tr>
      <w:tr>
        <w:tblPrEx>
          <w:tblCellMar>
            <w:top w:w="0" w:type="dxa"/>
            <w:left w:w="108" w:type="dxa"/>
            <w:bottom w:w="0" w:type="dxa"/>
            <w:right w:w="108" w:type="dxa"/>
          </w:tblCellMar>
        </w:tblPrEx>
        <w:trPr>
          <w:trHeight w:val="653" w:hRule="atLeast"/>
        </w:trPr>
        <w:tc>
          <w:tcPr>
            <w:tcW w:w="70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等线" w:hAnsi="等线" w:eastAsia="等线" w:cs="等线"/>
                <w:color w:val="000000"/>
                <w:kern w:val="0"/>
                <w:sz w:val="24"/>
                <w:szCs w:val="24"/>
                <w:lang w:bidi="ar"/>
              </w:rPr>
            </w:pPr>
            <w:r>
              <w:rPr>
                <w:rFonts w:ascii="等线" w:hAnsi="等线" w:eastAsia="等线" w:cs="等线"/>
                <w:color w:val="000000"/>
                <w:kern w:val="0"/>
                <w:sz w:val="24"/>
                <w:szCs w:val="24"/>
                <w:lang w:bidi="ar"/>
              </w:rPr>
              <w:t>2</w:t>
            </w:r>
          </w:p>
        </w:tc>
        <w:tc>
          <w:tcPr>
            <w:tcW w:w="2004"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Theme="minorEastAsia" w:hAnsiTheme="minorEastAsia" w:eastAsiaTheme="minorEastAsia"/>
                <w:sz w:val="24"/>
                <w:szCs w:val="24"/>
              </w:rPr>
            </w:pPr>
            <w:r>
              <w:rPr>
                <w:rFonts w:asciiTheme="minorEastAsia" w:hAnsiTheme="minorEastAsia" w:eastAsiaTheme="minorEastAsia"/>
                <w:sz w:val="24"/>
                <w:szCs w:val="24"/>
              </w:rPr>
              <w:t>激光使用费</w:t>
            </w:r>
          </w:p>
        </w:tc>
        <w:tc>
          <w:tcPr>
            <w:tcW w:w="1149"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Theme="minorEastAsia" w:hAnsiTheme="minorEastAsia" w:eastAsiaTheme="minorEastAsia"/>
                <w:sz w:val="24"/>
                <w:szCs w:val="24"/>
              </w:rPr>
            </w:pPr>
            <w:r>
              <w:rPr>
                <w:rFonts w:asciiTheme="minorEastAsia" w:hAnsiTheme="minorEastAsia" w:eastAsiaTheme="minorEastAsia"/>
                <w:sz w:val="24"/>
                <w:szCs w:val="24"/>
              </w:rPr>
              <w:t>2R3820004CA</w:t>
            </w:r>
          </w:p>
        </w:tc>
        <w:tc>
          <w:tcPr>
            <w:tcW w:w="1290"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海克斯康</w:t>
            </w:r>
          </w:p>
        </w:tc>
        <w:tc>
          <w:tcPr>
            <w:tcW w:w="1690"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jc w:val="center"/>
              <w:textAlignment w:val="center"/>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lang w:val="en-US" w:eastAsia="zh-CN"/>
              </w:rPr>
              <w:t>2</w:t>
            </w:r>
          </w:p>
        </w:tc>
        <w:tc>
          <w:tcPr>
            <w:tcW w:w="1523"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台班</w:t>
            </w: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center"/>
              <w:textAlignment w:val="center"/>
              <w:rPr>
                <w:rFonts w:asciiTheme="minorEastAsia" w:hAnsiTheme="minorEastAsia" w:eastAsiaTheme="minorEastAsia"/>
                <w:sz w:val="24"/>
                <w:szCs w:val="24"/>
              </w:rPr>
            </w:pPr>
          </w:p>
        </w:tc>
      </w:tr>
    </w:tbl>
    <w:p>
      <w:pPr>
        <w:pStyle w:val="13"/>
        <w:keepNext w:val="0"/>
        <w:keepLines w:val="0"/>
        <w:pageBreakBefore w:val="0"/>
        <w:widowControl w:val="0"/>
        <w:numPr>
          <w:ilvl w:val="0"/>
          <w:numId w:val="0"/>
        </w:numPr>
        <w:kinsoku/>
        <w:wordWrap/>
        <w:overflowPunct/>
        <w:topLinePunct w:val="0"/>
        <w:bidi w:val="0"/>
        <w:snapToGrid/>
        <w:spacing w:line="360" w:lineRule="auto"/>
        <w:textAlignment w:val="auto"/>
        <w:rPr>
          <w:rFonts w:hint="eastAsia" w:asciiTheme="minorEastAsia" w:hAnsiTheme="minorEastAsia" w:eastAsiaTheme="minorEastAsia" w:cstheme="minorEastAsia"/>
          <w:b/>
          <w:bCs/>
          <w:color w:val="auto"/>
          <w:kern w:val="2"/>
          <w:sz w:val="24"/>
          <w:szCs w:val="24"/>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before="157" w:beforeLines="50" w:line="240" w:lineRule="auto"/>
        <w:ind w:firstLine="0" w:firstLineChars="0"/>
        <w:textAlignment w:val="auto"/>
        <w:rPr>
          <w:rFonts w:hint="default" w:ascii="宋体" w:hAnsi="宋体" w:eastAsia="宋体" w:cs="宋体"/>
          <w:b/>
          <w:bCs/>
          <w:kern w:val="2"/>
          <w:sz w:val="24"/>
          <w:szCs w:val="24"/>
          <w:highlight w:val="none"/>
          <w:lang w:val="en-US" w:eastAsia="zh-CN" w:bidi="ar-SA"/>
        </w:rPr>
      </w:pPr>
      <w:r>
        <w:rPr>
          <w:rFonts w:hint="eastAsia" w:ascii="宋体" w:hAnsi="宋体" w:cs="宋体"/>
          <w:b/>
          <w:bCs/>
          <w:kern w:val="2"/>
          <w:sz w:val="24"/>
          <w:szCs w:val="24"/>
          <w:highlight w:val="none"/>
          <w:lang w:val="en-US" w:eastAsia="zh-CN" w:bidi="ar-SA"/>
        </w:rPr>
        <w:t>七、其他要求</w:t>
      </w:r>
    </w:p>
    <w:p>
      <w:pPr>
        <w:keepNext w:val="0"/>
        <w:keepLines w:val="0"/>
        <w:widowControl w:val="0"/>
        <w:numPr>
          <w:ilvl w:val="0"/>
          <w:numId w:val="0"/>
        </w:numPr>
        <w:suppressLineNumbers w:val="0"/>
        <w:adjustRightInd w:val="0"/>
        <w:spacing w:before="0" w:beforeAutospacing="0" w:after="0" w:afterAutospacing="0" w:line="360" w:lineRule="auto"/>
        <w:ind w:right="0" w:rightChars="0" w:firstLine="480" w:firstLineChars="200"/>
        <w:jc w:val="left"/>
        <w:textAlignment w:val="baseline"/>
        <w:rPr>
          <w:rFonts w:hint="eastAsia" w:ascii="宋体" w:hAnsi="宋体" w:cs="宋体"/>
          <w:color w:val="auto"/>
          <w:kern w:val="2"/>
          <w:sz w:val="24"/>
          <w:szCs w:val="24"/>
          <w:vertAlign w:val="baseline"/>
          <w:lang w:val="en-US" w:eastAsia="zh-CN" w:bidi="ar"/>
        </w:rPr>
      </w:pPr>
      <w:r>
        <w:rPr>
          <w:rFonts w:hint="eastAsia" w:ascii="宋体" w:hAnsi="宋体" w:cs="宋体"/>
          <w:b w:val="0"/>
          <w:bCs/>
          <w:color w:val="auto"/>
          <w:sz w:val="24"/>
          <w:szCs w:val="24"/>
          <w:lang w:val="en-US" w:eastAsia="zh-CN"/>
        </w:rPr>
        <w:t>1、</w:t>
      </w:r>
      <w:r>
        <w:rPr>
          <w:rFonts w:hint="eastAsia" w:ascii="宋体" w:hAnsi="宋体" w:eastAsia="宋体" w:cs="宋体"/>
          <w:b w:val="0"/>
          <w:bCs/>
          <w:color w:val="auto"/>
          <w:sz w:val="24"/>
          <w:szCs w:val="24"/>
          <w:lang w:val="en-US" w:eastAsia="zh-CN"/>
        </w:rPr>
        <w:t>施工方根据以上</w:t>
      </w:r>
      <w:r>
        <w:rPr>
          <w:rFonts w:hint="eastAsia" w:ascii="宋体" w:hAnsi="宋体" w:cs="宋体"/>
          <w:b w:val="0"/>
          <w:bCs/>
          <w:color w:val="auto"/>
          <w:sz w:val="24"/>
          <w:szCs w:val="24"/>
          <w:lang w:val="en-US" w:eastAsia="zh-CN"/>
        </w:rPr>
        <w:t>施工</w:t>
      </w:r>
      <w:r>
        <w:rPr>
          <w:rFonts w:hint="eastAsia" w:ascii="宋体" w:hAnsi="宋体" w:eastAsia="宋体" w:cs="宋体"/>
          <w:b w:val="0"/>
          <w:bCs/>
          <w:color w:val="auto"/>
          <w:sz w:val="24"/>
          <w:szCs w:val="24"/>
          <w:lang w:val="en-US" w:eastAsia="zh-CN"/>
        </w:rPr>
        <w:t>内容，提供</w:t>
      </w:r>
      <w:r>
        <w:rPr>
          <w:rFonts w:hint="eastAsia" w:ascii="宋体" w:hAnsi="宋体" w:cs="宋体"/>
          <w:b w:val="0"/>
          <w:bCs/>
          <w:color w:val="auto"/>
          <w:sz w:val="24"/>
          <w:szCs w:val="24"/>
          <w:lang w:val="en-US" w:eastAsia="zh-CN"/>
        </w:rPr>
        <w:t>施工</w:t>
      </w:r>
      <w:r>
        <w:rPr>
          <w:rFonts w:hint="eastAsia" w:ascii="宋体" w:hAnsi="宋体" w:eastAsia="宋体" w:cs="宋体"/>
          <w:b w:val="0"/>
          <w:bCs/>
          <w:color w:val="auto"/>
          <w:sz w:val="24"/>
          <w:szCs w:val="24"/>
          <w:lang w:val="en-US" w:eastAsia="zh-CN"/>
        </w:rPr>
        <w:t>方案。（方案含工期、质保期、应急服务响应时间、材料明细、数量、品牌、工程进度、</w:t>
      </w:r>
      <w:r>
        <w:rPr>
          <w:rFonts w:ascii="宋体" w:hAnsi="宋体" w:eastAsia="宋体" w:cs="宋体"/>
          <w:color w:val="auto"/>
          <w:sz w:val="24"/>
          <w:szCs w:val="24"/>
        </w:rPr>
        <w:t>危险</w:t>
      </w:r>
      <w:r>
        <w:rPr>
          <w:rFonts w:hint="eastAsia" w:ascii="宋体" w:hAnsi="宋体" w:cs="宋体"/>
          <w:color w:val="auto"/>
          <w:sz w:val="24"/>
          <w:szCs w:val="24"/>
          <w:lang w:eastAsia="zh-CN"/>
        </w:rPr>
        <w:t>辨识</w:t>
      </w:r>
      <w:r>
        <w:rPr>
          <w:rFonts w:ascii="宋体" w:hAnsi="宋体" w:eastAsia="宋体" w:cs="宋体"/>
          <w:color w:val="auto"/>
          <w:sz w:val="24"/>
          <w:szCs w:val="24"/>
        </w:rPr>
        <w:t>管控措施，应急措施</w:t>
      </w:r>
      <w:r>
        <w:rPr>
          <w:rFonts w:hint="eastAsia" w:ascii="宋体" w:hAnsi="宋体" w:cs="宋体"/>
          <w:color w:val="auto"/>
          <w:sz w:val="24"/>
          <w:szCs w:val="24"/>
          <w:lang w:val="en-US" w:eastAsia="zh-CN"/>
        </w:rPr>
        <w:t>等</w:t>
      </w:r>
      <w:r>
        <w:rPr>
          <w:rFonts w:hint="eastAsia" w:ascii="宋体" w:hAnsi="宋体" w:eastAsia="宋体" w:cs="宋体"/>
          <w:b w:val="0"/>
          <w:bCs/>
          <w:color w:val="auto"/>
          <w:sz w:val="24"/>
          <w:szCs w:val="24"/>
          <w:lang w:val="en-US" w:eastAsia="zh-CN"/>
        </w:rPr>
        <w:t>）</w:t>
      </w:r>
    </w:p>
    <w:p>
      <w:pPr>
        <w:pStyle w:val="13"/>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firstLine="480" w:firstLineChars="200"/>
        <w:textAlignment w:val="auto"/>
        <w:rPr>
          <w:rFonts w:hint="eastAsia" w:ascii="宋体" w:hAnsi="宋体" w:cs="宋体"/>
          <w:sz w:val="24"/>
          <w:szCs w:val="24"/>
          <w:lang w:eastAsia="zh-CN"/>
        </w:rPr>
      </w:pPr>
      <w:r>
        <w:rPr>
          <w:rFonts w:hint="eastAsia" w:ascii="宋体" w:hAnsi="宋体" w:cs="宋体"/>
          <w:color w:val="auto"/>
          <w:kern w:val="2"/>
          <w:sz w:val="24"/>
          <w:szCs w:val="24"/>
          <w:vertAlign w:val="baseline"/>
          <w:lang w:val="en-US" w:eastAsia="zh-CN" w:bidi="ar"/>
        </w:rPr>
        <w:t>2、</w:t>
      </w:r>
      <w:r>
        <w:rPr>
          <w:rFonts w:hint="eastAsia" w:ascii="宋体" w:hAnsi="宋体" w:eastAsia="宋体" w:cs="宋体"/>
          <w:color w:val="auto"/>
          <w:kern w:val="2"/>
          <w:sz w:val="24"/>
          <w:szCs w:val="24"/>
          <w:vertAlign w:val="baseline"/>
          <w:lang w:val="en-US" w:eastAsia="zh-CN" w:bidi="ar"/>
        </w:rPr>
        <w:t>办理相关的施工手续</w:t>
      </w:r>
      <w:r>
        <w:rPr>
          <w:rFonts w:hint="eastAsia" w:ascii="宋体" w:hAnsi="宋体" w:cs="宋体"/>
          <w:color w:val="auto"/>
          <w:kern w:val="2"/>
          <w:sz w:val="24"/>
          <w:szCs w:val="24"/>
          <w:vertAlign w:val="baseline"/>
          <w:lang w:val="en-US" w:eastAsia="zh-CN" w:bidi="ar"/>
        </w:rPr>
        <w:t>，在施工前进行安全技术交底</w:t>
      </w:r>
      <w:r>
        <w:rPr>
          <w:rFonts w:hint="eastAsia" w:ascii="宋体" w:hAnsi="宋体" w:eastAsia="宋体" w:cs="宋体"/>
          <w:color w:val="auto"/>
          <w:kern w:val="2"/>
          <w:sz w:val="24"/>
          <w:szCs w:val="24"/>
          <w:vertAlign w:val="baseline"/>
          <w:lang w:val="en-US" w:eastAsia="zh-CN" w:bidi="ar"/>
        </w:rPr>
        <w:t>。</w:t>
      </w:r>
      <w:r>
        <w:rPr>
          <w:rFonts w:hint="eastAsia" w:ascii="宋体" w:hAnsi="宋体" w:cs="宋体"/>
          <w:color w:val="auto"/>
          <w:kern w:val="2"/>
          <w:sz w:val="24"/>
          <w:szCs w:val="24"/>
          <w:vertAlign w:val="baseline"/>
          <w:lang w:val="en-US" w:eastAsia="zh-CN" w:bidi="ar"/>
        </w:rPr>
        <w:t>做好安全防护。</w:t>
      </w:r>
      <w:r>
        <w:rPr>
          <w:rFonts w:hint="eastAsia" w:ascii="宋体" w:hAnsi="宋体" w:cs="宋体"/>
          <w:i w:val="0"/>
          <w:iCs w:val="0"/>
          <w:caps w:val="0"/>
          <w:color w:val="000000"/>
          <w:spacing w:val="0"/>
          <w:sz w:val="24"/>
          <w:szCs w:val="24"/>
          <w:shd w:val="clear" w:color="auto" w:fill="auto"/>
          <w:lang w:val="en-US" w:eastAsia="zh-CN"/>
        </w:rPr>
        <w:t>施工材料</w:t>
      </w:r>
      <w:r>
        <w:rPr>
          <w:rFonts w:hint="eastAsia" w:ascii="宋体" w:hAnsi="宋体" w:eastAsia="宋体" w:cs="宋体"/>
          <w:i w:val="0"/>
          <w:iCs w:val="0"/>
          <w:caps w:val="0"/>
          <w:color w:val="000000"/>
          <w:spacing w:val="0"/>
          <w:sz w:val="24"/>
          <w:szCs w:val="24"/>
          <w:shd w:val="clear" w:color="auto" w:fill="auto"/>
        </w:rPr>
        <w:t>集中存放到指定位置，不能</w:t>
      </w:r>
      <w:r>
        <w:rPr>
          <w:rFonts w:hint="eastAsia" w:ascii="宋体" w:hAnsi="宋体" w:cs="宋体"/>
          <w:i w:val="0"/>
          <w:iCs w:val="0"/>
          <w:caps w:val="0"/>
          <w:color w:val="000000"/>
          <w:spacing w:val="0"/>
          <w:sz w:val="24"/>
          <w:szCs w:val="24"/>
          <w:shd w:val="clear" w:color="auto" w:fill="auto"/>
          <w:lang w:val="en-US" w:eastAsia="zh-CN"/>
        </w:rPr>
        <w:t>影响正常生产</w:t>
      </w:r>
      <w:r>
        <w:rPr>
          <w:rFonts w:hint="eastAsia" w:ascii="宋体" w:hAnsi="宋体" w:cs="宋体"/>
          <w:color w:val="auto"/>
          <w:kern w:val="2"/>
          <w:sz w:val="24"/>
          <w:szCs w:val="24"/>
          <w:vertAlign w:val="baseline"/>
          <w:lang w:val="en-US" w:eastAsia="zh-CN" w:bidi="ar"/>
        </w:rPr>
        <w:t>，</w:t>
      </w:r>
      <w:r>
        <w:rPr>
          <w:rFonts w:hint="eastAsia" w:ascii="宋体" w:hAnsi="宋体" w:eastAsia="宋体" w:cs="宋体"/>
          <w:sz w:val="24"/>
          <w:szCs w:val="24"/>
        </w:rPr>
        <w:t>采用隔栏或围墙的形式将施工区域与生产区域隔开</w:t>
      </w:r>
      <w:r>
        <w:rPr>
          <w:rFonts w:hint="eastAsia" w:ascii="宋体" w:hAnsi="宋体" w:cs="宋体"/>
          <w:sz w:val="24"/>
          <w:szCs w:val="24"/>
          <w:lang w:eastAsia="zh-CN"/>
        </w:rPr>
        <w:t>。</w:t>
      </w:r>
    </w:p>
    <w:p>
      <w:pPr>
        <w:keepNext w:val="0"/>
        <w:keepLines w:val="0"/>
        <w:widowControl w:val="0"/>
        <w:numPr>
          <w:ilvl w:val="0"/>
          <w:numId w:val="0"/>
        </w:numPr>
        <w:suppressLineNumbers w:val="0"/>
        <w:adjustRightInd w:val="0"/>
        <w:spacing w:before="0" w:beforeAutospacing="0" w:after="0" w:afterAutospacing="0" w:line="360" w:lineRule="auto"/>
        <w:ind w:right="0" w:rightChars="0" w:firstLine="480" w:firstLineChars="200"/>
        <w:jc w:val="left"/>
        <w:textAlignment w:val="baseline"/>
        <w:rPr>
          <w:rFonts w:hint="default" w:ascii="宋体" w:hAnsi="宋体" w:cs="宋体"/>
          <w:sz w:val="24"/>
          <w:szCs w:val="24"/>
          <w:lang w:val="en-US" w:eastAsia="zh-CN"/>
        </w:rPr>
      </w:pPr>
      <w:r>
        <w:rPr>
          <w:rFonts w:hint="eastAsia" w:ascii="宋体" w:hAnsi="宋体" w:cs="宋体"/>
          <w:sz w:val="24"/>
          <w:szCs w:val="24"/>
          <w:lang w:val="en-US" w:eastAsia="zh-CN"/>
        </w:rPr>
        <w:t>3、施工</w:t>
      </w:r>
      <w:r>
        <w:rPr>
          <w:rFonts w:hint="eastAsia" w:ascii="宋体" w:hAnsi="宋体" w:cs="宋体"/>
          <w:sz w:val="24"/>
          <w:szCs w:val="24"/>
          <w:lang w:eastAsia="zh-CN"/>
        </w:rPr>
        <w:t>过程中需要</w:t>
      </w:r>
      <w:r>
        <w:rPr>
          <w:rFonts w:hint="eastAsia" w:ascii="宋体" w:hAnsi="宋体" w:cs="宋体"/>
          <w:sz w:val="24"/>
          <w:szCs w:val="24"/>
          <w:lang w:val="en-US" w:eastAsia="zh-CN"/>
        </w:rPr>
        <w:t>对隐蔽部分</w:t>
      </w:r>
      <w:r>
        <w:rPr>
          <w:rFonts w:hint="eastAsia" w:ascii="宋体" w:hAnsi="宋体" w:cs="宋体"/>
          <w:sz w:val="24"/>
          <w:szCs w:val="24"/>
          <w:lang w:eastAsia="zh-CN"/>
        </w:rPr>
        <w:t>进行拍照，作为验收依据</w:t>
      </w:r>
      <w:r>
        <w:rPr>
          <w:rFonts w:hint="eastAsia" w:ascii="宋体" w:hAnsi="宋体" w:cs="宋体"/>
          <w:sz w:val="24"/>
          <w:szCs w:val="24"/>
          <w:lang w:val="en-US" w:eastAsia="zh-CN"/>
        </w:rPr>
        <w:t>。</w:t>
      </w:r>
    </w:p>
    <w:p>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cs="宋体"/>
          <w:color w:val="auto"/>
          <w:kern w:val="2"/>
          <w:sz w:val="24"/>
          <w:szCs w:val="24"/>
          <w:vertAlign w:val="baseline"/>
          <w:lang w:val="en-US" w:eastAsia="zh-CN" w:bidi="ar"/>
        </w:rPr>
      </w:pPr>
      <w:r>
        <w:rPr>
          <w:rFonts w:hint="eastAsia" w:ascii="宋体" w:hAnsi="宋体" w:cs="宋体"/>
          <w:sz w:val="24"/>
          <w:szCs w:val="24"/>
          <w:lang w:val="en-US" w:eastAsia="zh-CN"/>
        </w:rPr>
        <w:t>4、此项目为交钥匙工程，</w:t>
      </w:r>
      <w:r>
        <w:rPr>
          <w:rFonts w:hint="eastAsia" w:ascii="宋体" w:hAnsi="宋体" w:cs="宋体"/>
          <w:sz w:val="24"/>
          <w:szCs w:val="24"/>
        </w:rPr>
        <w:t>投标方承担所有材料、运输、人工等费用。</w:t>
      </w:r>
    </w:p>
    <w:p>
      <w:pPr>
        <w:pStyle w:val="13"/>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default" w:ascii="宋体" w:hAnsi="宋体"/>
          <w:color w:val="auto"/>
          <w:u w:val="none"/>
          <w:lang w:val="en-US" w:eastAsia="zh-CN"/>
        </w:rPr>
      </w:pPr>
    </w:p>
    <w:p>
      <w:pPr>
        <w:spacing w:line="360" w:lineRule="auto"/>
        <w:ind w:firstLine="360" w:firstLineChars="150"/>
        <w:rPr>
          <w:rFonts w:hint="eastAsia" w:ascii="宋体" w:hAnsi="宋体" w:eastAsia="宋体" w:cs="宋体"/>
          <w:sz w:val="24"/>
          <w:szCs w:val="24"/>
          <w:highlight w:val="none"/>
          <w:lang w:eastAsia="zh-CN"/>
        </w:rPr>
      </w:pPr>
    </w:p>
    <w:p>
      <w:pPr>
        <w:rPr>
          <w:rFonts w:hint="eastAsia" w:ascii="仿宋_GB2312" w:hAnsi="仿宋_GB2312" w:eastAsia="仿宋_GB2312" w:cs="仿宋_GB2312"/>
          <w:sz w:val="44"/>
          <w:highlight w:val="green"/>
        </w:rPr>
        <w:sectPr>
          <w:pgSz w:w="11907" w:h="16840"/>
          <w:pgMar w:top="1304" w:right="1418" w:bottom="1304" w:left="1418" w:header="724" w:footer="851" w:gutter="0"/>
          <w:cols w:space="720" w:num="1"/>
          <w:docGrid w:linePitch="290" w:charSpace="-3931"/>
        </w:sectPr>
      </w:pPr>
    </w:p>
    <w:p>
      <w:pPr>
        <w:rPr>
          <w:rFonts w:hint="eastAsia" w:ascii="仿宋_GB2312" w:hAnsi="仿宋_GB2312" w:eastAsia="仿宋_GB2312" w:cs="仿宋_GB2312"/>
          <w:sz w:val="44"/>
          <w:highlight w:val="green"/>
        </w:rPr>
      </w:pPr>
    </w:p>
    <w:p>
      <w:pPr>
        <w:pStyle w:val="23"/>
      </w:pPr>
    </w:p>
    <w:p>
      <w:r>
        <w:br w:type="page"/>
      </w:r>
    </w:p>
    <w:p>
      <w:pPr>
        <w:pStyle w:val="23"/>
      </w:pPr>
    </w:p>
    <w:p>
      <w:pPr>
        <w:spacing w:line="360" w:lineRule="auto"/>
        <w:jc w:val="center"/>
        <w:outlineLvl w:val="0"/>
        <w:rPr>
          <w:rFonts w:ascii="宋体" w:hAnsi="Calibri" w:eastAsia="宋体" w:cs="Times New Roman"/>
          <w:b/>
          <w:sz w:val="36"/>
          <w:szCs w:val="36"/>
        </w:rPr>
      </w:pPr>
      <w:bookmarkStart w:id="99"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99"/>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2"/>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0" w:name="_Toc20872"/>
      <w:bookmarkStart w:id="101" w:name="_Toc15851"/>
      <w:bookmarkStart w:id="102" w:name="_Toc8509"/>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0"/>
      <w:bookmarkEnd w:id="101"/>
      <w:bookmarkEnd w:id="102"/>
    </w:p>
    <w:p>
      <w:pPr>
        <w:keepNext/>
        <w:keepLines/>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3"/>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3"/>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3"/>
        <w:rPr>
          <w:rFonts w:ascii="Times New Roman" w:hAnsi="Times New Roman" w:eastAsia="宋体" w:cs="Times New Roman"/>
          <w:b/>
          <w:bCs/>
          <w:color w:val="000000"/>
          <w:sz w:val="24"/>
          <w:szCs w:val="24"/>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keepNext w:val="0"/>
        <w:keepLines w:val="0"/>
        <w:pageBreakBefore w:val="0"/>
        <w:kinsoku/>
        <w:wordWrap/>
        <w:overflowPunct/>
        <w:topLinePunct w:val="0"/>
        <w:autoSpaceDE/>
        <w:autoSpaceDN/>
        <w:bidi w:val="0"/>
        <w:adjustRightInd/>
        <w:snapToGrid w:val="0"/>
        <w:spacing w:line="360" w:lineRule="auto"/>
        <w:ind w:firstLine="630" w:firstLineChars="300"/>
        <w:rPr>
          <w:rFonts w:ascii="宋体" w:cs="宋体"/>
        </w:rPr>
      </w:pPr>
      <w:r>
        <w:rPr>
          <w:rFonts w:hint="eastAsia" w:ascii="宋体" w:hAnsi="宋体" w:cs="宋体"/>
        </w:rPr>
        <w:t>投标人名称：</w:t>
      </w:r>
      <w:r>
        <w:rPr>
          <w:rFonts w:hint="eastAsia" w:ascii="宋体" w:hAnsi="宋体" w:cs="宋体"/>
          <w:lang w:val="en-US" w:eastAsia="zh-CN"/>
        </w:rPr>
        <w:t xml:space="preserve">                           </w:t>
      </w:r>
      <w:r>
        <w:rPr>
          <w:rFonts w:hint="eastAsia" w:ascii="宋体" w:hAnsi="宋体" w:cs="宋体"/>
        </w:rPr>
        <w:t>单位：人民币（元）</w:t>
      </w:r>
    </w:p>
    <w:p>
      <w:pPr>
        <w:bidi w:val="0"/>
        <w:ind w:firstLine="3150" w:firstLineChars="1500"/>
        <w:jc w:val="left"/>
        <w:rPr>
          <w:rFonts w:hint="default"/>
          <w:lang w:val="en-US" w:eastAsia="zh-CN"/>
        </w:rPr>
      </w:pPr>
    </w:p>
    <w:tbl>
      <w:tblPr>
        <w:tblStyle w:val="42"/>
        <w:tblW w:w="898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2"/>
        <w:gridCol w:w="1478"/>
        <w:gridCol w:w="1030"/>
        <w:gridCol w:w="1157"/>
        <w:gridCol w:w="1012"/>
        <w:gridCol w:w="675"/>
        <w:gridCol w:w="767"/>
        <w:gridCol w:w="1344"/>
        <w:gridCol w:w="8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898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材料部分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6"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7"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红宝石测针</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TIP3BY20MM</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7"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红宝石测针</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TIP2BY20MM</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7"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测针加长杆</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EXTEN20MM</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测针加长杆</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EXTEN5WAY</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9" w:hRule="atLeast"/>
        </w:trPr>
        <w:tc>
          <w:tcPr>
            <w:tcW w:w="605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 xml:space="preserve">3596.00 </w:t>
            </w: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898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其他费用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36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项目</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8"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Sheet Metal产品校准维修费</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2R3820004CA</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人/天</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10个工作日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1" w:hRule="atLeast"/>
        </w:trPr>
        <w:tc>
          <w:tcPr>
            <w:tcW w:w="7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4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激光使用费</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2R3820004CA</w:t>
            </w:r>
          </w:p>
        </w:tc>
        <w:tc>
          <w:tcPr>
            <w:tcW w:w="11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海克斯康</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台班</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2个工作日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7" w:hRule="atLeast"/>
        </w:trPr>
        <w:tc>
          <w:tcPr>
            <w:tcW w:w="68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9" w:hRule="atLeast"/>
        </w:trPr>
        <w:tc>
          <w:tcPr>
            <w:tcW w:w="68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总计（不含税）</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9" w:hRule="atLeast"/>
        </w:trPr>
        <w:tc>
          <w:tcPr>
            <w:tcW w:w="537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trPr>
        <w:tc>
          <w:tcPr>
            <w:tcW w:w="68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总计（含税）</w:t>
            </w:r>
          </w:p>
        </w:tc>
        <w:tc>
          <w:tcPr>
            <w:tcW w:w="13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3"/>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3"/>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30"/>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3"/>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3"/>
      </w:pPr>
    </w:p>
    <w:p>
      <w:pPr>
        <w:pStyle w:val="23"/>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3"/>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2"/>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3"/>
      </w:pPr>
    </w:p>
    <w:p>
      <w:pPr>
        <w:jc w:val="right"/>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rPr>
      </w:pPr>
      <w:r>
        <w:br w:type="page"/>
      </w:r>
    </w:p>
    <w:p>
      <w:pPr>
        <w:pStyle w:val="30"/>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3"/>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3"/>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3"/>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3"/>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50"/>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0"/>
          <w:rFonts w:hint="eastAsia" w:ascii="宋体" w:hAnsi="宋体" w:eastAsia="宋体" w:cs="宋体"/>
          <w:sz w:val="24"/>
          <w:szCs w:val="24"/>
        </w:rPr>
        <w:t>http://ecaitong.sinotruk.com:8012/</w:t>
      </w:r>
      <w:r>
        <w:rPr>
          <w:rStyle w:val="50"/>
          <w:rFonts w:hint="eastAsia" w:ascii="宋体" w:hAnsi="宋体" w:eastAsia="宋体" w:cs="宋体"/>
          <w:sz w:val="24"/>
          <w:szCs w:val="24"/>
        </w:rPr>
        <w:fldChar w:fldCharType="end"/>
      </w:r>
      <w:r>
        <w:rPr>
          <w:rStyle w:val="50"/>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3"/>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p>
      <w:pPr>
        <w:pStyle w:val="23"/>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3"/>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0"/>
                    <a:stretch>
                      <a:fillRect/>
                    </a:stretch>
                  </pic:blipFill>
                  <pic:spPr>
                    <a:xfrm>
                      <a:off x="0" y="0"/>
                      <a:ext cx="5749290" cy="2501265"/>
                    </a:xfrm>
                    <a:prstGeom prst="rect">
                      <a:avLst/>
                    </a:prstGeom>
                    <a:noFill/>
                    <a:ln>
                      <a:noFill/>
                    </a:ln>
                  </pic:spPr>
                </pic:pic>
              </a:graphicData>
            </a:graphic>
          </wp:inline>
        </w:drawing>
      </w:r>
    </w:p>
    <w:p>
      <w:pPr>
        <w:pStyle w:val="23"/>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1"/>
                    <a:stretch>
                      <a:fillRect/>
                    </a:stretch>
                  </pic:blipFill>
                  <pic:spPr>
                    <a:xfrm>
                      <a:off x="0" y="0"/>
                      <a:ext cx="5746750" cy="3303270"/>
                    </a:xfrm>
                    <a:prstGeom prst="rect">
                      <a:avLst/>
                    </a:prstGeom>
                    <a:noFill/>
                    <a:ln>
                      <a:noFill/>
                    </a:ln>
                  </pic:spPr>
                </pic:pic>
              </a:graphicData>
            </a:graphic>
          </wp:inline>
        </w:drawing>
      </w:r>
    </w:p>
    <w:p>
      <w:pPr>
        <w:pStyle w:val="23"/>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3"/>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both"/>
      <w:rPr>
        <w:rFonts w:hint="eastAsia"/>
      </w:rPr>
    </w:pPr>
  </w:p>
  <w:p>
    <w:pPr>
      <w:pStyle w:val="28"/>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8"/>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abstractNum w:abstractNumId="9">
    <w:nsid w:val="7DA9F3D3"/>
    <w:multiLevelType w:val="singleLevel"/>
    <w:tmpl w:val="7DA9F3D3"/>
    <w:lvl w:ilvl="0" w:tentative="0">
      <w:start w:val="1"/>
      <w:numFmt w:val="decimal"/>
      <w:suff w:val="nothing"/>
      <w:lvlText w:val="%1、"/>
      <w:lvlJc w:val="left"/>
    </w:lvl>
  </w:abstractNum>
  <w:num w:numId="1">
    <w:abstractNumId w:val="6"/>
  </w:num>
  <w:num w:numId="2">
    <w:abstractNumId w:val="7"/>
  </w:num>
  <w:num w:numId="3">
    <w:abstractNumId w:val="8"/>
  </w:num>
  <w:num w:numId="4">
    <w:abstractNumId w:val="3"/>
  </w:num>
  <w:num w:numId="5">
    <w:abstractNumId w:val="2"/>
  </w:num>
  <w:num w:numId="6">
    <w:abstractNumId w:val="5"/>
  </w:num>
  <w:num w:numId="7">
    <w:abstractNumId w:val="1"/>
  </w:num>
  <w:num w:numId="8">
    <w:abstractNumId w:val="4"/>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8260BF"/>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C7114"/>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6F71881"/>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BF59A3"/>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5A2F48"/>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41612"/>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164CD"/>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BD2D82"/>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E4773"/>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714A41"/>
    <w:rsid w:val="7DA553F4"/>
    <w:rsid w:val="7DB23041"/>
    <w:rsid w:val="7DBA45FA"/>
    <w:rsid w:val="7DF43A44"/>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2"/>
    <w:qFormat/>
    <w:uiPriority w:val="9"/>
    <w:pPr>
      <w:keepNext/>
      <w:keepLines/>
      <w:jc w:val="center"/>
      <w:outlineLvl w:val="0"/>
    </w:pPr>
    <w:rPr>
      <w:b/>
      <w:bCs/>
      <w:kern w:val="44"/>
      <w:sz w:val="36"/>
      <w:szCs w:val="44"/>
    </w:rPr>
  </w:style>
  <w:style w:type="paragraph" w:styleId="3">
    <w:name w:val="heading 2"/>
    <w:basedOn w:val="1"/>
    <w:next w:val="1"/>
    <w:link w:val="53"/>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4"/>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8">
    <w:name w:val="heading 7"/>
    <w:basedOn w:val="1"/>
    <w:next w:val="1"/>
    <w:link w:val="150"/>
    <w:unhideWhenUsed/>
    <w:qFormat/>
    <w:uiPriority w:val="9"/>
    <w:pPr>
      <w:keepNext/>
      <w:keepLines/>
      <w:spacing w:before="240" w:after="64" w:line="317" w:lineRule="auto"/>
      <w:outlineLvl w:val="6"/>
    </w:pPr>
    <w:rPr>
      <w:b/>
      <w:sz w:val="24"/>
    </w:rPr>
  </w:style>
  <w:style w:type="paragraph" w:styleId="9">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next w:val="12"/>
    <w:qFormat/>
    <w:uiPriority w:val="0"/>
    <w:pPr>
      <w:ind w:firstLine="420"/>
    </w:pPr>
    <w:rPr>
      <w:rFonts w:ascii="Times New Roman" w:hAnsi="Times New Roman"/>
      <w:kern w:val="0"/>
      <w:sz w:val="20"/>
      <w:szCs w:val="20"/>
    </w:rPr>
  </w:style>
  <w:style w:type="paragraph" w:styleId="12">
    <w:name w:val="Body Text"/>
    <w:basedOn w:val="1"/>
    <w:next w:val="13"/>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13">
    <w:name w:val="Default"/>
    <w:link w:val="79"/>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5"/>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6"/>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Plain Text"/>
    <w:basedOn w:val="1"/>
    <w:link w:val="77"/>
    <w:qFormat/>
    <w:uiPriority w:val="0"/>
    <w:rPr>
      <w:rFonts w:ascii="宋体" w:hAnsi="Courier New"/>
    </w:rPr>
  </w:style>
  <w:style w:type="paragraph" w:styleId="24">
    <w:name w:val="toc 8"/>
    <w:basedOn w:val="1"/>
    <w:next w:val="1"/>
    <w:qFormat/>
    <w:uiPriority w:val="39"/>
    <w:pPr>
      <w:ind w:left="1680"/>
      <w:jc w:val="left"/>
    </w:pPr>
    <w:rPr>
      <w:rFonts w:ascii="Calibri" w:hAnsi="Calibri" w:eastAsia="宋体" w:cs="Times New Roman"/>
      <w:sz w:val="18"/>
      <w:szCs w:val="18"/>
    </w:rPr>
  </w:style>
  <w:style w:type="paragraph" w:styleId="25">
    <w:name w:val="Date"/>
    <w:basedOn w:val="1"/>
    <w:next w:val="1"/>
    <w:link w:val="68"/>
    <w:qFormat/>
    <w:uiPriority w:val="0"/>
    <w:pPr>
      <w:ind w:left="100" w:leftChars="2500"/>
    </w:pPr>
    <w:rPr>
      <w:sz w:val="24"/>
    </w:rPr>
  </w:style>
  <w:style w:type="paragraph" w:styleId="26">
    <w:name w:val="Body Text Indent 2"/>
    <w:basedOn w:val="1"/>
    <w:link w:val="56"/>
    <w:qFormat/>
    <w:uiPriority w:val="0"/>
    <w:pPr>
      <w:spacing w:after="120" w:line="480" w:lineRule="auto"/>
      <w:ind w:left="420" w:leftChars="200"/>
    </w:pPr>
  </w:style>
  <w:style w:type="paragraph" w:styleId="27">
    <w:name w:val="Balloon Text"/>
    <w:basedOn w:val="1"/>
    <w:link w:val="72"/>
    <w:qFormat/>
    <w:uiPriority w:val="0"/>
    <w:rPr>
      <w:sz w:val="18"/>
    </w:rPr>
  </w:style>
  <w:style w:type="paragraph" w:styleId="28">
    <w:name w:val="footer"/>
    <w:basedOn w:val="1"/>
    <w:link w:val="78"/>
    <w:qFormat/>
    <w:uiPriority w:val="99"/>
    <w:pPr>
      <w:tabs>
        <w:tab w:val="center" w:pos="4153"/>
        <w:tab w:val="right" w:pos="8306"/>
      </w:tabs>
      <w:snapToGrid w:val="0"/>
      <w:jc w:val="left"/>
    </w:pPr>
    <w:rPr>
      <w:sz w:val="18"/>
    </w:rPr>
  </w:style>
  <w:style w:type="paragraph" w:styleId="29">
    <w:name w:val="header"/>
    <w:basedOn w:val="1"/>
    <w:link w:val="64"/>
    <w:qFormat/>
    <w:uiPriority w:val="0"/>
    <w:pPr>
      <w:pBdr>
        <w:bottom w:val="single" w:color="auto" w:sz="6" w:space="1"/>
      </w:pBdr>
      <w:tabs>
        <w:tab w:val="center" w:pos="4153"/>
        <w:tab w:val="right" w:pos="8306"/>
      </w:tabs>
      <w:snapToGrid w:val="0"/>
      <w:jc w:val="center"/>
    </w:pPr>
    <w:rPr>
      <w:sz w:val="18"/>
    </w:rPr>
  </w:style>
  <w:style w:type="paragraph" w:styleId="30">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1">
    <w:name w:val="toc 4"/>
    <w:basedOn w:val="1"/>
    <w:next w:val="1"/>
    <w:qFormat/>
    <w:uiPriority w:val="39"/>
    <w:pPr>
      <w:ind w:left="720"/>
      <w:jc w:val="left"/>
    </w:pPr>
    <w:rPr>
      <w:rFonts w:ascii="Calibri" w:hAnsi="Calibri" w:eastAsia="宋体" w:cs="Times New Roman"/>
      <w:sz w:val="18"/>
      <w:szCs w:val="18"/>
    </w:rPr>
  </w:style>
  <w:style w:type="paragraph" w:styleId="32">
    <w:name w:val="List"/>
    <w:basedOn w:val="1"/>
    <w:qFormat/>
    <w:uiPriority w:val="99"/>
    <w:pPr>
      <w:ind w:left="420" w:hanging="420"/>
    </w:pPr>
    <w:rPr>
      <w:rFonts w:ascii="Times New Roman" w:hAnsi="Times New Roman" w:eastAsia="宋体" w:cs="Times New Roman"/>
      <w:szCs w:val="20"/>
    </w:rPr>
  </w:style>
  <w:style w:type="paragraph" w:styleId="33">
    <w:name w:val="toc 6"/>
    <w:basedOn w:val="1"/>
    <w:next w:val="1"/>
    <w:qFormat/>
    <w:uiPriority w:val="39"/>
    <w:pPr>
      <w:ind w:left="1200"/>
      <w:jc w:val="left"/>
    </w:pPr>
    <w:rPr>
      <w:rFonts w:ascii="Calibri" w:hAnsi="Calibri" w:eastAsia="宋体" w:cs="Times New Roman"/>
      <w:sz w:val="18"/>
      <w:szCs w:val="18"/>
    </w:rPr>
  </w:style>
  <w:style w:type="paragraph" w:styleId="34">
    <w:name w:val="Body Text Indent 3"/>
    <w:basedOn w:val="1"/>
    <w:link w:val="58"/>
    <w:qFormat/>
    <w:uiPriority w:val="0"/>
    <w:pPr>
      <w:spacing w:after="120"/>
      <w:ind w:left="420" w:leftChars="200"/>
    </w:pPr>
    <w:rPr>
      <w:sz w:val="16"/>
    </w:rPr>
  </w:style>
  <w:style w:type="paragraph" w:styleId="35">
    <w:name w:val="toc 2"/>
    <w:basedOn w:val="1"/>
    <w:next w:val="1"/>
    <w:unhideWhenUsed/>
    <w:qFormat/>
    <w:uiPriority w:val="39"/>
    <w:pPr>
      <w:ind w:left="420" w:leftChars="200"/>
    </w:pPr>
    <w:rPr>
      <w:rFonts w:ascii="Calibri" w:hAnsi="Calibri" w:eastAsia="宋体" w:cs="Times New Roman"/>
      <w:szCs w:val="20"/>
    </w:rPr>
  </w:style>
  <w:style w:type="paragraph" w:styleId="36">
    <w:name w:val="toc 9"/>
    <w:basedOn w:val="1"/>
    <w:next w:val="1"/>
    <w:qFormat/>
    <w:uiPriority w:val="39"/>
    <w:pPr>
      <w:ind w:left="1920"/>
      <w:jc w:val="left"/>
    </w:pPr>
    <w:rPr>
      <w:rFonts w:ascii="Calibri" w:hAnsi="Calibri" w:eastAsia="宋体" w:cs="Times New Roman"/>
      <w:sz w:val="18"/>
      <w:szCs w:val="18"/>
    </w:rPr>
  </w:style>
  <w:style w:type="paragraph" w:styleId="37">
    <w:name w:val="Normal (Web)"/>
    <w:basedOn w:val="1"/>
    <w:qFormat/>
    <w:uiPriority w:val="99"/>
    <w:rPr>
      <w:rFonts w:ascii="Calibri" w:hAnsi="Calibri" w:eastAsia="宋体" w:cs="Times New Roman"/>
      <w:sz w:val="24"/>
      <w:szCs w:val="20"/>
    </w:rPr>
  </w:style>
  <w:style w:type="paragraph" w:styleId="38">
    <w:name w:val="index 1"/>
    <w:basedOn w:val="1"/>
    <w:next w:val="1"/>
    <w:qFormat/>
    <w:uiPriority w:val="99"/>
    <w:rPr>
      <w:rFonts w:ascii="Calibri" w:hAnsi="Calibri" w:eastAsia="宋体" w:cs="Times New Roman"/>
      <w:sz w:val="24"/>
      <w:szCs w:val="24"/>
    </w:rPr>
  </w:style>
  <w:style w:type="paragraph" w:styleId="39">
    <w:name w:val="Title"/>
    <w:basedOn w:val="1"/>
    <w:next w:val="1"/>
    <w:link w:val="67"/>
    <w:qFormat/>
    <w:uiPriority w:val="0"/>
    <w:pPr>
      <w:spacing w:before="160" w:after="40" w:line="240" w:lineRule="atLeast"/>
      <w:ind w:left="425" w:hanging="425"/>
      <w:jc w:val="center"/>
      <w:outlineLvl w:val="0"/>
    </w:pPr>
    <w:rPr>
      <w:rFonts w:ascii="Arial" w:hAnsi="Arial"/>
      <w:b/>
      <w:sz w:val="32"/>
    </w:rPr>
  </w:style>
  <w:style w:type="paragraph" w:styleId="40">
    <w:name w:val="annotation subject"/>
    <w:basedOn w:val="17"/>
    <w:next w:val="17"/>
    <w:link w:val="57"/>
    <w:qFormat/>
    <w:uiPriority w:val="0"/>
    <w:rPr>
      <w:b/>
    </w:rPr>
  </w:style>
  <w:style w:type="paragraph" w:styleId="41">
    <w:name w:val="Body Text First Indent 2"/>
    <w:basedOn w:val="19"/>
    <w:semiHidden/>
    <w:qFormat/>
    <w:uiPriority w:val="99"/>
    <w:pPr>
      <w:spacing w:line="276" w:lineRule="auto"/>
      <w:ind w:firstLine="420" w:firstLineChars="200"/>
      <w:jc w:val="left"/>
    </w:pPr>
  </w:style>
  <w:style w:type="table" w:styleId="43">
    <w:name w:val="Table Grid"/>
    <w:basedOn w:val="4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basedOn w:val="44"/>
    <w:qFormat/>
    <w:uiPriority w:val="22"/>
    <w:rPr>
      <w:b/>
    </w:rPr>
  </w:style>
  <w:style w:type="character" w:styleId="46">
    <w:name w:val="page number"/>
    <w:basedOn w:val="44"/>
    <w:qFormat/>
    <w:uiPriority w:val="99"/>
    <w:rPr>
      <w:rFonts w:cs="Times New Roman"/>
    </w:rPr>
  </w:style>
  <w:style w:type="character" w:styleId="47">
    <w:name w:val="FollowedHyperlink"/>
    <w:basedOn w:val="44"/>
    <w:qFormat/>
    <w:uiPriority w:val="99"/>
    <w:rPr>
      <w:color w:val="800080"/>
      <w:u w:val="single"/>
    </w:rPr>
  </w:style>
  <w:style w:type="character" w:styleId="48">
    <w:name w:val="Emphasis"/>
    <w:qFormat/>
    <w:uiPriority w:val="99"/>
    <w:rPr>
      <w:rFonts w:cs="Times New Roman"/>
      <w:color w:val="auto"/>
    </w:rPr>
  </w:style>
  <w:style w:type="character" w:styleId="49">
    <w:name w:val="HTML Acronym"/>
    <w:basedOn w:val="44"/>
    <w:qFormat/>
    <w:uiPriority w:val="99"/>
  </w:style>
  <w:style w:type="character" w:styleId="50">
    <w:name w:val="Hyperlink"/>
    <w:basedOn w:val="44"/>
    <w:qFormat/>
    <w:uiPriority w:val="99"/>
    <w:rPr>
      <w:color w:val="1F4F88"/>
      <w:u w:val="none"/>
    </w:rPr>
  </w:style>
  <w:style w:type="character" w:styleId="51">
    <w:name w:val="annotation reference"/>
    <w:basedOn w:val="44"/>
    <w:qFormat/>
    <w:uiPriority w:val="99"/>
    <w:rPr>
      <w:sz w:val="21"/>
    </w:rPr>
  </w:style>
  <w:style w:type="character" w:customStyle="1" w:styleId="52">
    <w:name w:val="标题 1 字符"/>
    <w:basedOn w:val="44"/>
    <w:link w:val="2"/>
    <w:qFormat/>
    <w:uiPriority w:val="9"/>
    <w:rPr>
      <w:rFonts w:ascii="Calibri" w:hAnsi="Calibri" w:eastAsia="宋体" w:cs="Times New Roman"/>
      <w:b/>
      <w:bCs/>
      <w:kern w:val="44"/>
      <w:sz w:val="36"/>
      <w:szCs w:val="44"/>
    </w:rPr>
  </w:style>
  <w:style w:type="character" w:customStyle="1" w:styleId="53">
    <w:name w:val="标题 2 字符"/>
    <w:basedOn w:val="44"/>
    <w:link w:val="3"/>
    <w:qFormat/>
    <w:uiPriority w:val="9"/>
    <w:rPr>
      <w:rFonts w:ascii="Arial" w:hAnsi="Arial" w:eastAsia="宋体" w:cs="Times New Roman"/>
      <w:b/>
      <w:bCs/>
      <w:sz w:val="24"/>
      <w:szCs w:val="32"/>
    </w:rPr>
  </w:style>
  <w:style w:type="character" w:customStyle="1" w:styleId="54">
    <w:name w:val="标题 3 字符"/>
    <w:basedOn w:val="44"/>
    <w:link w:val="4"/>
    <w:semiHidden/>
    <w:qFormat/>
    <w:uiPriority w:val="9"/>
    <w:rPr>
      <w:rFonts w:ascii="Calibri" w:hAnsi="Calibri" w:eastAsia="宋体" w:cs="Times New Roman"/>
      <w:b/>
      <w:bCs/>
      <w:sz w:val="32"/>
      <w:szCs w:val="32"/>
    </w:rPr>
  </w:style>
  <w:style w:type="character" w:customStyle="1" w:styleId="55">
    <w:name w:val="Char Char3"/>
    <w:qFormat/>
    <w:uiPriority w:val="0"/>
    <w:rPr>
      <w:rFonts w:ascii="宋体" w:hAnsi="Courier New" w:eastAsia="宋体"/>
      <w:kern w:val="2"/>
      <w:sz w:val="21"/>
      <w:lang w:val="en-US" w:eastAsia="zh-CN"/>
    </w:rPr>
  </w:style>
  <w:style w:type="character" w:customStyle="1" w:styleId="56">
    <w:name w:val="正文文本缩进 2 字符"/>
    <w:link w:val="26"/>
    <w:qFormat/>
    <w:locked/>
    <w:uiPriority w:val="0"/>
  </w:style>
  <w:style w:type="character" w:customStyle="1" w:styleId="57">
    <w:name w:val="批注主题 字符"/>
    <w:link w:val="40"/>
    <w:qFormat/>
    <w:locked/>
    <w:uiPriority w:val="0"/>
    <w:rPr>
      <w:b/>
    </w:rPr>
  </w:style>
  <w:style w:type="character" w:customStyle="1" w:styleId="58">
    <w:name w:val="正文文本缩进 3 字符"/>
    <w:link w:val="34"/>
    <w:qFormat/>
    <w:locked/>
    <w:uiPriority w:val="0"/>
    <w:rPr>
      <w:sz w:val="16"/>
    </w:rPr>
  </w:style>
  <w:style w:type="character" w:customStyle="1" w:styleId="59">
    <w:name w:val="纯文本 Char"/>
    <w:qFormat/>
    <w:uiPriority w:val="0"/>
    <w:rPr>
      <w:rFonts w:ascii="宋体" w:hAnsi="Courier New" w:eastAsia="宋体"/>
      <w:kern w:val="2"/>
      <w:sz w:val="21"/>
      <w:lang w:val="en-US" w:eastAsia="zh-CN"/>
    </w:rPr>
  </w:style>
  <w:style w:type="character" w:customStyle="1" w:styleId="60">
    <w:name w:val="Char Char2"/>
    <w:qFormat/>
    <w:uiPriority w:val="0"/>
    <w:rPr>
      <w:rFonts w:ascii="宋体" w:hAnsi="Courier New"/>
      <w:kern w:val="2"/>
      <w:sz w:val="21"/>
    </w:rPr>
  </w:style>
  <w:style w:type="character" w:customStyle="1" w:styleId="61">
    <w:name w:val="列出段落 字符"/>
    <w:link w:val="62"/>
    <w:qFormat/>
    <w:locked/>
    <w:uiPriority w:val="34"/>
    <w:rPr>
      <w:sz w:val="22"/>
    </w:rPr>
  </w:style>
  <w:style w:type="paragraph" w:customStyle="1" w:styleId="62">
    <w:name w:val="列出段落1"/>
    <w:basedOn w:val="1"/>
    <w:link w:val="61"/>
    <w:qFormat/>
    <w:uiPriority w:val="34"/>
    <w:pPr>
      <w:ind w:firstLine="420" w:firstLineChars="200"/>
    </w:pPr>
    <w:rPr>
      <w:sz w:val="22"/>
    </w:rPr>
  </w:style>
  <w:style w:type="character" w:customStyle="1" w:styleId="63">
    <w:name w:val="apple-converted-space"/>
    <w:basedOn w:val="44"/>
    <w:qFormat/>
    <w:uiPriority w:val="0"/>
    <w:rPr>
      <w:rFonts w:cs="Times New Roman"/>
    </w:rPr>
  </w:style>
  <w:style w:type="character" w:customStyle="1" w:styleId="64">
    <w:name w:val="页眉 字符"/>
    <w:link w:val="29"/>
    <w:qFormat/>
    <w:locked/>
    <w:uiPriority w:val="0"/>
    <w:rPr>
      <w:sz w:val="18"/>
    </w:rPr>
  </w:style>
  <w:style w:type="character" w:customStyle="1" w:styleId="65">
    <w:name w:val="BODY TEXT Char"/>
    <w:qFormat/>
    <w:locked/>
    <w:uiPriority w:val="0"/>
    <w:rPr>
      <w:rFonts w:eastAsia="新宋体"/>
      <w:kern w:val="2"/>
      <w:sz w:val="21"/>
    </w:rPr>
  </w:style>
  <w:style w:type="character" w:customStyle="1" w:styleId="66">
    <w:name w:val="批注文字 字符"/>
    <w:link w:val="17"/>
    <w:qFormat/>
    <w:locked/>
    <w:uiPriority w:val="0"/>
  </w:style>
  <w:style w:type="character" w:customStyle="1" w:styleId="67">
    <w:name w:val="标题 字符"/>
    <w:link w:val="39"/>
    <w:qFormat/>
    <w:locked/>
    <w:uiPriority w:val="0"/>
    <w:rPr>
      <w:rFonts w:ascii="Arial" w:hAnsi="Arial"/>
      <w:b/>
      <w:sz w:val="32"/>
    </w:rPr>
  </w:style>
  <w:style w:type="character" w:customStyle="1" w:styleId="68">
    <w:name w:val="日期 字符"/>
    <w:link w:val="25"/>
    <w:qFormat/>
    <w:locked/>
    <w:uiPriority w:val="0"/>
    <w:rPr>
      <w:sz w:val="24"/>
    </w:rPr>
  </w:style>
  <w:style w:type="character" w:customStyle="1" w:styleId="69">
    <w:name w:val="ATXT_Bullets Zchn"/>
    <w:link w:val="70"/>
    <w:qFormat/>
    <w:locked/>
    <w:uiPriority w:val="99"/>
    <w:rPr>
      <w:rFonts w:ascii="Arial" w:hAnsi="Arial"/>
      <w:lang w:val="de-AT" w:eastAsia="zh-CN"/>
    </w:rPr>
  </w:style>
  <w:style w:type="paragraph" w:customStyle="1" w:styleId="70">
    <w:name w:val="ATXT_Bullets"/>
    <w:link w:val="69"/>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1">
    <w:name w:val="Char Char5"/>
    <w:qFormat/>
    <w:uiPriority w:val="0"/>
    <w:rPr>
      <w:rFonts w:ascii="宋体" w:hAnsi="Courier New" w:eastAsia="宋体"/>
      <w:kern w:val="2"/>
      <w:sz w:val="21"/>
      <w:lang w:val="en-US" w:eastAsia="zh-CN"/>
    </w:rPr>
  </w:style>
  <w:style w:type="character" w:customStyle="1" w:styleId="72">
    <w:name w:val="批注框文本 字符"/>
    <w:link w:val="27"/>
    <w:qFormat/>
    <w:locked/>
    <w:uiPriority w:val="0"/>
    <w:rPr>
      <w:sz w:val="18"/>
    </w:rPr>
  </w:style>
  <w:style w:type="character" w:customStyle="1" w:styleId="73">
    <w:name w:val="批注文字 Char"/>
    <w:qFormat/>
    <w:uiPriority w:val="0"/>
    <w:rPr>
      <w:kern w:val="2"/>
    </w:rPr>
  </w:style>
  <w:style w:type="character" w:customStyle="1" w:styleId="74">
    <w:name w:val="批注主题 Char"/>
    <w:qFormat/>
    <w:uiPriority w:val="0"/>
    <w:rPr>
      <w:b/>
      <w:kern w:val="2"/>
    </w:rPr>
  </w:style>
  <w:style w:type="character" w:customStyle="1" w:styleId="75">
    <w:name w:val="文档结构图 字符"/>
    <w:link w:val="15"/>
    <w:qFormat/>
    <w:locked/>
    <w:uiPriority w:val="0"/>
    <w:rPr>
      <w:sz w:val="24"/>
      <w:shd w:val="clear" w:color="auto" w:fill="000080"/>
    </w:rPr>
  </w:style>
  <w:style w:type="character" w:customStyle="1" w:styleId="76">
    <w:name w:val="HTML Markup"/>
    <w:qFormat/>
    <w:uiPriority w:val="0"/>
    <w:rPr>
      <w:vanish/>
      <w:color w:val="FF0000"/>
    </w:rPr>
  </w:style>
  <w:style w:type="character" w:customStyle="1" w:styleId="77">
    <w:name w:val="纯文本 字符"/>
    <w:link w:val="23"/>
    <w:qFormat/>
    <w:locked/>
    <w:uiPriority w:val="0"/>
    <w:rPr>
      <w:rFonts w:ascii="宋体" w:hAnsi="Courier New"/>
    </w:rPr>
  </w:style>
  <w:style w:type="character" w:customStyle="1" w:styleId="78">
    <w:name w:val="页脚 字符"/>
    <w:link w:val="28"/>
    <w:qFormat/>
    <w:locked/>
    <w:uiPriority w:val="99"/>
    <w:rPr>
      <w:sz w:val="18"/>
    </w:rPr>
  </w:style>
  <w:style w:type="character" w:customStyle="1" w:styleId="79">
    <w:name w:val="Default Char"/>
    <w:link w:val="13"/>
    <w:qFormat/>
    <w:locked/>
    <w:uiPriority w:val="0"/>
    <w:rPr>
      <w:rFonts w:ascii="仿宋_GB2312" w:eastAsia="仿宋_GB2312"/>
      <w:color w:val="000000"/>
      <w:sz w:val="24"/>
    </w:rPr>
  </w:style>
  <w:style w:type="character" w:customStyle="1" w:styleId="80">
    <w:name w:val="页脚 Char"/>
    <w:qFormat/>
    <w:locked/>
    <w:uiPriority w:val="99"/>
    <w:rPr>
      <w:sz w:val="18"/>
    </w:rPr>
  </w:style>
  <w:style w:type="character" w:customStyle="1" w:styleId="81">
    <w:name w:val="批注文字 字符1"/>
    <w:basedOn w:val="44"/>
    <w:semiHidden/>
    <w:qFormat/>
    <w:uiPriority w:val="99"/>
  </w:style>
  <w:style w:type="character" w:customStyle="1" w:styleId="82">
    <w:name w:val="批注文字 字符11"/>
    <w:basedOn w:val="44"/>
    <w:qFormat/>
    <w:uiPriority w:val="0"/>
    <w:rPr>
      <w:rFonts w:cs="Times New Roman"/>
      <w:kern w:val="2"/>
      <w:sz w:val="21"/>
    </w:rPr>
  </w:style>
  <w:style w:type="character" w:customStyle="1" w:styleId="83">
    <w:name w:val="正文文本缩进 字符"/>
    <w:basedOn w:val="44"/>
    <w:link w:val="19"/>
    <w:qFormat/>
    <w:uiPriority w:val="99"/>
    <w:rPr>
      <w:rFonts w:ascii="Calibri" w:hAnsi="Calibri" w:eastAsia="宋体" w:cs="Times New Roman"/>
      <w:szCs w:val="20"/>
    </w:rPr>
  </w:style>
  <w:style w:type="character" w:customStyle="1" w:styleId="84">
    <w:name w:val="文档结构图 字符1"/>
    <w:basedOn w:val="44"/>
    <w:semiHidden/>
    <w:qFormat/>
    <w:uiPriority w:val="99"/>
    <w:rPr>
      <w:rFonts w:ascii="Microsoft YaHei UI" w:eastAsia="Microsoft YaHei UI"/>
      <w:sz w:val="18"/>
      <w:szCs w:val="18"/>
    </w:rPr>
  </w:style>
  <w:style w:type="character" w:customStyle="1" w:styleId="85">
    <w:name w:val="文档结构图 字符11"/>
    <w:basedOn w:val="44"/>
    <w:semiHidden/>
    <w:qFormat/>
    <w:uiPriority w:val="99"/>
    <w:rPr>
      <w:rFonts w:ascii="Microsoft YaHei UI" w:eastAsia="Microsoft YaHei UI" w:cs="Times New Roman"/>
      <w:kern w:val="2"/>
      <w:sz w:val="18"/>
      <w:szCs w:val="18"/>
    </w:rPr>
  </w:style>
  <w:style w:type="character" w:customStyle="1" w:styleId="86">
    <w:name w:val="正文文本 字符"/>
    <w:basedOn w:val="44"/>
    <w:link w:val="12"/>
    <w:qFormat/>
    <w:uiPriority w:val="99"/>
    <w:rPr>
      <w:rFonts w:ascii="Calibri" w:hAnsi="Calibri" w:eastAsia="新宋体" w:cs="Times New Roman"/>
      <w:szCs w:val="21"/>
    </w:rPr>
  </w:style>
  <w:style w:type="character" w:customStyle="1" w:styleId="87">
    <w:name w:val="纯文本 字符1"/>
    <w:basedOn w:val="44"/>
    <w:semiHidden/>
    <w:qFormat/>
    <w:uiPriority w:val="99"/>
    <w:rPr>
      <w:rFonts w:hAnsi="Courier New" w:cs="Courier New" w:asciiTheme="minorEastAsia"/>
    </w:rPr>
  </w:style>
  <w:style w:type="character" w:customStyle="1" w:styleId="88">
    <w:name w:val="纯文本 字符11"/>
    <w:basedOn w:val="44"/>
    <w:qFormat/>
    <w:uiPriority w:val="0"/>
    <w:rPr>
      <w:rFonts w:hAnsi="Courier New" w:cs="Courier New" w:asciiTheme="minorEastAsia" w:eastAsiaTheme="minorEastAsia"/>
      <w:kern w:val="2"/>
      <w:sz w:val="21"/>
    </w:rPr>
  </w:style>
  <w:style w:type="character" w:customStyle="1" w:styleId="89">
    <w:name w:val="页眉 字符1"/>
    <w:basedOn w:val="44"/>
    <w:semiHidden/>
    <w:qFormat/>
    <w:uiPriority w:val="99"/>
    <w:rPr>
      <w:sz w:val="18"/>
      <w:szCs w:val="18"/>
    </w:rPr>
  </w:style>
  <w:style w:type="character" w:customStyle="1" w:styleId="90">
    <w:name w:val="页眉 字符11"/>
    <w:basedOn w:val="44"/>
    <w:semiHidden/>
    <w:qFormat/>
    <w:uiPriority w:val="99"/>
    <w:rPr>
      <w:rFonts w:cs="Times New Roman"/>
      <w:kern w:val="2"/>
      <w:sz w:val="18"/>
      <w:szCs w:val="18"/>
    </w:rPr>
  </w:style>
  <w:style w:type="character" w:customStyle="1" w:styleId="91">
    <w:name w:val="批注框文本 字符1"/>
    <w:basedOn w:val="44"/>
    <w:semiHidden/>
    <w:qFormat/>
    <w:uiPriority w:val="99"/>
    <w:rPr>
      <w:sz w:val="18"/>
      <w:szCs w:val="18"/>
    </w:rPr>
  </w:style>
  <w:style w:type="character" w:customStyle="1" w:styleId="92">
    <w:name w:val="批注框文本 字符11"/>
    <w:basedOn w:val="44"/>
    <w:semiHidden/>
    <w:qFormat/>
    <w:uiPriority w:val="99"/>
    <w:rPr>
      <w:rFonts w:cs="Times New Roman"/>
      <w:kern w:val="2"/>
      <w:sz w:val="18"/>
      <w:szCs w:val="18"/>
    </w:rPr>
  </w:style>
  <w:style w:type="character" w:customStyle="1" w:styleId="93">
    <w:name w:val="日期 字符1"/>
    <w:basedOn w:val="44"/>
    <w:semiHidden/>
    <w:qFormat/>
    <w:uiPriority w:val="99"/>
  </w:style>
  <w:style w:type="character" w:customStyle="1" w:styleId="94">
    <w:name w:val="日期 字符11"/>
    <w:basedOn w:val="44"/>
    <w:semiHidden/>
    <w:qFormat/>
    <w:uiPriority w:val="99"/>
    <w:rPr>
      <w:rFonts w:cs="Times New Roman"/>
      <w:kern w:val="2"/>
      <w:sz w:val="21"/>
    </w:rPr>
  </w:style>
  <w:style w:type="character" w:customStyle="1" w:styleId="95">
    <w:name w:val="页脚 字符1"/>
    <w:basedOn w:val="44"/>
    <w:semiHidden/>
    <w:qFormat/>
    <w:uiPriority w:val="99"/>
    <w:rPr>
      <w:sz w:val="18"/>
      <w:szCs w:val="18"/>
    </w:rPr>
  </w:style>
  <w:style w:type="character" w:customStyle="1" w:styleId="96">
    <w:name w:val="页脚 字符11"/>
    <w:basedOn w:val="44"/>
    <w:semiHidden/>
    <w:qFormat/>
    <w:uiPriority w:val="99"/>
    <w:rPr>
      <w:rFonts w:cs="Times New Roman"/>
      <w:kern w:val="2"/>
      <w:sz w:val="18"/>
      <w:szCs w:val="18"/>
    </w:rPr>
  </w:style>
  <w:style w:type="character" w:customStyle="1" w:styleId="97">
    <w:name w:val="正文文本缩进 2 字符1"/>
    <w:basedOn w:val="44"/>
    <w:semiHidden/>
    <w:qFormat/>
    <w:uiPriority w:val="99"/>
  </w:style>
  <w:style w:type="character" w:customStyle="1" w:styleId="98">
    <w:name w:val="正文文本缩进 2 字符11"/>
    <w:basedOn w:val="44"/>
    <w:semiHidden/>
    <w:qFormat/>
    <w:uiPriority w:val="99"/>
    <w:rPr>
      <w:rFonts w:cs="Times New Roman"/>
      <w:kern w:val="2"/>
      <w:sz w:val="21"/>
    </w:rPr>
  </w:style>
  <w:style w:type="character" w:customStyle="1" w:styleId="99">
    <w:name w:val="正文文本缩进 3 字符1"/>
    <w:basedOn w:val="44"/>
    <w:semiHidden/>
    <w:qFormat/>
    <w:uiPriority w:val="99"/>
    <w:rPr>
      <w:sz w:val="16"/>
      <w:szCs w:val="16"/>
    </w:rPr>
  </w:style>
  <w:style w:type="character" w:customStyle="1" w:styleId="100">
    <w:name w:val="正文文本缩进 3 字符11"/>
    <w:basedOn w:val="44"/>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4"/>
    <w:qFormat/>
    <w:uiPriority w:val="10"/>
    <w:rPr>
      <w:rFonts w:asciiTheme="majorHAnsi" w:hAnsiTheme="majorHAnsi" w:eastAsiaTheme="majorEastAsia" w:cstheme="majorBidi"/>
      <w:b/>
      <w:bCs/>
      <w:sz w:val="32"/>
      <w:szCs w:val="32"/>
    </w:rPr>
  </w:style>
  <w:style w:type="character" w:customStyle="1" w:styleId="104">
    <w:name w:val="标题 字符11"/>
    <w:basedOn w:val="44"/>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3"/>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4"/>
    <w:qFormat/>
    <w:uiPriority w:val="0"/>
    <w:rPr>
      <w:rFonts w:hint="eastAsia" w:ascii="宋体" w:hAnsi="宋体" w:eastAsia="宋体" w:cs="宋体"/>
      <w:color w:val="000000"/>
      <w:sz w:val="20"/>
      <w:szCs w:val="20"/>
      <w:u w:val="none"/>
    </w:rPr>
  </w:style>
  <w:style w:type="character" w:customStyle="1" w:styleId="144">
    <w:name w:val="font101"/>
    <w:basedOn w:val="44"/>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4"/>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4"/>
    <w:link w:val="7"/>
    <w:qFormat/>
    <w:uiPriority w:val="9"/>
    <w:rPr>
      <w:rFonts w:ascii="Arial" w:hAnsi="Arial" w:eastAsia="黑体" w:cstheme="minorBidi"/>
      <w:b/>
      <w:kern w:val="2"/>
      <w:sz w:val="24"/>
      <w:szCs w:val="22"/>
    </w:rPr>
  </w:style>
  <w:style w:type="character" w:customStyle="1" w:styleId="150">
    <w:name w:val="标题 7 字符"/>
    <w:basedOn w:val="44"/>
    <w:link w:val="8"/>
    <w:qFormat/>
    <w:uiPriority w:val="9"/>
    <w:rPr>
      <w:rFonts w:asciiTheme="minorHAnsi" w:hAnsiTheme="minorHAnsi" w:eastAsiaTheme="minorEastAsia" w:cstheme="minorBidi"/>
      <w:b/>
      <w:kern w:val="2"/>
      <w:sz w:val="24"/>
      <w:szCs w:val="22"/>
    </w:rPr>
  </w:style>
  <w:style w:type="character" w:customStyle="1" w:styleId="151">
    <w:name w:val="标题 9 字符"/>
    <w:basedOn w:val="44"/>
    <w:link w:val="9"/>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2"/>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4"/>
    <w:link w:val="5"/>
    <w:qFormat/>
    <w:uiPriority w:val="9"/>
    <w:rPr>
      <w:rFonts w:ascii="Arial" w:hAnsi="Arial" w:eastAsia="黑体" w:cstheme="minorBidi"/>
      <w:b/>
      <w:kern w:val="2"/>
      <w:sz w:val="28"/>
      <w:szCs w:val="22"/>
    </w:rPr>
  </w:style>
  <w:style w:type="character" w:customStyle="1" w:styleId="164">
    <w:name w:val="批注文字 字符2"/>
    <w:basedOn w:val="44"/>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4"/>
    <w:qFormat/>
    <w:uiPriority w:val="0"/>
    <w:rPr>
      <w:rFonts w:hint="eastAsia" w:ascii="宋体" w:hAnsi="宋体" w:eastAsia="宋体" w:cs="宋体"/>
      <w:color w:val="000000"/>
      <w:sz w:val="18"/>
      <w:szCs w:val="18"/>
      <w:u w:val="none"/>
    </w:rPr>
  </w:style>
  <w:style w:type="character" w:customStyle="1" w:styleId="167">
    <w:name w:val="font31"/>
    <w:basedOn w:val="44"/>
    <w:qFormat/>
    <w:uiPriority w:val="0"/>
    <w:rPr>
      <w:rFonts w:hint="default" w:ascii="Times New Roman" w:hAnsi="Times New Roman" w:cs="Times New Roman"/>
      <w:color w:val="000000"/>
      <w:sz w:val="18"/>
      <w:szCs w:val="18"/>
      <w:u w:val="none"/>
    </w:rPr>
  </w:style>
  <w:style w:type="character" w:customStyle="1" w:styleId="168">
    <w:name w:val="font51"/>
    <w:basedOn w:val="44"/>
    <w:qFormat/>
    <w:uiPriority w:val="0"/>
    <w:rPr>
      <w:rFonts w:hint="eastAsia" w:ascii="宋体" w:hAnsi="宋体" w:eastAsia="宋体" w:cs="宋体"/>
      <w:color w:val="000000"/>
      <w:sz w:val="18"/>
      <w:szCs w:val="18"/>
      <w:u w:val="none"/>
    </w:rPr>
  </w:style>
  <w:style w:type="character" w:customStyle="1" w:styleId="169">
    <w:name w:val="font11"/>
    <w:basedOn w:val="44"/>
    <w:qFormat/>
    <w:uiPriority w:val="0"/>
    <w:rPr>
      <w:rFonts w:hint="eastAsia" w:ascii="宋体" w:hAnsi="宋体" w:eastAsia="宋体" w:cs="宋体"/>
      <w:b/>
      <w:bCs/>
      <w:color w:val="000000"/>
      <w:sz w:val="21"/>
      <w:szCs w:val="21"/>
      <w:u w:val="none"/>
    </w:rPr>
  </w:style>
  <w:style w:type="character" w:customStyle="1" w:styleId="170">
    <w:name w:val="font61"/>
    <w:basedOn w:val="44"/>
    <w:qFormat/>
    <w:uiPriority w:val="0"/>
    <w:rPr>
      <w:rFonts w:hint="eastAsia" w:ascii="宋体" w:hAnsi="宋体" w:eastAsia="宋体" w:cs="宋体"/>
      <w:color w:val="000000"/>
      <w:sz w:val="18"/>
      <w:szCs w:val="18"/>
      <w:u w:val="none"/>
    </w:rPr>
  </w:style>
  <w:style w:type="paragraph" w:customStyle="1" w:styleId="171">
    <w:name w:val="标书正文"/>
    <w:basedOn w:val="23"/>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6" Type="http://schemas.openxmlformats.org/officeDocument/2006/relationships/fontTable" Target="fontTable.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8.png"/><Relationship Id="rId52" Type="http://schemas.openxmlformats.org/officeDocument/2006/relationships/image" Target="media/image17.png"/><Relationship Id="rId51" Type="http://schemas.openxmlformats.org/officeDocument/2006/relationships/image" Target="media/image16.png"/><Relationship Id="rId50" Type="http://schemas.openxmlformats.org/officeDocument/2006/relationships/image" Target="media/image15.png"/><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65</Pages>
  <Words>9726</Words>
  <Characters>10320</Characters>
  <Lines>371</Lines>
  <Paragraphs>104</Paragraphs>
  <TotalTime>0</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2025-12-10T08:53:07Z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